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83254" w:rsidRPr="00C037A5" w:rsidRDefault="00E86A11">
      <w:pPr>
        <w:pStyle w:val="Normal1"/>
        <w:tabs>
          <w:tab w:val="left" w:pos="708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C037A5">
        <w:rPr>
          <w:rFonts w:ascii="Times New Roman" w:eastAsia="Times New Roman" w:hAnsi="Times New Roman" w:cs="Times New Roman"/>
          <w:b/>
          <w:sz w:val="28"/>
          <w:szCs w:val="24"/>
        </w:rPr>
        <w:t>TÍTULO</w:t>
      </w:r>
    </w:p>
    <w:p w:rsidR="00383254" w:rsidRPr="00C037A5" w:rsidRDefault="00383254">
      <w:pPr>
        <w:pStyle w:val="Normal1"/>
        <w:tabs>
          <w:tab w:val="left" w:pos="708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383254" w:rsidRPr="009E5C85" w:rsidRDefault="00E86A11" w:rsidP="009E5C85">
      <w:pPr>
        <w:pStyle w:val="Normal1"/>
        <w:tabs>
          <w:tab w:val="left" w:pos="708"/>
        </w:tabs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b/>
          <w:color w:val="auto"/>
          <w:sz w:val="32"/>
          <w:szCs w:val="24"/>
        </w:rPr>
      </w:pPr>
      <w:proofErr w:type="spellStart"/>
      <w:r w:rsidRPr="009E5C85">
        <w:rPr>
          <w:rFonts w:ascii="Times New Roman" w:eastAsia="Times New Roman" w:hAnsi="Times New Roman" w:cs="Times New Roman"/>
          <w:b/>
          <w:color w:val="auto"/>
          <w:sz w:val="32"/>
          <w:szCs w:val="24"/>
        </w:rPr>
        <w:t>Neuroborreliose</w:t>
      </w:r>
      <w:proofErr w:type="spellEnd"/>
      <w:r w:rsidRPr="009E5C85">
        <w:rPr>
          <w:rFonts w:ascii="Times New Roman" w:eastAsia="Times New Roman" w:hAnsi="Times New Roman" w:cs="Times New Roman"/>
          <w:b/>
          <w:color w:val="auto"/>
          <w:sz w:val="32"/>
          <w:szCs w:val="24"/>
        </w:rPr>
        <w:t xml:space="preserve"> tardia</w:t>
      </w:r>
      <w:r w:rsidR="00606326" w:rsidRPr="009E5C85">
        <w:rPr>
          <w:rFonts w:ascii="Times New Roman" w:eastAsia="Times New Roman" w:hAnsi="Times New Roman" w:cs="Times New Roman"/>
          <w:b/>
          <w:color w:val="auto"/>
          <w:sz w:val="32"/>
          <w:szCs w:val="24"/>
        </w:rPr>
        <w:t xml:space="preserve"> num estudante em programa Erasmus</w:t>
      </w:r>
    </w:p>
    <w:p w:rsidR="009E5C85" w:rsidRPr="009E5C85" w:rsidRDefault="009E5C85" w:rsidP="009E5C85">
      <w:pPr>
        <w:pStyle w:val="Normal1"/>
        <w:tabs>
          <w:tab w:val="left" w:pos="708"/>
        </w:tabs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b/>
          <w:color w:val="auto"/>
          <w:sz w:val="32"/>
          <w:szCs w:val="24"/>
        </w:rPr>
      </w:pPr>
    </w:p>
    <w:p w:rsidR="00383254" w:rsidRPr="009E5C85" w:rsidRDefault="00E86A11">
      <w:pPr>
        <w:pStyle w:val="Normal1"/>
        <w:tabs>
          <w:tab w:val="left" w:pos="708"/>
        </w:tabs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b/>
          <w:color w:val="auto"/>
          <w:sz w:val="32"/>
          <w:szCs w:val="24"/>
          <w:lang w:val="en-US"/>
        </w:rPr>
      </w:pPr>
      <w:r w:rsidRPr="009E5C85">
        <w:rPr>
          <w:rFonts w:ascii="Times New Roman" w:eastAsia="Times New Roman" w:hAnsi="Times New Roman" w:cs="Times New Roman"/>
          <w:b/>
          <w:color w:val="auto"/>
          <w:sz w:val="32"/>
          <w:szCs w:val="24"/>
          <w:lang w:val="en-US"/>
        </w:rPr>
        <w:t xml:space="preserve">Late </w:t>
      </w:r>
      <w:proofErr w:type="spellStart"/>
      <w:r w:rsidRPr="009E5C85">
        <w:rPr>
          <w:rFonts w:ascii="Times New Roman" w:eastAsia="Times New Roman" w:hAnsi="Times New Roman" w:cs="Times New Roman"/>
          <w:b/>
          <w:color w:val="auto"/>
          <w:sz w:val="32"/>
          <w:szCs w:val="24"/>
          <w:lang w:val="en-US"/>
        </w:rPr>
        <w:t>neuroborreliosis</w:t>
      </w:r>
      <w:proofErr w:type="spellEnd"/>
      <w:r w:rsidRPr="009E5C85">
        <w:rPr>
          <w:rFonts w:ascii="Times New Roman" w:eastAsia="Times New Roman" w:hAnsi="Times New Roman" w:cs="Times New Roman"/>
          <w:b/>
          <w:color w:val="auto"/>
          <w:sz w:val="32"/>
          <w:szCs w:val="24"/>
          <w:lang w:val="en-US"/>
        </w:rPr>
        <w:t xml:space="preserve"> in an Erasmus </w:t>
      </w:r>
      <w:proofErr w:type="spellStart"/>
      <w:r w:rsidRPr="009E5C85">
        <w:rPr>
          <w:rFonts w:ascii="Times New Roman" w:eastAsia="Times New Roman" w:hAnsi="Times New Roman" w:cs="Times New Roman"/>
          <w:b/>
          <w:color w:val="auto"/>
          <w:sz w:val="32"/>
          <w:szCs w:val="24"/>
          <w:lang w:val="en-US"/>
        </w:rPr>
        <w:t>programme</w:t>
      </w:r>
      <w:proofErr w:type="spellEnd"/>
      <w:r w:rsidRPr="009E5C85">
        <w:rPr>
          <w:rFonts w:ascii="Times New Roman" w:eastAsia="Times New Roman" w:hAnsi="Times New Roman" w:cs="Times New Roman"/>
          <w:b/>
          <w:color w:val="auto"/>
          <w:sz w:val="32"/>
          <w:szCs w:val="24"/>
          <w:lang w:val="en-US"/>
        </w:rPr>
        <w:t xml:space="preserve"> student </w:t>
      </w:r>
    </w:p>
    <w:p w:rsidR="00383254" w:rsidRPr="00C037A5" w:rsidRDefault="00383254">
      <w:pPr>
        <w:pStyle w:val="Normal1"/>
        <w:tabs>
          <w:tab w:val="left" w:pos="708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val="en-US"/>
        </w:rPr>
      </w:pPr>
    </w:p>
    <w:p w:rsidR="00383254" w:rsidRPr="00C037A5" w:rsidRDefault="00E86A11">
      <w:pPr>
        <w:pStyle w:val="Normal1"/>
        <w:tabs>
          <w:tab w:val="left" w:pos="708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037A5">
        <w:rPr>
          <w:rFonts w:ascii="Times New Roman" w:eastAsia="Times New Roman" w:hAnsi="Times New Roman" w:cs="Times New Roman"/>
          <w:b/>
          <w:sz w:val="28"/>
          <w:szCs w:val="24"/>
        </w:rPr>
        <w:t>AUTORES</w:t>
      </w:r>
    </w:p>
    <w:p w:rsidR="00383254" w:rsidRPr="00C037A5" w:rsidRDefault="00E86A11">
      <w:pPr>
        <w:pStyle w:val="Normal1"/>
        <w:tabs>
          <w:tab w:val="left" w:pos="708"/>
        </w:tabs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vertAlign w:val="superscript"/>
        </w:rPr>
      </w:pPr>
      <w:r w:rsidRPr="00C037A5">
        <w:rPr>
          <w:rFonts w:ascii="Times New Roman" w:eastAsia="Times New Roman" w:hAnsi="Times New Roman" w:cs="Times New Roman"/>
          <w:sz w:val="28"/>
          <w:szCs w:val="24"/>
        </w:rPr>
        <w:t>Fábio Videira Santos</w:t>
      </w:r>
      <w:r w:rsidRPr="00C037A5">
        <w:rPr>
          <w:rFonts w:ascii="Times New Roman" w:eastAsia="Times New Roman" w:hAnsi="Times New Roman" w:cs="Times New Roman"/>
          <w:sz w:val="28"/>
          <w:szCs w:val="24"/>
          <w:vertAlign w:val="superscript"/>
        </w:rPr>
        <w:t>1</w:t>
      </w:r>
      <w:r w:rsidRPr="00C037A5">
        <w:rPr>
          <w:rFonts w:ascii="Times New Roman" w:eastAsia="Times New Roman" w:hAnsi="Times New Roman" w:cs="Times New Roman"/>
          <w:sz w:val="28"/>
          <w:szCs w:val="24"/>
        </w:rPr>
        <w:t>, Ana Cipriano</w:t>
      </w:r>
      <w:r w:rsidRPr="00C037A5">
        <w:rPr>
          <w:rFonts w:ascii="Times New Roman" w:eastAsia="Times New Roman" w:hAnsi="Times New Roman" w:cs="Times New Roman"/>
          <w:sz w:val="28"/>
          <w:szCs w:val="24"/>
          <w:vertAlign w:val="superscript"/>
        </w:rPr>
        <w:t>1</w:t>
      </w:r>
      <w:r w:rsidRPr="00C037A5">
        <w:rPr>
          <w:rFonts w:ascii="Times New Roman" w:eastAsia="Times New Roman" w:hAnsi="Times New Roman" w:cs="Times New Roman"/>
          <w:sz w:val="28"/>
          <w:szCs w:val="24"/>
        </w:rPr>
        <w:t>, Miguel Araújo Abreu</w:t>
      </w:r>
      <w:r w:rsidRPr="00C037A5">
        <w:rPr>
          <w:rFonts w:ascii="Times New Roman" w:eastAsia="Times New Roman" w:hAnsi="Times New Roman" w:cs="Times New Roman"/>
          <w:sz w:val="28"/>
          <w:szCs w:val="24"/>
          <w:vertAlign w:val="superscript"/>
        </w:rPr>
        <w:t>1</w:t>
      </w:r>
      <w:r w:rsidRPr="00C037A5">
        <w:rPr>
          <w:rFonts w:ascii="Times New Roman" w:eastAsia="Times New Roman" w:hAnsi="Times New Roman" w:cs="Times New Roman"/>
          <w:sz w:val="28"/>
          <w:szCs w:val="24"/>
        </w:rPr>
        <w:t>, Carlos Andrade</w:t>
      </w:r>
      <w:r w:rsidRPr="00C037A5">
        <w:rPr>
          <w:rFonts w:ascii="Times New Roman" w:eastAsia="Times New Roman" w:hAnsi="Times New Roman" w:cs="Times New Roman"/>
          <w:sz w:val="28"/>
          <w:szCs w:val="24"/>
          <w:vertAlign w:val="superscript"/>
        </w:rPr>
        <w:t>2</w:t>
      </w:r>
      <w:r w:rsidRPr="00C037A5">
        <w:rPr>
          <w:rFonts w:ascii="Times New Roman" w:eastAsia="Times New Roman" w:hAnsi="Times New Roman" w:cs="Times New Roman"/>
          <w:sz w:val="28"/>
          <w:szCs w:val="24"/>
        </w:rPr>
        <w:t>, Rui Sarmento e Castro</w:t>
      </w:r>
      <w:r w:rsidRPr="00C037A5">
        <w:rPr>
          <w:rFonts w:ascii="Times New Roman" w:eastAsia="Times New Roman" w:hAnsi="Times New Roman" w:cs="Times New Roman"/>
          <w:sz w:val="28"/>
          <w:szCs w:val="24"/>
          <w:vertAlign w:val="superscript"/>
        </w:rPr>
        <w:t>1</w:t>
      </w:r>
    </w:p>
    <w:p w:rsidR="00383254" w:rsidRPr="00C037A5" w:rsidRDefault="00E86A11">
      <w:pPr>
        <w:pStyle w:val="Normal1"/>
        <w:numPr>
          <w:ilvl w:val="0"/>
          <w:numId w:val="2"/>
        </w:numPr>
        <w:tabs>
          <w:tab w:val="left" w:pos="708"/>
        </w:tabs>
        <w:spacing w:after="0" w:line="276" w:lineRule="auto"/>
        <w:ind w:hanging="360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C037A5">
        <w:rPr>
          <w:rFonts w:ascii="Times New Roman" w:eastAsia="Times New Roman" w:hAnsi="Times New Roman" w:cs="Times New Roman"/>
          <w:sz w:val="28"/>
          <w:szCs w:val="24"/>
        </w:rPr>
        <w:t>Serviço de Doenças Infecciosas, Centro Hospitalar do Porto, EPE, Porto, Portugal</w:t>
      </w:r>
    </w:p>
    <w:p w:rsidR="00383254" w:rsidRPr="00C037A5" w:rsidRDefault="00E86A11">
      <w:pPr>
        <w:pStyle w:val="Normal1"/>
        <w:numPr>
          <w:ilvl w:val="0"/>
          <w:numId w:val="2"/>
        </w:numPr>
        <w:tabs>
          <w:tab w:val="left" w:pos="708"/>
        </w:tabs>
        <w:spacing w:after="0" w:line="276" w:lineRule="auto"/>
        <w:ind w:hanging="360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C037A5">
        <w:rPr>
          <w:rFonts w:ascii="Times New Roman" w:eastAsia="Times New Roman" w:hAnsi="Times New Roman" w:cs="Times New Roman"/>
          <w:sz w:val="28"/>
          <w:szCs w:val="24"/>
        </w:rPr>
        <w:t>Serviço de Neurologia, Centro Hospitalar do Porto, EPE, Porto, Portugal</w:t>
      </w:r>
    </w:p>
    <w:p w:rsidR="00383254" w:rsidRPr="00C037A5" w:rsidRDefault="00383254">
      <w:pPr>
        <w:pStyle w:val="Normal1"/>
        <w:tabs>
          <w:tab w:val="left" w:pos="708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383254" w:rsidRPr="009E5C85" w:rsidRDefault="00E86A11">
      <w:pPr>
        <w:pStyle w:val="Normal1"/>
        <w:tabs>
          <w:tab w:val="left" w:pos="708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E5C85">
        <w:rPr>
          <w:rFonts w:ascii="Times New Roman" w:eastAsia="Times New Roman" w:hAnsi="Times New Roman" w:cs="Times New Roman"/>
          <w:sz w:val="28"/>
          <w:szCs w:val="24"/>
        </w:rPr>
        <w:t xml:space="preserve">Morada: </w:t>
      </w:r>
      <w:r w:rsidR="00606326" w:rsidRPr="009E5C85">
        <w:rPr>
          <w:rFonts w:ascii="Times New Roman" w:eastAsia="Times New Roman" w:hAnsi="Times New Roman" w:cs="Times New Roman"/>
          <w:sz w:val="28"/>
          <w:szCs w:val="24"/>
        </w:rPr>
        <w:t xml:space="preserve">Centro Hospitalar do Porto, EPE, Porto, Portugal, Largo Abel Salazar, </w:t>
      </w:r>
      <w:r w:rsidRPr="009E5C85">
        <w:rPr>
          <w:rFonts w:ascii="Times New Roman" w:eastAsia="Times New Roman" w:hAnsi="Times New Roman" w:cs="Times New Roman"/>
          <w:sz w:val="28"/>
          <w:szCs w:val="24"/>
        </w:rPr>
        <w:t>4</w:t>
      </w:r>
      <w:r w:rsidR="00606326" w:rsidRPr="009E5C85">
        <w:rPr>
          <w:rFonts w:ascii="Times New Roman" w:eastAsia="Times New Roman" w:hAnsi="Times New Roman" w:cs="Times New Roman"/>
          <w:sz w:val="28"/>
          <w:szCs w:val="24"/>
        </w:rPr>
        <w:t>099-001</w:t>
      </w:r>
      <w:r w:rsidRPr="009E5C85">
        <w:rPr>
          <w:rFonts w:ascii="Times New Roman" w:eastAsia="Times New Roman" w:hAnsi="Times New Roman" w:cs="Times New Roman"/>
          <w:sz w:val="28"/>
          <w:szCs w:val="24"/>
        </w:rPr>
        <w:t xml:space="preserve"> Porto</w:t>
      </w:r>
      <w:r w:rsidR="000F7920" w:rsidRPr="009E5C85">
        <w:rPr>
          <w:rFonts w:ascii="Times New Roman" w:eastAsia="Times New Roman" w:hAnsi="Times New Roman" w:cs="Times New Roman"/>
          <w:sz w:val="28"/>
          <w:szCs w:val="24"/>
        </w:rPr>
        <w:t>,</w:t>
      </w:r>
      <w:r w:rsidRPr="009E5C85">
        <w:rPr>
          <w:rFonts w:ascii="Times New Roman" w:eastAsia="Times New Roman" w:hAnsi="Times New Roman" w:cs="Times New Roman"/>
          <w:sz w:val="28"/>
          <w:szCs w:val="24"/>
        </w:rPr>
        <w:t xml:space="preserve"> Portugal</w:t>
      </w:r>
    </w:p>
    <w:p w:rsidR="00383254" w:rsidRPr="009E5C85" w:rsidRDefault="002A7E90">
      <w:pPr>
        <w:pStyle w:val="Normal1"/>
        <w:tabs>
          <w:tab w:val="left" w:pos="708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gramStart"/>
      <w:r w:rsidRPr="009E5C85">
        <w:rPr>
          <w:rFonts w:ascii="Times New Roman" w:eastAsia="Times New Roman" w:hAnsi="Times New Roman" w:cs="Times New Roman"/>
          <w:sz w:val="28"/>
          <w:szCs w:val="24"/>
        </w:rPr>
        <w:t>e</w:t>
      </w:r>
      <w:r w:rsidR="00E86A11" w:rsidRPr="009E5C85">
        <w:rPr>
          <w:rFonts w:ascii="Times New Roman" w:eastAsia="Times New Roman" w:hAnsi="Times New Roman" w:cs="Times New Roman"/>
          <w:sz w:val="28"/>
          <w:szCs w:val="24"/>
        </w:rPr>
        <w:t>-mail</w:t>
      </w:r>
      <w:proofErr w:type="gramEnd"/>
      <w:r w:rsidR="00E86A11" w:rsidRPr="009E5C85">
        <w:rPr>
          <w:rFonts w:ascii="Times New Roman" w:eastAsia="Times New Roman" w:hAnsi="Times New Roman" w:cs="Times New Roman"/>
          <w:sz w:val="28"/>
          <w:szCs w:val="24"/>
        </w:rPr>
        <w:t>:</w:t>
      </w:r>
      <w:r w:rsidR="000F7920" w:rsidRPr="009E5C85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606326" w:rsidRPr="009E5C85">
        <w:rPr>
          <w:rFonts w:ascii="Times New Roman" w:eastAsia="Times New Roman" w:hAnsi="Times New Roman" w:cs="Times New Roman"/>
          <w:sz w:val="28"/>
          <w:szCs w:val="24"/>
        </w:rPr>
        <w:t>fabiovideirasantos@gmail.com</w:t>
      </w:r>
    </w:p>
    <w:p w:rsidR="00383254" w:rsidRPr="009E5C85" w:rsidRDefault="000F7920">
      <w:pPr>
        <w:pStyle w:val="Normal1"/>
        <w:tabs>
          <w:tab w:val="left" w:pos="708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E5C85">
        <w:rPr>
          <w:rFonts w:ascii="Times New Roman" w:eastAsia="Times New Roman" w:hAnsi="Times New Roman" w:cs="Times New Roman"/>
          <w:sz w:val="28"/>
          <w:szCs w:val="24"/>
        </w:rPr>
        <w:t xml:space="preserve">Título breve: </w:t>
      </w:r>
      <w:r w:rsidR="00157FD6" w:rsidRPr="009E5C85">
        <w:rPr>
          <w:rFonts w:ascii="Times New Roman" w:eastAsia="Times New Roman" w:hAnsi="Times New Roman" w:cs="Times New Roman"/>
          <w:sz w:val="28"/>
          <w:szCs w:val="24"/>
        </w:rPr>
        <w:t>Neurob</w:t>
      </w:r>
      <w:r w:rsidR="00606326" w:rsidRPr="009E5C85">
        <w:rPr>
          <w:rFonts w:ascii="Times New Roman" w:eastAsia="Times New Roman" w:hAnsi="Times New Roman" w:cs="Times New Roman"/>
          <w:sz w:val="28"/>
          <w:szCs w:val="24"/>
        </w:rPr>
        <w:t>orreliose Tardia</w:t>
      </w:r>
    </w:p>
    <w:p w:rsidR="00383254" w:rsidRDefault="00383254">
      <w:pPr>
        <w:pStyle w:val="Normal1"/>
        <w:tabs>
          <w:tab w:val="left" w:pos="708"/>
        </w:tabs>
        <w:spacing w:after="0" w:line="480" w:lineRule="auto"/>
        <w:jc w:val="both"/>
        <w:rPr>
          <w:rFonts w:ascii="Arial" w:eastAsia="Arial" w:hAnsi="Arial" w:cs="Arial"/>
          <w:sz w:val="20"/>
          <w:szCs w:val="20"/>
        </w:rPr>
      </w:pPr>
    </w:p>
    <w:p w:rsidR="00383254" w:rsidRDefault="00383254">
      <w:pPr>
        <w:pStyle w:val="Normal1"/>
        <w:tabs>
          <w:tab w:val="left" w:pos="708"/>
        </w:tabs>
        <w:spacing w:after="0" w:line="480" w:lineRule="auto"/>
        <w:jc w:val="both"/>
        <w:rPr>
          <w:rFonts w:ascii="Arial" w:eastAsia="Arial" w:hAnsi="Arial" w:cs="Arial"/>
          <w:sz w:val="20"/>
          <w:szCs w:val="20"/>
        </w:rPr>
      </w:pPr>
    </w:p>
    <w:p w:rsidR="00383254" w:rsidRDefault="00383254">
      <w:pPr>
        <w:pStyle w:val="Normal1"/>
        <w:tabs>
          <w:tab w:val="left" w:pos="708"/>
        </w:tabs>
        <w:spacing w:after="0" w:line="480" w:lineRule="auto"/>
        <w:jc w:val="both"/>
        <w:rPr>
          <w:rFonts w:ascii="Arial" w:eastAsia="Arial" w:hAnsi="Arial" w:cs="Arial"/>
          <w:sz w:val="20"/>
          <w:szCs w:val="20"/>
        </w:rPr>
      </w:pPr>
    </w:p>
    <w:p w:rsidR="00383254" w:rsidRDefault="00383254">
      <w:pPr>
        <w:pStyle w:val="Normal1"/>
        <w:tabs>
          <w:tab w:val="left" w:pos="708"/>
        </w:tabs>
        <w:spacing w:after="0" w:line="480" w:lineRule="auto"/>
        <w:jc w:val="both"/>
        <w:rPr>
          <w:rFonts w:ascii="Arial" w:eastAsia="Arial" w:hAnsi="Arial" w:cs="Arial"/>
          <w:sz w:val="20"/>
          <w:szCs w:val="20"/>
        </w:rPr>
      </w:pPr>
    </w:p>
    <w:p w:rsidR="00383254" w:rsidRDefault="00383254">
      <w:pPr>
        <w:pStyle w:val="Normal1"/>
        <w:tabs>
          <w:tab w:val="left" w:pos="708"/>
        </w:tabs>
        <w:spacing w:after="0" w:line="480" w:lineRule="auto"/>
        <w:jc w:val="both"/>
        <w:rPr>
          <w:rFonts w:ascii="Arial" w:eastAsia="Arial" w:hAnsi="Arial" w:cs="Arial"/>
          <w:sz w:val="20"/>
          <w:szCs w:val="20"/>
        </w:rPr>
      </w:pPr>
    </w:p>
    <w:p w:rsidR="00383254" w:rsidRDefault="00383254">
      <w:pPr>
        <w:pStyle w:val="Normal1"/>
        <w:tabs>
          <w:tab w:val="left" w:pos="708"/>
        </w:tabs>
        <w:spacing w:after="0" w:line="480" w:lineRule="auto"/>
        <w:jc w:val="both"/>
        <w:rPr>
          <w:rFonts w:ascii="Arial" w:eastAsia="Arial" w:hAnsi="Arial" w:cs="Arial"/>
          <w:sz w:val="20"/>
          <w:szCs w:val="20"/>
        </w:rPr>
      </w:pPr>
    </w:p>
    <w:p w:rsidR="00383254" w:rsidRDefault="00383254">
      <w:pPr>
        <w:pStyle w:val="Normal1"/>
        <w:tabs>
          <w:tab w:val="left" w:pos="708"/>
        </w:tabs>
        <w:spacing w:after="0" w:line="480" w:lineRule="auto"/>
        <w:jc w:val="both"/>
        <w:rPr>
          <w:rFonts w:ascii="Arial" w:eastAsia="Arial" w:hAnsi="Arial" w:cs="Arial"/>
          <w:sz w:val="20"/>
          <w:szCs w:val="20"/>
        </w:rPr>
      </w:pPr>
    </w:p>
    <w:p w:rsidR="00383254" w:rsidRDefault="00383254">
      <w:pPr>
        <w:pStyle w:val="Normal1"/>
        <w:tabs>
          <w:tab w:val="left" w:pos="708"/>
        </w:tabs>
        <w:spacing w:after="0" w:line="480" w:lineRule="auto"/>
        <w:jc w:val="both"/>
        <w:rPr>
          <w:rFonts w:ascii="Arial" w:eastAsia="Arial" w:hAnsi="Arial" w:cs="Arial"/>
          <w:sz w:val="20"/>
          <w:szCs w:val="20"/>
        </w:rPr>
      </w:pPr>
    </w:p>
    <w:p w:rsidR="00383254" w:rsidRDefault="00383254">
      <w:pPr>
        <w:pStyle w:val="Normal1"/>
        <w:tabs>
          <w:tab w:val="left" w:pos="708"/>
        </w:tabs>
        <w:spacing w:after="0" w:line="480" w:lineRule="auto"/>
        <w:jc w:val="both"/>
        <w:rPr>
          <w:rFonts w:ascii="Arial" w:eastAsia="Arial" w:hAnsi="Arial" w:cs="Arial"/>
          <w:sz w:val="20"/>
          <w:szCs w:val="20"/>
        </w:rPr>
      </w:pPr>
    </w:p>
    <w:p w:rsidR="00383254" w:rsidRDefault="00383254">
      <w:pPr>
        <w:pStyle w:val="Normal1"/>
        <w:tabs>
          <w:tab w:val="left" w:pos="708"/>
        </w:tabs>
        <w:spacing w:after="0" w:line="480" w:lineRule="auto"/>
        <w:jc w:val="both"/>
        <w:rPr>
          <w:rFonts w:ascii="Arial" w:eastAsia="Arial" w:hAnsi="Arial" w:cs="Arial"/>
          <w:sz w:val="20"/>
          <w:szCs w:val="20"/>
        </w:rPr>
      </w:pPr>
    </w:p>
    <w:p w:rsidR="00383254" w:rsidRDefault="00383254">
      <w:pPr>
        <w:pStyle w:val="Normal1"/>
        <w:tabs>
          <w:tab w:val="left" w:pos="708"/>
        </w:tabs>
        <w:spacing w:after="0" w:line="480" w:lineRule="auto"/>
        <w:jc w:val="both"/>
        <w:rPr>
          <w:rFonts w:ascii="Arial" w:eastAsia="Arial" w:hAnsi="Arial" w:cs="Arial"/>
          <w:sz w:val="20"/>
          <w:szCs w:val="20"/>
        </w:rPr>
      </w:pPr>
    </w:p>
    <w:p w:rsidR="00383254" w:rsidRDefault="00383254">
      <w:pPr>
        <w:pStyle w:val="Normal1"/>
        <w:tabs>
          <w:tab w:val="left" w:pos="708"/>
        </w:tabs>
        <w:spacing w:after="0" w:line="480" w:lineRule="auto"/>
        <w:jc w:val="both"/>
        <w:rPr>
          <w:rFonts w:ascii="Arial" w:eastAsia="Arial" w:hAnsi="Arial" w:cs="Arial"/>
          <w:sz w:val="20"/>
          <w:szCs w:val="20"/>
        </w:rPr>
      </w:pPr>
    </w:p>
    <w:p w:rsidR="00383254" w:rsidRDefault="00383254">
      <w:pPr>
        <w:pStyle w:val="Normal1"/>
        <w:tabs>
          <w:tab w:val="left" w:pos="708"/>
        </w:tabs>
        <w:spacing w:after="0" w:line="480" w:lineRule="auto"/>
        <w:jc w:val="both"/>
        <w:rPr>
          <w:rFonts w:ascii="Arial" w:eastAsia="Arial" w:hAnsi="Arial" w:cs="Arial"/>
          <w:sz w:val="20"/>
          <w:szCs w:val="20"/>
        </w:rPr>
      </w:pPr>
    </w:p>
    <w:p w:rsidR="00F16FCC" w:rsidRDefault="00F16FCC">
      <w:pPr>
        <w:pStyle w:val="Normal1"/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83254" w:rsidRPr="00C037A5" w:rsidRDefault="00E86A11">
      <w:pPr>
        <w:pStyle w:val="Normal1"/>
        <w:spacing w:after="0" w:line="480" w:lineRule="auto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C037A5">
        <w:rPr>
          <w:rFonts w:ascii="Times New Roman" w:eastAsia="Times New Roman" w:hAnsi="Times New Roman" w:cs="Times New Roman"/>
          <w:b/>
          <w:sz w:val="28"/>
          <w:szCs w:val="24"/>
        </w:rPr>
        <w:lastRenderedPageBreak/>
        <w:t>RESUMO</w:t>
      </w:r>
    </w:p>
    <w:p w:rsidR="00383254" w:rsidRPr="00C037A5" w:rsidRDefault="00E86A11">
      <w:pPr>
        <w:pStyle w:val="Normal1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037A5">
        <w:rPr>
          <w:rFonts w:ascii="Times New Roman" w:eastAsia="Times New Roman" w:hAnsi="Times New Roman" w:cs="Times New Roman"/>
          <w:sz w:val="28"/>
          <w:szCs w:val="24"/>
        </w:rPr>
        <w:t xml:space="preserve">A doença de </w:t>
      </w:r>
      <w:proofErr w:type="spellStart"/>
      <w:r w:rsidRPr="00C037A5">
        <w:rPr>
          <w:rFonts w:ascii="Times New Roman" w:eastAsia="Times New Roman" w:hAnsi="Times New Roman" w:cs="Times New Roman"/>
          <w:sz w:val="28"/>
          <w:szCs w:val="24"/>
        </w:rPr>
        <w:t>Lyme</w:t>
      </w:r>
      <w:proofErr w:type="spellEnd"/>
      <w:r w:rsidRPr="00C037A5">
        <w:rPr>
          <w:rFonts w:ascii="Times New Roman" w:eastAsia="Times New Roman" w:hAnsi="Times New Roman" w:cs="Times New Roman"/>
          <w:sz w:val="28"/>
          <w:szCs w:val="24"/>
        </w:rPr>
        <w:t xml:space="preserve"> é uma zoonose endémica nos Estados Unidos da América (EUA), </w:t>
      </w:r>
      <w:r w:rsidR="002A7E90">
        <w:rPr>
          <w:rFonts w:ascii="Times New Roman" w:eastAsia="Times New Roman" w:hAnsi="Times New Roman" w:cs="Times New Roman"/>
          <w:sz w:val="28"/>
          <w:szCs w:val="24"/>
        </w:rPr>
        <w:t xml:space="preserve">na </w:t>
      </w:r>
      <w:r w:rsidRPr="00C037A5">
        <w:rPr>
          <w:rFonts w:ascii="Times New Roman" w:eastAsia="Times New Roman" w:hAnsi="Times New Roman" w:cs="Times New Roman"/>
          <w:sz w:val="28"/>
          <w:szCs w:val="24"/>
        </w:rPr>
        <w:t>Ásia e no continente europeu, nomeadamente nos países do centro</w:t>
      </w:r>
      <w:r w:rsidR="00117661" w:rsidRPr="00C037A5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117661" w:rsidRPr="00C037A5">
        <w:rPr>
          <w:rFonts w:ascii="Times New Roman" w:eastAsia="Times New Roman" w:hAnsi="Times New Roman" w:cs="Times New Roman"/>
          <w:color w:val="auto"/>
          <w:sz w:val="28"/>
          <w:szCs w:val="24"/>
        </w:rPr>
        <w:t>da Europa</w:t>
      </w:r>
      <w:r w:rsidRPr="00C037A5">
        <w:rPr>
          <w:rFonts w:ascii="Times New Roman" w:eastAsia="Times New Roman" w:hAnsi="Times New Roman" w:cs="Times New Roman"/>
          <w:color w:val="auto"/>
          <w:sz w:val="28"/>
          <w:szCs w:val="24"/>
        </w:rPr>
        <w:t>.</w:t>
      </w:r>
      <w:r w:rsidRPr="00C037A5">
        <w:rPr>
          <w:rFonts w:ascii="Times New Roman" w:eastAsia="Times New Roman" w:hAnsi="Times New Roman" w:cs="Times New Roman"/>
          <w:sz w:val="28"/>
          <w:szCs w:val="24"/>
        </w:rPr>
        <w:t xml:space="preserve"> Trata-se de uma doença </w:t>
      </w:r>
      <w:proofErr w:type="spellStart"/>
      <w:r w:rsidRPr="00C037A5">
        <w:rPr>
          <w:rFonts w:ascii="Times New Roman" w:eastAsia="Times New Roman" w:hAnsi="Times New Roman" w:cs="Times New Roman"/>
          <w:sz w:val="28"/>
          <w:szCs w:val="24"/>
        </w:rPr>
        <w:t>multissistémica</w:t>
      </w:r>
      <w:proofErr w:type="spellEnd"/>
      <w:r w:rsidRPr="00C037A5">
        <w:rPr>
          <w:rFonts w:ascii="Times New Roman" w:eastAsia="Times New Roman" w:hAnsi="Times New Roman" w:cs="Times New Roman"/>
          <w:sz w:val="28"/>
          <w:szCs w:val="24"/>
        </w:rPr>
        <w:t>, com manifestações cutâneas, articulares</w:t>
      </w:r>
      <w:r w:rsidR="000F7920" w:rsidRPr="00C037A5">
        <w:rPr>
          <w:rFonts w:ascii="Times New Roman" w:eastAsia="Times New Roman" w:hAnsi="Times New Roman" w:cs="Times New Roman"/>
          <w:sz w:val="28"/>
          <w:szCs w:val="24"/>
        </w:rPr>
        <w:t>, neurológicas</w:t>
      </w:r>
      <w:r w:rsidRPr="00C037A5">
        <w:rPr>
          <w:rFonts w:ascii="Times New Roman" w:eastAsia="Times New Roman" w:hAnsi="Times New Roman" w:cs="Times New Roman"/>
          <w:sz w:val="28"/>
          <w:szCs w:val="24"/>
        </w:rPr>
        <w:t xml:space="preserve"> e cardíacas, que variam de acordo com a fase da doença. Apresentamos o caso de uma </w:t>
      </w:r>
      <w:proofErr w:type="spellStart"/>
      <w:r w:rsidRPr="00C037A5">
        <w:rPr>
          <w:rFonts w:ascii="Times New Roman" w:eastAsia="Times New Roman" w:hAnsi="Times New Roman" w:cs="Times New Roman"/>
          <w:sz w:val="28"/>
          <w:szCs w:val="24"/>
        </w:rPr>
        <w:t>neuroborreliose</w:t>
      </w:r>
      <w:proofErr w:type="spellEnd"/>
      <w:r w:rsidRPr="00C037A5">
        <w:rPr>
          <w:rFonts w:ascii="Times New Roman" w:eastAsia="Times New Roman" w:hAnsi="Times New Roman" w:cs="Times New Roman"/>
          <w:sz w:val="28"/>
          <w:szCs w:val="24"/>
        </w:rPr>
        <w:t xml:space="preserve"> tardia num jovem estudante belga a residir tempora</w:t>
      </w:r>
      <w:r w:rsidR="002A7E90">
        <w:rPr>
          <w:rFonts w:ascii="Times New Roman" w:eastAsia="Times New Roman" w:hAnsi="Times New Roman" w:cs="Times New Roman"/>
          <w:sz w:val="28"/>
          <w:szCs w:val="24"/>
        </w:rPr>
        <w:t>riamente no Porto. Discutimos</w:t>
      </w:r>
      <w:r w:rsidRPr="00C037A5">
        <w:rPr>
          <w:rFonts w:ascii="Times New Roman" w:eastAsia="Times New Roman" w:hAnsi="Times New Roman" w:cs="Times New Roman"/>
          <w:sz w:val="28"/>
          <w:szCs w:val="24"/>
        </w:rPr>
        <w:t xml:space="preserve"> a importân</w:t>
      </w:r>
      <w:r w:rsidR="000F7920" w:rsidRPr="00C037A5">
        <w:rPr>
          <w:rFonts w:ascii="Times New Roman" w:eastAsia="Times New Roman" w:hAnsi="Times New Roman" w:cs="Times New Roman"/>
          <w:sz w:val="28"/>
          <w:szCs w:val="24"/>
        </w:rPr>
        <w:t>cia da suspeita epidemiológica,</w:t>
      </w:r>
      <w:r w:rsidRPr="00C037A5">
        <w:rPr>
          <w:rFonts w:ascii="Times New Roman" w:eastAsia="Times New Roman" w:hAnsi="Times New Roman" w:cs="Times New Roman"/>
          <w:sz w:val="28"/>
          <w:szCs w:val="24"/>
        </w:rPr>
        <w:t xml:space="preserve"> a investigação etiológica, os critérios de diagnóstico e o tratamento mais adequado.</w:t>
      </w:r>
    </w:p>
    <w:p w:rsidR="00383254" w:rsidRPr="00C037A5" w:rsidRDefault="00383254">
      <w:pPr>
        <w:pStyle w:val="Normal1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383254" w:rsidRPr="00C037A5" w:rsidRDefault="00E86A11">
      <w:pPr>
        <w:pStyle w:val="Normal1"/>
        <w:spacing w:after="0" w:line="480" w:lineRule="auto"/>
        <w:jc w:val="both"/>
        <w:rPr>
          <w:rFonts w:ascii="Times New Roman" w:eastAsia="Times New Roman" w:hAnsi="Times New Roman" w:cs="Times New Roman"/>
          <w:sz w:val="28"/>
          <w:szCs w:val="24"/>
          <w:highlight w:val="white"/>
        </w:rPr>
      </w:pPr>
      <w:r w:rsidRPr="00C037A5">
        <w:rPr>
          <w:rFonts w:ascii="Times New Roman" w:eastAsia="Times New Roman" w:hAnsi="Times New Roman" w:cs="Times New Roman"/>
          <w:b/>
          <w:sz w:val="28"/>
          <w:szCs w:val="24"/>
        </w:rPr>
        <w:t>Palavras-chave:</w:t>
      </w:r>
      <w:r w:rsidRPr="00C037A5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bookmarkStart w:id="0" w:name="_GoBack"/>
      <w:r w:rsidRPr="00C037A5">
        <w:rPr>
          <w:rFonts w:ascii="Times New Roman" w:eastAsia="Times New Roman" w:hAnsi="Times New Roman" w:cs="Times New Roman"/>
          <w:sz w:val="28"/>
          <w:szCs w:val="24"/>
        </w:rPr>
        <w:t xml:space="preserve">Doença de </w:t>
      </w:r>
      <w:proofErr w:type="spellStart"/>
      <w:r w:rsidRPr="00C037A5">
        <w:rPr>
          <w:rFonts w:ascii="Times New Roman" w:eastAsia="Times New Roman" w:hAnsi="Times New Roman" w:cs="Times New Roman"/>
          <w:sz w:val="28"/>
          <w:szCs w:val="24"/>
        </w:rPr>
        <w:t>Lyme</w:t>
      </w:r>
      <w:proofErr w:type="spellEnd"/>
      <w:r w:rsidRPr="00C037A5"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proofErr w:type="spellStart"/>
      <w:r w:rsidRPr="00C037A5">
        <w:rPr>
          <w:rFonts w:ascii="Times New Roman" w:eastAsia="Times New Roman" w:hAnsi="Times New Roman" w:cs="Times New Roman"/>
          <w:i/>
          <w:sz w:val="28"/>
          <w:szCs w:val="24"/>
        </w:rPr>
        <w:t>Borrelia</w:t>
      </w:r>
      <w:proofErr w:type="spellEnd"/>
      <w:r w:rsidRPr="00C037A5">
        <w:rPr>
          <w:rFonts w:ascii="Times New Roman" w:eastAsia="Times New Roman" w:hAnsi="Times New Roman" w:cs="Times New Roman"/>
          <w:i/>
          <w:sz w:val="28"/>
          <w:szCs w:val="24"/>
        </w:rPr>
        <w:t xml:space="preserve"> </w:t>
      </w:r>
      <w:proofErr w:type="spellStart"/>
      <w:r w:rsidRPr="00C037A5">
        <w:rPr>
          <w:rFonts w:ascii="Times New Roman" w:eastAsia="Times New Roman" w:hAnsi="Times New Roman" w:cs="Times New Roman"/>
          <w:sz w:val="28"/>
          <w:szCs w:val="24"/>
        </w:rPr>
        <w:t>spp</w:t>
      </w:r>
      <w:proofErr w:type="spellEnd"/>
      <w:r w:rsidRPr="00C037A5"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proofErr w:type="spellStart"/>
      <w:r w:rsidRPr="00C037A5">
        <w:rPr>
          <w:rFonts w:ascii="Times New Roman" w:eastAsia="Times New Roman" w:hAnsi="Times New Roman" w:cs="Times New Roman"/>
          <w:sz w:val="28"/>
          <w:szCs w:val="24"/>
          <w:highlight w:val="white"/>
        </w:rPr>
        <w:t>neuroborreliose</w:t>
      </w:r>
      <w:proofErr w:type="spellEnd"/>
      <w:r w:rsidR="00606326" w:rsidRPr="00C037A5">
        <w:rPr>
          <w:rFonts w:ascii="Times New Roman" w:eastAsia="Times New Roman" w:hAnsi="Times New Roman" w:cs="Times New Roman"/>
          <w:sz w:val="28"/>
          <w:szCs w:val="24"/>
          <w:highlight w:val="white"/>
        </w:rPr>
        <w:t xml:space="preserve"> </w:t>
      </w:r>
      <w:r w:rsidRPr="00C037A5">
        <w:rPr>
          <w:rFonts w:ascii="Times New Roman" w:eastAsia="Times New Roman" w:hAnsi="Times New Roman" w:cs="Times New Roman"/>
          <w:sz w:val="28"/>
          <w:szCs w:val="24"/>
          <w:highlight w:val="white"/>
        </w:rPr>
        <w:t>crónica</w:t>
      </w:r>
    </w:p>
    <w:bookmarkEnd w:id="0"/>
    <w:p w:rsidR="00383254" w:rsidRPr="00C037A5" w:rsidRDefault="00383254">
      <w:pPr>
        <w:pStyle w:val="Normal1"/>
        <w:spacing w:after="0" w:line="48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383254" w:rsidRPr="00C037A5" w:rsidRDefault="00E86A11">
      <w:pPr>
        <w:pStyle w:val="Normal1"/>
        <w:spacing w:after="0" w:line="48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val="en-US"/>
        </w:rPr>
      </w:pPr>
      <w:r w:rsidRPr="00C037A5">
        <w:rPr>
          <w:rFonts w:ascii="Times New Roman" w:eastAsia="Times New Roman" w:hAnsi="Times New Roman" w:cs="Times New Roman"/>
          <w:b/>
          <w:sz w:val="28"/>
          <w:szCs w:val="24"/>
          <w:lang w:val="en-US"/>
        </w:rPr>
        <w:t>Summary</w:t>
      </w:r>
    </w:p>
    <w:p w:rsidR="00383254" w:rsidRPr="00C037A5" w:rsidRDefault="00E86A11">
      <w:pPr>
        <w:pStyle w:val="Normal1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4"/>
          <w:lang w:val="en-US"/>
        </w:rPr>
      </w:pPr>
      <w:r w:rsidRPr="00C037A5">
        <w:rPr>
          <w:rFonts w:ascii="Times New Roman" w:eastAsia="Times New Roman" w:hAnsi="Times New Roman" w:cs="Times New Roman"/>
          <w:i/>
          <w:color w:val="auto"/>
          <w:sz w:val="28"/>
          <w:szCs w:val="24"/>
          <w:lang w:val="en-US"/>
        </w:rPr>
        <w:t xml:space="preserve">Lyme disease is an endemic zoonosis, </w:t>
      </w:r>
      <w:r w:rsidRPr="00C037A5">
        <w:rPr>
          <w:rFonts w:ascii="Times New Roman" w:eastAsia="Times New Roman" w:hAnsi="Times New Roman" w:cs="Times New Roman"/>
          <w:i/>
          <w:color w:val="auto"/>
          <w:sz w:val="28"/>
          <w:szCs w:val="24"/>
          <w:highlight w:val="white"/>
          <w:lang w:val="en-US"/>
        </w:rPr>
        <w:t>the most prevalent tick-transmitted infection in temperate areas of Europe, North America and Asia</w:t>
      </w:r>
      <w:r w:rsidRPr="00C037A5">
        <w:rPr>
          <w:rFonts w:ascii="Times New Roman" w:eastAsia="Times New Roman" w:hAnsi="Times New Roman" w:cs="Times New Roman"/>
          <w:i/>
          <w:color w:val="auto"/>
          <w:sz w:val="28"/>
          <w:szCs w:val="24"/>
          <w:lang w:val="en-US"/>
        </w:rPr>
        <w:t xml:space="preserve">. It is a </w:t>
      </w:r>
      <w:proofErr w:type="spellStart"/>
      <w:r w:rsidRPr="00C037A5">
        <w:rPr>
          <w:rFonts w:ascii="Times New Roman" w:eastAsia="Times New Roman" w:hAnsi="Times New Roman" w:cs="Times New Roman"/>
          <w:i/>
          <w:color w:val="auto"/>
          <w:sz w:val="28"/>
          <w:szCs w:val="24"/>
          <w:lang w:val="en-US"/>
        </w:rPr>
        <w:t>multisystemic</w:t>
      </w:r>
      <w:proofErr w:type="spellEnd"/>
      <w:r w:rsidRPr="00C037A5">
        <w:rPr>
          <w:rFonts w:ascii="Times New Roman" w:eastAsia="Times New Roman" w:hAnsi="Times New Roman" w:cs="Times New Roman"/>
          <w:i/>
          <w:color w:val="auto"/>
          <w:sz w:val="28"/>
          <w:szCs w:val="24"/>
          <w:lang w:val="en-US"/>
        </w:rPr>
        <w:t xml:space="preserve"> disease, with cutaneous, </w:t>
      </w:r>
      <w:proofErr w:type="spellStart"/>
      <w:r w:rsidRPr="00C037A5">
        <w:rPr>
          <w:rFonts w:ascii="Times New Roman" w:eastAsia="Times New Roman" w:hAnsi="Times New Roman" w:cs="Times New Roman"/>
          <w:i/>
          <w:color w:val="auto"/>
          <w:sz w:val="28"/>
          <w:szCs w:val="24"/>
          <w:lang w:val="en-US"/>
        </w:rPr>
        <w:t>osteoarticular</w:t>
      </w:r>
      <w:proofErr w:type="spellEnd"/>
      <w:r w:rsidRPr="00C037A5">
        <w:rPr>
          <w:rFonts w:ascii="Times New Roman" w:eastAsia="Times New Roman" w:hAnsi="Times New Roman" w:cs="Times New Roman"/>
          <w:i/>
          <w:color w:val="auto"/>
          <w:sz w:val="28"/>
          <w:szCs w:val="24"/>
          <w:lang w:val="en-US"/>
        </w:rPr>
        <w:t xml:space="preserve">, neurologic and cardiac manifestations, according to the stage of the disease. We describe a case of late </w:t>
      </w:r>
      <w:proofErr w:type="spellStart"/>
      <w:r w:rsidRPr="00C037A5">
        <w:rPr>
          <w:rFonts w:ascii="Times New Roman" w:eastAsia="Times New Roman" w:hAnsi="Times New Roman" w:cs="Times New Roman"/>
          <w:i/>
          <w:color w:val="auto"/>
          <w:sz w:val="28"/>
          <w:szCs w:val="24"/>
          <w:lang w:val="en-US"/>
        </w:rPr>
        <w:t>neuroborreliosis</w:t>
      </w:r>
      <w:proofErr w:type="spellEnd"/>
      <w:r w:rsidRPr="00C037A5">
        <w:rPr>
          <w:rFonts w:ascii="Times New Roman" w:eastAsia="Times New Roman" w:hAnsi="Times New Roman" w:cs="Times New Roman"/>
          <w:i/>
          <w:color w:val="auto"/>
          <w:sz w:val="28"/>
          <w:szCs w:val="24"/>
          <w:lang w:val="en-US"/>
        </w:rPr>
        <w:t xml:space="preserve"> in an Erasmus </w:t>
      </w:r>
      <w:proofErr w:type="spellStart"/>
      <w:r w:rsidRPr="00C037A5">
        <w:rPr>
          <w:rFonts w:ascii="Times New Roman" w:eastAsia="Times New Roman" w:hAnsi="Times New Roman" w:cs="Times New Roman"/>
          <w:i/>
          <w:color w:val="auto"/>
          <w:sz w:val="28"/>
          <w:szCs w:val="24"/>
          <w:lang w:val="en-US"/>
        </w:rPr>
        <w:t>programme</w:t>
      </w:r>
      <w:proofErr w:type="spellEnd"/>
      <w:r w:rsidRPr="00C037A5">
        <w:rPr>
          <w:rFonts w:ascii="Times New Roman" w:eastAsia="Times New Roman" w:hAnsi="Times New Roman" w:cs="Times New Roman"/>
          <w:i/>
          <w:color w:val="auto"/>
          <w:sz w:val="28"/>
          <w:szCs w:val="24"/>
          <w:lang w:val="en-US"/>
        </w:rPr>
        <w:t xml:space="preserve"> student living in Porto. We discuss the epidemiological suspicion, the clinical approach, the diagnostic criteria and the most adequate treatment.</w:t>
      </w:r>
    </w:p>
    <w:p w:rsidR="00383254" w:rsidRPr="00C037A5" w:rsidRDefault="00383254">
      <w:pPr>
        <w:pStyle w:val="Normal1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val="en-GB"/>
        </w:rPr>
      </w:pPr>
    </w:p>
    <w:p w:rsidR="00383254" w:rsidRPr="00C037A5" w:rsidRDefault="00E86A11">
      <w:pPr>
        <w:pStyle w:val="Normal1"/>
        <w:spacing w:after="0" w:line="480" w:lineRule="auto"/>
        <w:jc w:val="both"/>
        <w:rPr>
          <w:rFonts w:ascii="Times New Roman" w:eastAsia="Times New Roman" w:hAnsi="Times New Roman" w:cs="Times New Roman"/>
          <w:sz w:val="28"/>
          <w:szCs w:val="24"/>
          <w:highlight w:val="white"/>
          <w:lang w:val="en-US"/>
        </w:rPr>
      </w:pPr>
      <w:r w:rsidRPr="00C037A5">
        <w:rPr>
          <w:rFonts w:ascii="Times New Roman" w:eastAsia="Times New Roman" w:hAnsi="Times New Roman" w:cs="Times New Roman"/>
          <w:b/>
          <w:i/>
          <w:sz w:val="28"/>
          <w:szCs w:val="24"/>
          <w:highlight w:val="white"/>
          <w:lang w:val="en-US"/>
        </w:rPr>
        <w:t>Keywords</w:t>
      </w:r>
      <w:r w:rsidRPr="00C037A5">
        <w:rPr>
          <w:rFonts w:ascii="Times New Roman" w:eastAsia="Times New Roman" w:hAnsi="Times New Roman" w:cs="Times New Roman"/>
          <w:b/>
          <w:sz w:val="28"/>
          <w:szCs w:val="24"/>
          <w:highlight w:val="white"/>
          <w:lang w:val="en-US"/>
        </w:rPr>
        <w:t xml:space="preserve">: </w:t>
      </w:r>
      <w:r w:rsidRPr="00C037A5">
        <w:rPr>
          <w:rFonts w:ascii="Times New Roman" w:eastAsia="Times New Roman" w:hAnsi="Times New Roman" w:cs="Times New Roman"/>
          <w:i/>
          <w:sz w:val="28"/>
          <w:szCs w:val="24"/>
          <w:highlight w:val="white"/>
          <w:lang w:val="en-US"/>
        </w:rPr>
        <w:t xml:space="preserve">Lyme disease, </w:t>
      </w:r>
      <w:proofErr w:type="spellStart"/>
      <w:r w:rsidRPr="00C037A5">
        <w:rPr>
          <w:rFonts w:ascii="Times New Roman" w:eastAsia="Times New Roman" w:hAnsi="Times New Roman" w:cs="Times New Roman"/>
          <w:sz w:val="28"/>
          <w:szCs w:val="24"/>
          <w:lang w:val="en-US"/>
        </w:rPr>
        <w:t>Borrelia</w:t>
      </w:r>
      <w:proofErr w:type="spellEnd"/>
      <w:r w:rsidRPr="00C037A5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C037A5">
        <w:rPr>
          <w:rFonts w:ascii="Times New Roman" w:eastAsia="Times New Roman" w:hAnsi="Times New Roman" w:cs="Times New Roman"/>
          <w:sz w:val="28"/>
          <w:szCs w:val="24"/>
          <w:lang w:val="en-US"/>
        </w:rPr>
        <w:t>spp</w:t>
      </w:r>
      <w:proofErr w:type="spellEnd"/>
      <w:r w:rsidRPr="00C037A5">
        <w:rPr>
          <w:rFonts w:ascii="Times New Roman" w:eastAsia="Times New Roman" w:hAnsi="Times New Roman" w:cs="Times New Roman"/>
          <w:i/>
          <w:sz w:val="28"/>
          <w:szCs w:val="24"/>
          <w:lang w:val="en-US"/>
        </w:rPr>
        <w:t xml:space="preserve">, </w:t>
      </w:r>
      <w:r w:rsidR="002A7E90" w:rsidRPr="00C037A5">
        <w:rPr>
          <w:rFonts w:ascii="Times New Roman" w:eastAsia="Times New Roman" w:hAnsi="Times New Roman" w:cs="Times New Roman"/>
          <w:i/>
          <w:sz w:val="28"/>
          <w:szCs w:val="24"/>
          <w:highlight w:val="white"/>
          <w:lang w:val="en-US"/>
        </w:rPr>
        <w:t>chronic</w:t>
      </w:r>
      <w:r w:rsidR="002A7E90" w:rsidRPr="00C037A5">
        <w:rPr>
          <w:rFonts w:ascii="Times New Roman" w:eastAsia="Times New Roman" w:hAnsi="Times New Roman" w:cs="Times New Roman"/>
          <w:sz w:val="28"/>
          <w:szCs w:val="24"/>
          <w:highlight w:val="white"/>
          <w:lang w:val="en-US"/>
        </w:rPr>
        <w:t xml:space="preserve"> </w:t>
      </w:r>
      <w:proofErr w:type="spellStart"/>
      <w:r w:rsidR="002A7E90">
        <w:rPr>
          <w:rFonts w:ascii="Times New Roman" w:eastAsia="Times New Roman" w:hAnsi="Times New Roman" w:cs="Times New Roman"/>
          <w:i/>
          <w:sz w:val="28"/>
          <w:szCs w:val="24"/>
          <w:highlight w:val="white"/>
          <w:lang w:val="en-US"/>
        </w:rPr>
        <w:t>neuroborreliosis</w:t>
      </w:r>
      <w:proofErr w:type="spellEnd"/>
    </w:p>
    <w:p w:rsidR="00383254" w:rsidRPr="000F7920" w:rsidRDefault="00383254">
      <w:pPr>
        <w:pStyle w:val="Normal1"/>
        <w:spacing w:after="0" w:line="360" w:lineRule="auto"/>
        <w:jc w:val="both"/>
        <w:rPr>
          <w:rFonts w:ascii="Arial Narrow" w:eastAsia="Arial Narrow" w:hAnsi="Arial Narrow" w:cs="Arial Narrow"/>
          <w:lang w:val="en-US"/>
        </w:rPr>
      </w:pPr>
    </w:p>
    <w:p w:rsidR="00383254" w:rsidRPr="000F7920" w:rsidRDefault="00383254">
      <w:pPr>
        <w:pStyle w:val="Normal1"/>
        <w:spacing w:after="0" w:line="360" w:lineRule="auto"/>
        <w:jc w:val="both"/>
        <w:rPr>
          <w:rFonts w:ascii="Arial Narrow" w:eastAsia="Arial Narrow" w:hAnsi="Arial Narrow" w:cs="Arial Narrow"/>
          <w:lang w:val="en-US"/>
        </w:rPr>
      </w:pPr>
    </w:p>
    <w:p w:rsidR="00383254" w:rsidRPr="000F7920" w:rsidRDefault="00383254">
      <w:pPr>
        <w:pStyle w:val="Normal1"/>
        <w:spacing w:after="0" w:line="360" w:lineRule="auto"/>
        <w:jc w:val="both"/>
        <w:rPr>
          <w:rFonts w:ascii="Arial Narrow" w:eastAsia="Arial Narrow" w:hAnsi="Arial Narrow" w:cs="Arial Narrow"/>
          <w:lang w:val="en-US"/>
        </w:rPr>
      </w:pPr>
    </w:p>
    <w:p w:rsidR="00383254" w:rsidRPr="000F7920" w:rsidRDefault="00383254">
      <w:pPr>
        <w:pStyle w:val="Normal1"/>
        <w:spacing w:after="0" w:line="360" w:lineRule="auto"/>
        <w:jc w:val="both"/>
        <w:rPr>
          <w:rFonts w:ascii="Arial Narrow" w:eastAsia="Arial Narrow" w:hAnsi="Arial Narrow" w:cs="Arial Narrow"/>
          <w:lang w:val="en-US"/>
        </w:rPr>
      </w:pPr>
    </w:p>
    <w:p w:rsidR="000F7920" w:rsidRDefault="000F7920">
      <w:pPr>
        <w:pStyle w:val="Normal1"/>
        <w:spacing w:after="0" w:line="276" w:lineRule="auto"/>
        <w:jc w:val="both"/>
        <w:rPr>
          <w:rFonts w:ascii="Arial Narrow" w:eastAsia="Arial Narrow" w:hAnsi="Arial Narrow" w:cs="Arial Narrow"/>
          <w:lang w:val="en-US"/>
        </w:rPr>
      </w:pPr>
    </w:p>
    <w:p w:rsidR="00C037A5" w:rsidRPr="00884CDE" w:rsidRDefault="00C037A5">
      <w:pPr>
        <w:pStyle w:val="Normal1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F16FCC" w:rsidRPr="00345831" w:rsidRDefault="00F16FCC">
      <w:pPr>
        <w:pStyle w:val="Normal1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val="en-US"/>
        </w:rPr>
      </w:pPr>
    </w:p>
    <w:p w:rsidR="00F16FCC" w:rsidRPr="00345831" w:rsidRDefault="00F16FCC">
      <w:pPr>
        <w:pStyle w:val="Normal1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val="en-US"/>
        </w:rPr>
      </w:pPr>
    </w:p>
    <w:p w:rsidR="00F16FCC" w:rsidRPr="00345831" w:rsidRDefault="00F16FCC">
      <w:pPr>
        <w:pStyle w:val="Normal1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val="en-US"/>
        </w:rPr>
      </w:pPr>
    </w:p>
    <w:p w:rsidR="00F16FCC" w:rsidRPr="00345831" w:rsidRDefault="00F16FCC">
      <w:pPr>
        <w:pStyle w:val="Normal1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val="en-US"/>
        </w:rPr>
      </w:pPr>
    </w:p>
    <w:p w:rsidR="00383254" w:rsidRPr="00C037A5" w:rsidRDefault="00E86A11">
      <w:pPr>
        <w:pStyle w:val="Normal1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C037A5">
        <w:rPr>
          <w:rFonts w:ascii="Times New Roman" w:eastAsia="Times New Roman" w:hAnsi="Times New Roman" w:cs="Times New Roman"/>
          <w:b/>
          <w:sz w:val="28"/>
          <w:szCs w:val="24"/>
        </w:rPr>
        <w:lastRenderedPageBreak/>
        <w:t>INTRODUÇÃO</w:t>
      </w:r>
    </w:p>
    <w:p w:rsidR="00383254" w:rsidRPr="00C037A5" w:rsidRDefault="00C037A5" w:rsidP="00C037A5">
      <w:pPr>
        <w:pStyle w:val="SemEspaamento"/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E86A11" w:rsidRPr="00C037A5">
        <w:rPr>
          <w:rFonts w:ascii="Times New Roman" w:hAnsi="Times New Roman" w:cs="Times New Roman"/>
          <w:sz w:val="28"/>
        </w:rPr>
        <w:t xml:space="preserve">A doença de </w:t>
      </w:r>
      <w:proofErr w:type="spellStart"/>
      <w:r w:rsidR="00E86A11" w:rsidRPr="00C037A5">
        <w:rPr>
          <w:rFonts w:ascii="Times New Roman" w:hAnsi="Times New Roman" w:cs="Times New Roman"/>
          <w:sz w:val="28"/>
        </w:rPr>
        <w:t>Lyme</w:t>
      </w:r>
      <w:proofErr w:type="spellEnd"/>
      <w:r w:rsidR="00E86A11" w:rsidRPr="00C037A5">
        <w:rPr>
          <w:rFonts w:ascii="Times New Roman" w:hAnsi="Times New Roman" w:cs="Times New Roman"/>
          <w:sz w:val="28"/>
        </w:rPr>
        <w:t xml:space="preserve"> é </w:t>
      </w:r>
      <w:r w:rsidR="004D7E77" w:rsidRPr="00C037A5">
        <w:rPr>
          <w:rFonts w:ascii="Times New Roman" w:hAnsi="Times New Roman" w:cs="Times New Roman"/>
          <w:sz w:val="28"/>
        </w:rPr>
        <w:t>uma zoonose endémica com maior prevalência</w:t>
      </w:r>
      <w:r w:rsidR="00E86A11" w:rsidRPr="00C037A5">
        <w:rPr>
          <w:rFonts w:ascii="Times New Roman" w:hAnsi="Times New Roman" w:cs="Times New Roman"/>
          <w:sz w:val="28"/>
        </w:rPr>
        <w:t xml:space="preserve"> em regiões com clima temperado</w:t>
      </w:r>
      <w:r w:rsidR="004D7E77" w:rsidRPr="00C037A5">
        <w:rPr>
          <w:rFonts w:ascii="Times New Roman" w:hAnsi="Times New Roman" w:cs="Times New Roman"/>
          <w:sz w:val="28"/>
        </w:rPr>
        <w:t xml:space="preserve">, nomeadamente </w:t>
      </w:r>
      <w:r w:rsidR="00E86A11" w:rsidRPr="00C037A5">
        <w:rPr>
          <w:rFonts w:ascii="Times New Roman" w:hAnsi="Times New Roman" w:cs="Times New Roman"/>
          <w:sz w:val="28"/>
        </w:rPr>
        <w:t>nos Estados Unidos da América (EUA)</w:t>
      </w:r>
      <w:r w:rsidR="00F16FCC">
        <w:rPr>
          <w:rFonts w:ascii="Times New Roman" w:hAnsi="Times New Roman" w:cs="Times New Roman"/>
          <w:sz w:val="28"/>
        </w:rPr>
        <w:t>,</w:t>
      </w:r>
      <w:r w:rsidR="000F7920" w:rsidRPr="00C037A5">
        <w:rPr>
          <w:rFonts w:ascii="Times New Roman" w:hAnsi="Times New Roman" w:cs="Times New Roman"/>
          <w:sz w:val="28"/>
        </w:rPr>
        <w:t xml:space="preserve"> </w:t>
      </w:r>
      <w:r w:rsidR="004D7E77" w:rsidRPr="00C037A5">
        <w:rPr>
          <w:rFonts w:ascii="Times New Roman" w:hAnsi="Times New Roman" w:cs="Times New Roman"/>
          <w:sz w:val="28"/>
        </w:rPr>
        <w:t xml:space="preserve">na </w:t>
      </w:r>
      <w:r w:rsidR="000F7920" w:rsidRPr="00C037A5">
        <w:rPr>
          <w:rFonts w:ascii="Times New Roman" w:hAnsi="Times New Roman" w:cs="Times New Roman"/>
          <w:sz w:val="28"/>
        </w:rPr>
        <w:t>Ásia</w:t>
      </w:r>
      <w:r w:rsidR="00F16FCC">
        <w:rPr>
          <w:rFonts w:ascii="Times New Roman" w:hAnsi="Times New Roman" w:cs="Times New Roman"/>
          <w:sz w:val="28"/>
        </w:rPr>
        <w:t xml:space="preserve"> e </w:t>
      </w:r>
      <w:r w:rsidR="008D541C">
        <w:rPr>
          <w:rFonts w:ascii="Times New Roman" w:hAnsi="Times New Roman" w:cs="Times New Roman"/>
          <w:sz w:val="28"/>
        </w:rPr>
        <w:t>na Europa</w:t>
      </w:r>
      <w:r w:rsidR="004D7E77" w:rsidRPr="00C037A5">
        <w:rPr>
          <w:rFonts w:ascii="Times New Roman" w:hAnsi="Times New Roman" w:cs="Times New Roman"/>
          <w:sz w:val="28"/>
        </w:rPr>
        <w:t>, particularmente</w:t>
      </w:r>
      <w:r w:rsidR="00E86A11" w:rsidRPr="00C037A5">
        <w:rPr>
          <w:rFonts w:ascii="Times New Roman" w:hAnsi="Times New Roman" w:cs="Times New Roman"/>
          <w:sz w:val="28"/>
        </w:rPr>
        <w:t xml:space="preserve"> nos países escandinavos e </w:t>
      </w:r>
      <w:r w:rsidR="008D541C">
        <w:rPr>
          <w:rFonts w:ascii="Times New Roman" w:hAnsi="Times New Roman" w:cs="Times New Roman"/>
          <w:sz w:val="28"/>
        </w:rPr>
        <w:t>centrais</w:t>
      </w:r>
      <w:r w:rsidR="00E86A11" w:rsidRPr="00C037A5">
        <w:rPr>
          <w:rFonts w:ascii="Times New Roman" w:hAnsi="Times New Roman" w:cs="Times New Roman"/>
          <w:sz w:val="28"/>
        </w:rPr>
        <w:t xml:space="preserve"> (Áustria, Eslovénia e </w:t>
      </w:r>
      <w:proofErr w:type="gramStart"/>
      <w:r w:rsidR="00E86A11" w:rsidRPr="00C037A5">
        <w:rPr>
          <w:rFonts w:ascii="Times New Roman" w:hAnsi="Times New Roman" w:cs="Times New Roman"/>
          <w:sz w:val="28"/>
        </w:rPr>
        <w:t>Alemanha)</w:t>
      </w:r>
      <w:r w:rsidR="00606326" w:rsidRPr="00C037A5">
        <w:rPr>
          <w:rFonts w:ascii="Times New Roman" w:hAnsi="Times New Roman" w:cs="Times New Roman"/>
          <w:sz w:val="28"/>
          <w:vertAlign w:val="superscript"/>
        </w:rPr>
        <w:t>1</w:t>
      </w:r>
      <w:proofErr w:type="gramEnd"/>
      <w:r w:rsidR="00E86A11" w:rsidRPr="00C037A5">
        <w:rPr>
          <w:rFonts w:ascii="Times New Roman" w:hAnsi="Times New Roman" w:cs="Times New Roman"/>
          <w:sz w:val="28"/>
        </w:rPr>
        <w:t>, provocada pela espiroqueta</w:t>
      </w:r>
      <w:r w:rsidR="00E86A11" w:rsidRPr="00C037A5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E86A11" w:rsidRPr="00C037A5">
        <w:rPr>
          <w:rFonts w:ascii="Times New Roman" w:hAnsi="Times New Roman" w:cs="Times New Roman"/>
          <w:i/>
          <w:sz w:val="28"/>
          <w:highlight w:val="white"/>
        </w:rPr>
        <w:t>Borrelia</w:t>
      </w:r>
      <w:proofErr w:type="spellEnd"/>
      <w:r w:rsidR="00E86A11" w:rsidRPr="00C037A5">
        <w:rPr>
          <w:rFonts w:ascii="Times New Roman" w:hAnsi="Times New Roman" w:cs="Times New Roman"/>
          <w:i/>
          <w:sz w:val="28"/>
          <w:highlight w:val="white"/>
        </w:rPr>
        <w:t xml:space="preserve"> </w:t>
      </w:r>
      <w:proofErr w:type="spellStart"/>
      <w:r w:rsidR="00E86A11" w:rsidRPr="00C037A5">
        <w:rPr>
          <w:rFonts w:ascii="Times New Roman" w:hAnsi="Times New Roman" w:cs="Times New Roman"/>
          <w:i/>
          <w:sz w:val="28"/>
          <w:highlight w:val="white"/>
        </w:rPr>
        <w:t>burgdorferi</w:t>
      </w:r>
      <w:proofErr w:type="spellEnd"/>
      <w:r w:rsidR="00E86A11" w:rsidRPr="00C037A5">
        <w:rPr>
          <w:rFonts w:ascii="Times New Roman" w:hAnsi="Times New Roman" w:cs="Times New Roman"/>
          <w:i/>
          <w:sz w:val="28"/>
          <w:highlight w:val="white"/>
        </w:rPr>
        <w:t xml:space="preserve"> </w:t>
      </w:r>
      <w:proofErr w:type="spellStart"/>
      <w:r w:rsidR="00E86A11" w:rsidRPr="00C037A5">
        <w:rPr>
          <w:rFonts w:ascii="Times New Roman" w:hAnsi="Times New Roman" w:cs="Times New Roman"/>
          <w:i/>
          <w:sz w:val="28"/>
          <w:highlight w:val="white"/>
        </w:rPr>
        <w:t>sensu</w:t>
      </w:r>
      <w:proofErr w:type="spellEnd"/>
      <w:r w:rsidR="00E86A11" w:rsidRPr="00C037A5">
        <w:rPr>
          <w:rFonts w:ascii="Times New Roman" w:hAnsi="Times New Roman" w:cs="Times New Roman"/>
          <w:i/>
          <w:sz w:val="28"/>
          <w:highlight w:val="white"/>
        </w:rPr>
        <w:t xml:space="preserve"> </w:t>
      </w:r>
      <w:proofErr w:type="spellStart"/>
      <w:r w:rsidR="00E86A11" w:rsidRPr="00C037A5">
        <w:rPr>
          <w:rFonts w:ascii="Times New Roman" w:hAnsi="Times New Roman" w:cs="Times New Roman"/>
          <w:i/>
          <w:sz w:val="28"/>
          <w:highlight w:val="white"/>
        </w:rPr>
        <w:t>latu</w:t>
      </w:r>
      <w:proofErr w:type="spellEnd"/>
      <w:r w:rsidR="00E86A11" w:rsidRPr="00C037A5">
        <w:rPr>
          <w:rFonts w:ascii="Times New Roman" w:hAnsi="Times New Roman" w:cs="Times New Roman"/>
          <w:sz w:val="28"/>
        </w:rPr>
        <w:t>. Na Euro</w:t>
      </w:r>
      <w:r w:rsidR="00F16FCC">
        <w:rPr>
          <w:rFonts w:ascii="Times New Roman" w:hAnsi="Times New Roman" w:cs="Times New Roman"/>
          <w:sz w:val="28"/>
        </w:rPr>
        <w:t xml:space="preserve">pa, as espécies mais comuns são </w:t>
      </w:r>
      <w:r w:rsidR="00E86A11" w:rsidRPr="00C037A5">
        <w:rPr>
          <w:rFonts w:ascii="Times New Roman" w:hAnsi="Times New Roman" w:cs="Times New Roman"/>
          <w:sz w:val="28"/>
        </w:rPr>
        <w:t>a</w:t>
      </w:r>
      <w:r w:rsidR="00F16FC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86A11" w:rsidRPr="00C037A5">
        <w:rPr>
          <w:rFonts w:ascii="Times New Roman" w:hAnsi="Times New Roman" w:cs="Times New Roman"/>
          <w:i/>
          <w:sz w:val="28"/>
          <w:highlight w:val="white"/>
        </w:rPr>
        <w:t>Borrelia</w:t>
      </w:r>
      <w:proofErr w:type="spellEnd"/>
      <w:r w:rsidR="00E86A11" w:rsidRPr="00C037A5">
        <w:rPr>
          <w:rFonts w:ascii="Times New Roman" w:hAnsi="Times New Roman" w:cs="Times New Roman"/>
          <w:i/>
          <w:sz w:val="28"/>
          <w:highlight w:val="white"/>
        </w:rPr>
        <w:t> </w:t>
      </w:r>
      <w:proofErr w:type="spellStart"/>
      <w:r w:rsidR="00E86A11" w:rsidRPr="00C037A5">
        <w:rPr>
          <w:rFonts w:ascii="Times New Roman" w:hAnsi="Times New Roman" w:cs="Times New Roman"/>
          <w:i/>
          <w:sz w:val="28"/>
          <w:highlight w:val="white"/>
        </w:rPr>
        <w:t>afzelii</w:t>
      </w:r>
      <w:proofErr w:type="spellEnd"/>
      <w:r w:rsidR="00E86A11" w:rsidRPr="00C037A5">
        <w:rPr>
          <w:rFonts w:ascii="Times New Roman" w:hAnsi="Times New Roman" w:cs="Times New Roman"/>
          <w:sz w:val="28"/>
          <w:highlight w:val="white"/>
        </w:rPr>
        <w:t xml:space="preserve"> e a </w:t>
      </w:r>
      <w:proofErr w:type="spellStart"/>
      <w:r w:rsidR="00E86A11" w:rsidRPr="00C037A5">
        <w:rPr>
          <w:rFonts w:ascii="Times New Roman" w:hAnsi="Times New Roman" w:cs="Times New Roman"/>
          <w:i/>
          <w:sz w:val="28"/>
          <w:highlight w:val="white"/>
        </w:rPr>
        <w:t>Borrelia</w:t>
      </w:r>
      <w:proofErr w:type="spellEnd"/>
      <w:r w:rsidR="00E86A11" w:rsidRPr="00C037A5">
        <w:rPr>
          <w:rFonts w:ascii="Times New Roman" w:hAnsi="Times New Roman" w:cs="Times New Roman"/>
          <w:i/>
          <w:sz w:val="28"/>
          <w:highlight w:val="white"/>
        </w:rPr>
        <w:t> </w:t>
      </w:r>
      <w:proofErr w:type="spellStart"/>
      <w:r w:rsidR="00E86A11" w:rsidRPr="00C037A5">
        <w:rPr>
          <w:rFonts w:ascii="Times New Roman" w:hAnsi="Times New Roman" w:cs="Times New Roman"/>
          <w:i/>
          <w:sz w:val="28"/>
          <w:highlight w:val="white"/>
        </w:rPr>
        <w:t>garinii</w:t>
      </w:r>
      <w:proofErr w:type="spellEnd"/>
      <w:r w:rsidR="00E86A11" w:rsidRPr="00C037A5">
        <w:rPr>
          <w:rFonts w:ascii="Times New Roman" w:hAnsi="Times New Roman" w:cs="Times New Roman"/>
          <w:sz w:val="28"/>
          <w:highlight w:val="white"/>
        </w:rPr>
        <w:t xml:space="preserve">, transmitidas </w:t>
      </w:r>
      <w:r w:rsidR="008D541C">
        <w:rPr>
          <w:rFonts w:ascii="Times New Roman" w:hAnsi="Times New Roman" w:cs="Times New Roman"/>
          <w:sz w:val="28"/>
          <w:highlight w:val="white"/>
        </w:rPr>
        <w:t>por p</w:t>
      </w:r>
      <w:r w:rsidR="00E86A11" w:rsidRPr="00C037A5">
        <w:rPr>
          <w:rFonts w:ascii="Times New Roman" w:hAnsi="Times New Roman" w:cs="Times New Roman"/>
          <w:sz w:val="28"/>
          <w:highlight w:val="white"/>
        </w:rPr>
        <w:t xml:space="preserve">icada do artrópode </w:t>
      </w:r>
      <w:r w:rsidR="00E86A11" w:rsidRPr="00C037A5">
        <w:rPr>
          <w:rFonts w:ascii="Times New Roman" w:hAnsi="Times New Roman" w:cs="Times New Roman"/>
          <w:i/>
          <w:sz w:val="28"/>
          <w:highlight w:val="white"/>
        </w:rPr>
        <w:t xml:space="preserve">Ixodes </w:t>
      </w:r>
      <w:proofErr w:type="spellStart"/>
      <w:r w:rsidR="00E86A11" w:rsidRPr="00C037A5">
        <w:rPr>
          <w:rFonts w:ascii="Times New Roman" w:hAnsi="Times New Roman" w:cs="Times New Roman"/>
          <w:i/>
          <w:sz w:val="28"/>
          <w:highlight w:val="white"/>
        </w:rPr>
        <w:t>ricinus</w:t>
      </w:r>
      <w:proofErr w:type="spellEnd"/>
      <w:r w:rsidR="00E86A11" w:rsidRPr="00C037A5">
        <w:rPr>
          <w:rFonts w:ascii="Times New Roman" w:hAnsi="Times New Roman" w:cs="Times New Roman"/>
          <w:sz w:val="28"/>
          <w:highlight w:val="white"/>
        </w:rPr>
        <w:t> </w:t>
      </w:r>
      <w:proofErr w:type="spellStart"/>
      <w:r w:rsidR="00E86A11" w:rsidRPr="00C037A5">
        <w:rPr>
          <w:rFonts w:ascii="Times New Roman" w:hAnsi="Times New Roman" w:cs="Times New Roman"/>
          <w:sz w:val="28"/>
          <w:highlight w:val="white"/>
        </w:rPr>
        <w:t>complex</w:t>
      </w:r>
      <w:proofErr w:type="spellEnd"/>
      <w:r w:rsidR="00D80F44" w:rsidRPr="00C037A5">
        <w:rPr>
          <w:rFonts w:ascii="Times New Roman" w:hAnsi="Times New Roman" w:cs="Times New Roman"/>
          <w:sz w:val="28"/>
          <w:highlight w:val="white"/>
        </w:rPr>
        <w:t xml:space="preserve"> </w:t>
      </w:r>
      <w:r w:rsidR="00606326" w:rsidRPr="00C037A5">
        <w:rPr>
          <w:rFonts w:ascii="Times New Roman" w:hAnsi="Times New Roman" w:cs="Times New Roman"/>
          <w:sz w:val="28"/>
          <w:highlight w:val="white"/>
          <w:vertAlign w:val="superscript"/>
        </w:rPr>
        <w:t>2</w:t>
      </w:r>
      <w:r w:rsidR="00E86A11" w:rsidRPr="00C037A5">
        <w:rPr>
          <w:rFonts w:ascii="Times New Roman" w:hAnsi="Times New Roman" w:cs="Times New Roman"/>
          <w:sz w:val="28"/>
          <w:highlight w:val="white"/>
        </w:rPr>
        <w:t xml:space="preserve">. </w:t>
      </w:r>
      <w:r w:rsidR="00E86A11" w:rsidRPr="00C037A5">
        <w:rPr>
          <w:rFonts w:ascii="Times New Roman" w:hAnsi="Times New Roman" w:cs="Times New Roman"/>
          <w:sz w:val="28"/>
        </w:rPr>
        <w:t xml:space="preserve"> </w:t>
      </w:r>
    </w:p>
    <w:p w:rsidR="00BF3984" w:rsidRDefault="00156AE9" w:rsidP="00BF3984">
      <w:pPr>
        <w:pStyle w:val="SemEspaamento"/>
        <w:spacing w:line="360" w:lineRule="auto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É uma patologia</w:t>
      </w:r>
      <w:r w:rsidR="00E86A11" w:rsidRPr="00C037A5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86A11" w:rsidRPr="00C037A5">
        <w:rPr>
          <w:rFonts w:ascii="Times New Roman" w:hAnsi="Times New Roman" w:cs="Times New Roman"/>
          <w:sz w:val="28"/>
        </w:rPr>
        <w:t>multissistémica</w:t>
      </w:r>
      <w:proofErr w:type="spellEnd"/>
      <w:r w:rsidR="00E86A11" w:rsidRPr="00C037A5">
        <w:rPr>
          <w:rFonts w:ascii="Times New Roman" w:hAnsi="Times New Roman" w:cs="Times New Roman"/>
          <w:sz w:val="28"/>
        </w:rPr>
        <w:t>, com manifestações cutâneas, articulares</w:t>
      </w:r>
      <w:r w:rsidR="00BF3984">
        <w:rPr>
          <w:rFonts w:ascii="Times New Roman" w:hAnsi="Times New Roman" w:cs="Times New Roman"/>
          <w:sz w:val="28"/>
        </w:rPr>
        <w:t>, neurológicas</w:t>
      </w:r>
      <w:r w:rsidR="00E86A11" w:rsidRPr="00C037A5">
        <w:rPr>
          <w:rFonts w:ascii="Times New Roman" w:hAnsi="Times New Roman" w:cs="Times New Roman"/>
          <w:sz w:val="28"/>
        </w:rPr>
        <w:t xml:space="preserve"> e cardíacas, que variam de acordo com a fase da doença</w:t>
      </w:r>
      <w:r w:rsidR="00873515" w:rsidRPr="00C037A5">
        <w:rPr>
          <w:rFonts w:ascii="Times New Roman" w:hAnsi="Times New Roman" w:cs="Times New Roman"/>
          <w:sz w:val="28"/>
          <w:vertAlign w:val="superscript"/>
        </w:rPr>
        <w:t>3</w:t>
      </w:r>
      <w:r w:rsidR="00E86A11" w:rsidRPr="00C037A5">
        <w:rPr>
          <w:rFonts w:ascii="Times New Roman" w:hAnsi="Times New Roman" w:cs="Times New Roman"/>
          <w:sz w:val="28"/>
        </w:rPr>
        <w:t>.</w:t>
      </w:r>
      <w:r w:rsidR="00BF3984">
        <w:rPr>
          <w:rFonts w:ascii="Times New Roman" w:hAnsi="Times New Roman" w:cs="Times New Roman"/>
          <w:sz w:val="28"/>
        </w:rPr>
        <w:t xml:space="preserve"> </w:t>
      </w:r>
      <w:r w:rsidR="00E86A11" w:rsidRPr="00C037A5">
        <w:rPr>
          <w:rFonts w:ascii="Times New Roman" w:hAnsi="Times New Roman" w:cs="Times New Roman"/>
          <w:sz w:val="28"/>
        </w:rPr>
        <w:t xml:space="preserve">O envolvimento </w:t>
      </w:r>
      <w:r w:rsidR="00C902EB">
        <w:rPr>
          <w:rFonts w:ascii="Times New Roman" w:hAnsi="Times New Roman" w:cs="Times New Roman"/>
          <w:sz w:val="28"/>
        </w:rPr>
        <w:t xml:space="preserve">agudo </w:t>
      </w:r>
      <w:r w:rsidR="00E86A11" w:rsidRPr="00C037A5">
        <w:rPr>
          <w:rFonts w:ascii="Times New Roman" w:hAnsi="Times New Roman" w:cs="Times New Roman"/>
          <w:sz w:val="28"/>
        </w:rPr>
        <w:t>do sistema ne</w:t>
      </w:r>
      <w:r w:rsidR="00C902EB">
        <w:rPr>
          <w:rFonts w:ascii="Times New Roman" w:hAnsi="Times New Roman" w:cs="Times New Roman"/>
          <w:sz w:val="28"/>
        </w:rPr>
        <w:t>rvoso</w:t>
      </w:r>
      <w:r w:rsidR="00E86A11" w:rsidRPr="00C037A5">
        <w:rPr>
          <w:rFonts w:ascii="Times New Roman" w:hAnsi="Times New Roman" w:cs="Times New Roman"/>
          <w:sz w:val="28"/>
        </w:rPr>
        <w:t xml:space="preserve"> ocorre em </w:t>
      </w:r>
      <w:r w:rsidR="008D541C">
        <w:rPr>
          <w:rFonts w:ascii="Times New Roman" w:hAnsi="Times New Roman" w:cs="Times New Roman"/>
          <w:sz w:val="28"/>
        </w:rPr>
        <w:t>10-15% dos indivíduos, sendo</w:t>
      </w:r>
      <w:r w:rsidR="00E86A11" w:rsidRPr="00C037A5">
        <w:rPr>
          <w:rFonts w:ascii="Times New Roman" w:hAnsi="Times New Roman" w:cs="Times New Roman"/>
          <w:sz w:val="28"/>
        </w:rPr>
        <w:t xml:space="preserve"> mais comum a </w:t>
      </w:r>
      <w:proofErr w:type="spellStart"/>
      <w:r w:rsidR="00E86A11" w:rsidRPr="00C037A5">
        <w:rPr>
          <w:rFonts w:ascii="Times New Roman" w:hAnsi="Times New Roman" w:cs="Times New Roman"/>
          <w:sz w:val="28"/>
        </w:rPr>
        <w:t>meningorradiculite</w:t>
      </w:r>
      <w:proofErr w:type="spellEnd"/>
      <w:r w:rsidR="00E86A11" w:rsidRPr="00C037A5">
        <w:rPr>
          <w:rFonts w:ascii="Times New Roman" w:hAnsi="Times New Roman" w:cs="Times New Roman"/>
          <w:sz w:val="28"/>
        </w:rPr>
        <w:t xml:space="preserve"> (síndrome de </w:t>
      </w:r>
      <w:proofErr w:type="spellStart"/>
      <w:r w:rsidR="00E86A11" w:rsidRPr="00C037A5">
        <w:rPr>
          <w:rFonts w:ascii="Times New Roman" w:hAnsi="Times New Roman" w:cs="Times New Roman"/>
          <w:sz w:val="28"/>
        </w:rPr>
        <w:t>Bannwarth</w:t>
      </w:r>
      <w:proofErr w:type="spellEnd"/>
      <w:r w:rsidR="00E86A11" w:rsidRPr="00C037A5">
        <w:rPr>
          <w:rFonts w:ascii="Times New Roman" w:hAnsi="Times New Roman" w:cs="Times New Roman"/>
          <w:sz w:val="28"/>
        </w:rPr>
        <w:t>), seguida da meningite linfocítica</w:t>
      </w:r>
      <w:r w:rsidR="00873515" w:rsidRPr="00C037A5">
        <w:rPr>
          <w:rFonts w:ascii="Times New Roman" w:hAnsi="Times New Roman" w:cs="Times New Roman"/>
          <w:sz w:val="28"/>
          <w:vertAlign w:val="superscript"/>
        </w:rPr>
        <w:t>4</w:t>
      </w:r>
      <w:r w:rsidR="00E86A11" w:rsidRPr="00C037A5">
        <w:rPr>
          <w:rFonts w:ascii="Times New Roman" w:hAnsi="Times New Roman" w:cs="Times New Roman"/>
          <w:sz w:val="28"/>
        </w:rPr>
        <w:t>.</w:t>
      </w:r>
      <w:r w:rsidR="00BF3984">
        <w:rPr>
          <w:rFonts w:ascii="Times New Roman" w:hAnsi="Times New Roman" w:cs="Times New Roman"/>
          <w:sz w:val="28"/>
        </w:rPr>
        <w:t xml:space="preserve"> </w:t>
      </w:r>
    </w:p>
    <w:p w:rsidR="00383254" w:rsidRPr="00C037A5" w:rsidRDefault="00E86A11" w:rsidP="00BF3984">
      <w:pPr>
        <w:pStyle w:val="SemEspaamento"/>
        <w:spacing w:line="360" w:lineRule="auto"/>
        <w:ind w:firstLine="720"/>
        <w:jc w:val="both"/>
        <w:rPr>
          <w:rFonts w:ascii="Times New Roman" w:hAnsi="Times New Roman" w:cs="Times New Roman"/>
          <w:sz w:val="28"/>
        </w:rPr>
      </w:pPr>
      <w:r w:rsidRPr="00C037A5">
        <w:rPr>
          <w:rFonts w:ascii="Times New Roman" w:hAnsi="Times New Roman" w:cs="Times New Roman"/>
          <w:sz w:val="28"/>
        </w:rPr>
        <w:t xml:space="preserve">A </w:t>
      </w:r>
      <w:proofErr w:type="spellStart"/>
      <w:r w:rsidRPr="00C037A5">
        <w:rPr>
          <w:rFonts w:ascii="Times New Roman" w:hAnsi="Times New Roman" w:cs="Times New Roman"/>
          <w:sz w:val="28"/>
        </w:rPr>
        <w:t>neu</w:t>
      </w:r>
      <w:r w:rsidR="00156AE9">
        <w:rPr>
          <w:rFonts w:ascii="Times New Roman" w:hAnsi="Times New Roman" w:cs="Times New Roman"/>
          <w:sz w:val="28"/>
        </w:rPr>
        <w:t>roborreliose</w:t>
      </w:r>
      <w:proofErr w:type="spellEnd"/>
      <w:r w:rsidR="00156AE9">
        <w:rPr>
          <w:rFonts w:ascii="Times New Roman" w:hAnsi="Times New Roman" w:cs="Times New Roman"/>
          <w:sz w:val="28"/>
        </w:rPr>
        <w:t xml:space="preserve"> tardia ou crónica implica</w:t>
      </w:r>
      <w:r w:rsidRPr="00C037A5">
        <w:rPr>
          <w:rFonts w:ascii="Times New Roman" w:hAnsi="Times New Roman" w:cs="Times New Roman"/>
          <w:sz w:val="28"/>
        </w:rPr>
        <w:t xml:space="preserve"> mais de seis meses de evolu</w:t>
      </w:r>
      <w:r w:rsidR="00D80F44" w:rsidRPr="00C037A5">
        <w:rPr>
          <w:rFonts w:ascii="Times New Roman" w:hAnsi="Times New Roman" w:cs="Times New Roman"/>
          <w:sz w:val="28"/>
        </w:rPr>
        <w:t>ção</w:t>
      </w:r>
      <w:r w:rsidR="00873515" w:rsidRPr="00C037A5">
        <w:rPr>
          <w:rFonts w:ascii="Times New Roman" w:hAnsi="Times New Roman" w:cs="Times New Roman"/>
          <w:sz w:val="28"/>
          <w:vertAlign w:val="superscript"/>
        </w:rPr>
        <w:t>1,5</w:t>
      </w:r>
      <w:r w:rsidR="00921758" w:rsidRPr="00C037A5">
        <w:rPr>
          <w:rFonts w:ascii="Times New Roman" w:hAnsi="Times New Roman" w:cs="Times New Roman"/>
          <w:sz w:val="28"/>
          <w:vertAlign w:val="superscript"/>
        </w:rPr>
        <w:t>,6</w:t>
      </w:r>
      <w:r w:rsidR="00156AE9">
        <w:rPr>
          <w:rFonts w:ascii="Times New Roman" w:hAnsi="Times New Roman" w:cs="Times New Roman"/>
          <w:sz w:val="28"/>
        </w:rPr>
        <w:t xml:space="preserve">, estando </w:t>
      </w:r>
      <w:r w:rsidR="00D80F44" w:rsidRPr="00C037A5">
        <w:rPr>
          <w:rFonts w:ascii="Times New Roman" w:hAnsi="Times New Roman" w:cs="Times New Roman"/>
          <w:sz w:val="28"/>
        </w:rPr>
        <w:t>descrita em menos de 2</w:t>
      </w:r>
      <w:r w:rsidRPr="00C037A5">
        <w:rPr>
          <w:rFonts w:ascii="Times New Roman" w:hAnsi="Times New Roman" w:cs="Times New Roman"/>
          <w:sz w:val="28"/>
        </w:rPr>
        <w:t xml:space="preserve">% dos casos, geralmente </w:t>
      </w:r>
      <w:r w:rsidR="00156AE9">
        <w:rPr>
          <w:rFonts w:ascii="Times New Roman" w:hAnsi="Times New Roman" w:cs="Times New Roman"/>
          <w:sz w:val="28"/>
        </w:rPr>
        <w:t>sob forma de meningite</w:t>
      </w:r>
      <w:r w:rsidRPr="00C037A5">
        <w:rPr>
          <w:rFonts w:ascii="Times New Roman" w:hAnsi="Times New Roman" w:cs="Times New Roman"/>
          <w:sz w:val="28"/>
        </w:rPr>
        <w:t xml:space="preserve"> ou encefalomielite crónica</w:t>
      </w:r>
      <w:r w:rsidR="00156AE9">
        <w:rPr>
          <w:rFonts w:ascii="Times New Roman" w:hAnsi="Times New Roman" w:cs="Times New Roman"/>
          <w:sz w:val="28"/>
        </w:rPr>
        <w:t>s</w:t>
      </w:r>
      <w:r w:rsidR="00873515" w:rsidRPr="00C037A5">
        <w:rPr>
          <w:rFonts w:ascii="Times New Roman" w:hAnsi="Times New Roman" w:cs="Times New Roman"/>
          <w:sz w:val="28"/>
          <w:vertAlign w:val="superscript"/>
        </w:rPr>
        <w:t>1</w:t>
      </w:r>
      <w:r w:rsidRPr="00C037A5">
        <w:rPr>
          <w:rFonts w:ascii="Times New Roman" w:hAnsi="Times New Roman" w:cs="Times New Roman"/>
          <w:sz w:val="28"/>
        </w:rPr>
        <w:t>. O</w:t>
      </w:r>
      <w:r w:rsidR="00156AE9">
        <w:rPr>
          <w:rFonts w:ascii="Times New Roman" w:hAnsi="Times New Roman" w:cs="Times New Roman"/>
          <w:sz w:val="28"/>
        </w:rPr>
        <w:t xml:space="preserve"> seu</w:t>
      </w:r>
      <w:r w:rsidRPr="00C037A5">
        <w:rPr>
          <w:rFonts w:ascii="Times New Roman" w:hAnsi="Times New Roman" w:cs="Times New Roman"/>
          <w:sz w:val="28"/>
        </w:rPr>
        <w:t xml:space="preserve"> diagnóstico </w:t>
      </w:r>
      <w:r w:rsidR="00B735BF">
        <w:rPr>
          <w:rFonts w:ascii="Times New Roman" w:hAnsi="Times New Roman" w:cs="Times New Roman"/>
          <w:sz w:val="28"/>
        </w:rPr>
        <w:t>baseia-se na</w:t>
      </w:r>
      <w:r w:rsidRPr="00C037A5">
        <w:rPr>
          <w:rFonts w:ascii="Times New Roman" w:hAnsi="Times New Roman" w:cs="Times New Roman"/>
          <w:sz w:val="28"/>
        </w:rPr>
        <w:t xml:space="preserve"> clínica</w:t>
      </w:r>
      <w:r w:rsidR="00B735BF">
        <w:rPr>
          <w:rFonts w:ascii="Times New Roman" w:hAnsi="Times New Roman" w:cs="Times New Roman"/>
          <w:sz w:val="28"/>
        </w:rPr>
        <w:t>,</w:t>
      </w:r>
      <w:r w:rsidRPr="00C037A5">
        <w:rPr>
          <w:rFonts w:ascii="Times New Roman" w:hAnsi="Times New Roman" w:cs="Times New Roman"/>
          <w:sz w:val="28"/>
        </w:rPr>
        <w:t xml:space="preserve"> características do </w:t>
      </w:r>
      <w:proofErr w:type="spellStart"/>
      <w:r w:rsidRPr="00C037A5">
        <w:rPr>
          <w:rFonts w:ascii="Times New Roman" w:hAnsi="Times New Roman" w:cs="Times New Roman"/>
          <w:sz w:val="28"/>
        </w:rPr>
        <w:t>lí</w:t>
      </w:r>
      <w:r w:rsidR="00B735BF">
        <w:rPr>
          <w:rFonts w:ascii="Times New Roman" w:hAnsi="Times New Roman" w:cs="Times New Roman"/>
          <w:sz w:val="28"/>
        </w:rPr>
        <w:t>quor</w:t>
      </w:r>
      <w:proofErr w:type="spellEnd"/>
      <w:r w:rsidR="00B735BF">
        <w:rPr>
          <w:rFonts w:ascii="Times New Roman" w:hAnsi="Times New Roman" w:cs="Times New Roman"/>
          <w:sz w:val="28"/>
        </w:rPr>
        <w:t xml:space="preserve"> e </w:t>
      </w:r>
      <w:r w:rsidR="008D541C">
        <w:rPr>
          <w:rFonts w:ascii="Times New Roman" w:hAnsi="Times New Roman" w:cs="Times New Roman"/>
          <w:sz w:val="28"/>
        </w:rPr>
        <w:t>serologias</w:t>
      </w:r>
      <w:r w:rsidR="00BF3984">
        <w:rPr>
          <w:rFonts w:ascii="Times New Roman" w:hAnsi="Times New Roman" w:cs="Times New Roman"/>
          <w:sz w:val="28"/>
        </w:rPr>
        <w:t xml:space="preserve">. </w:t>
      </w:r>
      <w:r w:rsidRPr="00C037A5">
        <w:rPr>
          <w:rFonts w:ascii="Times New Roman" w:hAnsi="Times New Roman" w:cs="Times New Roman"/>
          <w:sz w:val="28"/>
        </w:rPr>
        <w:t>Recomenda-se</w:t>
      </w:r>
      <w:r w:rsidR="000F7920" w:rsidRPr="00C037A5">
        <w:rPr>
          <w:rFonts w:ascii="Times New Roman" w:hAnsi="Times New Roman" w:cs="Times New Roman"/>
          <w:sz w:val="28"/>
        </w:rPr>
        <w:t xml:space="preserve"> um</w:t>
      </w:r>
      <w:r w:rsidR="00B735BF">
        <w:rPr>
          <w:rFonts w:ascii="Times New Roman" w:hAnsi="Times New Roman" w:cs="Times New Roman"/>
          <w:sz w:val="28"/>
        </w:rPr>
        <w:t xml:space="preserve">a investigação em 2 etapas: </w:t>
      </w:r>
      <w:r w:rsidR="008D541C">
        <w:rPr>
          <w:rFonts w:ascii="Times New Roman" w:hAnsi="Times New Roman" w:cs="Times New Roman"/>
          <w:sz w:val="28"/>
        </w:rPr>
        <w:t>t</w:t>
      </w:r>
      <w:r w:rsidR="00B735BF">
        <w:rPr>
          <w:rFonts w:ascii="Times New Roman" w:hAnsi="Times New Roman" w:cs="Times New Roman"/>
          <w:sz w:val="28"/>
        </w:rPr>
        <w:t>este de rastreio</w:t>
      </w:r>
      <w:r w:rsidRPr="00C037A5">
        <w:rPr>
          <w:rFonts w:ascii="Times New Roman" w:hAnsi="Times New Roman" w:cs="Times New Roman"/>
          <w:sz w:val="28"/>
        </w:rPr>
        <w:t xml:space="preserve"> com </w:t>
      </w:r>
      <w:r w:rsidRPr="00C037A5">
        <w:rPr>
          <w:rFonts w:ascii="Times New Roman" w:hAnsi="Times New Roman" w:cs="Times New Roman"/>
          <w:color w:val="222222"/>
          <w:sz w:val="28"/>
          <w:highlight w:val="white"/>
        </w:rPr>
        <w:t xml:space="preserve">ensaio de </w:t>
      </w:r>
      <w:proofErr w:type="spellStart"/>
      <w:r w:rsidRPr="00C037A5">
        <w:rPr>
          <w:rFonts w:ascii="Times New Roman" w:hAnsi="Times New Roman" w:cs="Times New Roman"/>
          <w:color w:val="222222"/>
          <w:sz w:val="28"/>
          <w:highlight w:val="white"/>
        </w:rPr>
        <w:t>imunoabsorção</w:t>
      </w:r>
      <w:proofErr w:type="spellEnd"/>
      <w:r w:rsidRPr="00C037A5">
        <w:rPr>
          <w:rFonts w:ascii="Times New Roman" w:hAnsi="Times New Roman" w:cs="Times New Roman"/>
          <w:color w:val="222222"/>
          <w:sz w:val="28"/>
          <w:highlight w:val="white"/>
        </w:rPr>
        <w:t xml:space="preserve"> enzimática</w:t>
      </w:r>
      <w:r w:rsidRPr="00C037A5">
        <w:rPr>
          <w:rFonts w:ascii="Times New Roman" w:hAnsi="Times New Roman" w:cs="Times New Roman"/>
          <w:sz w:val="28"/>
        </w:rPr>
        <w:t xml:space="preserve"> (</w:t>
      </w:r>
      <w:proofErr w:type="spellStart"/>
      <w:r w:rsidRPr="00C037A5">
        <w:rPr>
          <w:rFonts w:ascii="Times New Roman" w:hAnsi="Times New Roman" w:cs="Times New Roman"/>
          <w:i/>
          <w:color w:val="222222"/>
          <w:sz w:val="28"/>
          <w:highlight w:val="white"/>
        </w:rPr>
        <w:t>Enzyme-Linked</w:t>
      </w:r>
      <w:proofErr w:type="spellEnd"/>
      <w:r w:rsidRPr="00C037A5">
        <w:rPr>
          <w:rFonts w:ascii="Times New Roman" w:hAnsi="Times New Roman" w:cs="Times New Roman"/>
          <w:i/>
          <w:color w:val="222222"/>
          <w:sz w:val="28"/>
          <w:highlight w:val="white"/>
        </w:rPr>
        <w:t xml:space="preserve"> </w:t>
      </w:r>
      <w:proofErr w:type="spellStart"/>
      <w:r w:rsidRPr="00C037A5">
        <w:rPr>
          <w:rFonts w:ascii="Times New Roman" w:hAnsi="Times New Roman" w:cs="Times New Roman"/>
          <w:i/>
          <w:color w:val="222222"/>
          <w:sz w:val="28"/>
          <w:highlight w:val="white"/>
        </w:rPr>
        <w:t>Immunosorbent</w:t>
      </w:r>
      <w:proofErr w:type="spellEnd"/>
      <w:r w:rsidRPr="00C037A5">
        <w:rPr>
          <w:rFonts w:ascii="Times New Roman" w:hAnsi="Times New Roman" w:cs="Times New Roman"/>
          <w:i/>
          <w:color w:val="222222"/>
          <w:sz w:val="28"/>
          <w:highlight w:val="white"/>
        </w:rPr>
        <w:t xml:space="preserve"> </w:t>
      </w:r>
      <w:proofErr w:type="spellStart"/>
      <w:r w:rsidRPr="00C037A5">
        <w:rPr>
          <w:rFonts w:ascii="Times New Roman" w:hAnsi="Times New Roman" w:cs="Times New Roman"/>
          <w:i/>
          <w:color w:val="222222"/>
          <w:sz w:val="28"/>
          <w:highlight w:val="white"/>
        </w:rPr>
        <w:t>Assay</w:t>
      </w:r>
      <w:proofErr w:type="spellEnd"/>
      <w:r w:rsidRPr="00C037A5">
        <w:rPr>
          <w:rFonts w:ascii="Times New Roman" w:hAnsi="Times New Roman" w:cs="Times New Roman"/>
          <w:i/>
          <w:color w:val="222222"/>
          <w:sz w:val="28"/>
          <w:highlight w:val="white"/>
        </w:rPr>
        <w:t xml:space="preserve"> -</w:t>
      </w:r>
      <w:r w:rsidRPr="00C037A5">
        <w:rPr>
          <w:rFonts w:ascii="Times New Roman" w:hAnsi="Times New Roman" w:cs="Times New Roman"/>
          <w:b/>
          <w:color w:val="222222"/>
          <w:sz w:val="28"/>
          <w:highlight w:val="white"/>
        </w:rPr>
        <w:t xml:space="preserve"> </w:t>
      </w:r>
      <w:r w:rsidR="008D541C">
        <w:rPr>
          <w:rFonts w:ascii="Times New Roman" w:hAnsi="Times New Roman" w:cs="Times New Roman"/>
          <w:sz w:val="28"/>
        </w:rPr>
        <w:t xml:space="preserve">ELISA) </w:t>
      </w:r>
      <w:r w:rsidRPr="00C037A5">
        <w:rPr>
          <w:rFonts w:ascii="Times New Roman" w:hAnsi="Times New Roman" w:cs="Times New Roman"/>
          <w:sz w:val="28"/>
        </w:rPr>
        <w:t xml:space="preserve">e </w:t>
      </w:r>
      <w:r w:rsidRPr="00C037A5">
        <w:rPr>
          <w:rFonts w:ascii="Times New Roman" w:hAnsi="Times New Roman" w:cs="Times New Roman"/>
          <w:i/>
          <w:sz w:val="28"/>
        </w:rPr>
        <w:t>western-</w:t>
      </w:r>
      <w:proofErr w:type="spellStart"/>
      <w:r w:rsidRPr="00C037A5">
        <w:rPr>
          <w:rFonts w:ascii="Times New Roman" w:hAnsi="Times New Roman" w:cs="Times New Roman"/>
          <w:i/>
          <w:sz w:val="28"/>
        </w:rPr>
        <w:t>blot</w:t>
      </w:r>
      <w:proofErr w:type="spellEnd"/>
      <w:r w:rsidRPr="00C037A5">
        <w:rPr>
          <w:rFonts w:ascii="Times New Roman" w:hAnsi="Times New Roman" w:cs="Times New Roman"/>
          <w:i/>
          <w:sz w:val="28"/>
        </w:rPr>
        <w:t xml:space="preserve"> </w:t>
      </w:r>
      <w:r w:rsidRPr="00C037A5">
        <w:rPr>
          <w:rFonts w:ascii="Times New Roman" w:hAnsi="Times New Roman" w:cs="Times New Roman"/>
          <w:sz w:val="28"/>
        </w:rPr>
        <w:t>confirmatório</w:t>
      </w:r>
      <w:r w:rsidR="00873515" w:rsidRPr="00C037A5">
        <w:rPr>
          <w:rFonts w:ascii="Times New Roman" w:hAnsi="Times New Roman" w:cs="Times New Roman"/>
          <w:sz w:val="28"/>
          <w:vertAlign w:val="superscript"/>
        </w:rPr>
        <w:t>1</w:t>
      </w:r>
      <w:r w:rsidR="00873515" w:rsidRPr="00C037A5">
        <w:rPr>
          <w:rFonts w:ascii="Times New Roman" w:hAnsi="Times New Roman" w:cs="Times New Roman"/>
          <w:sz w:val="28"/>
        </w:rPr>
        <w:t xml:space="preserve">. </w:t>
      </w:r>
      <w:r w:rsidR="008D541C">
        <w:rPr>
          <w:rFonts w:ascii="Times New Roman" w:hAnsi="Times New Roman" w:cs="Times New Roman"/>
          <w:sz w:val="28"/>
        </w:rPr>
        <w:t>A</w:t>
      </w:r>
      <w:r w:rsidRPr="00C037A5">
        <w:rPr>
          <w:rFonts w:ascii="Times New Roman" w:hAnsi="Times New Roman" w:cs="Times New Roman"/>
          <w:sz w:val="28"/>
        </w:rPr>
        <w:t xml:space="preserve"> pleocitose no </w:t>
      </w:r>
      <w:proofErr w:type="spellStart"/>
      <w:r w:rsidRPr="00C037A5">
        <w:rPr>
          <w:rFonts w:ascii="Times New Roman" w:hAnsi="Times New Roman" w:cs="Times New Roman"/>
          <w:sz w:val="28"/>
        </w:rPr>
        <w:t>líquor</w:t>
      </w:r>
      <w:proofErr w:type="spellEnd"/>
      <w:r w:rsidRPr="00C037A5">
        <w:rPr>
          <w:rFonts w:ascii="Times New Roman" w:hAnsi="Times New Roman" w:cs="Times New Roman"/>
          <w:sz w:val="28"/>
        </w:rPr>
        <w:t xml:space="preserve"> e a evidência de </w:t>
      </w:r>
      <w:r w:rsidR="00921758" w:rsidRPr="00C037A5">
        <w:rPr>
          <w:rFonts w:ascii="Times New Roman" w:hAnsi="Times New Roman" w:cs="Times New Roman"/>
          <w:sz w:val="28"/>
        </w:rPr>
        <w:t>produção</w:t>
      </w:r>
      <w:r w:rsidRPr="00C037A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037A5">
        <w:rPr>
          <w:rFonts w:ascii="Times New Roman" w:hAnsi="Times New Roman" w:cs="Times New Roman"/>
          <w:sz w:val="28"/>
        </w:rPr>
        <w:t>intratecal</w:t>
      </w:r>
      <w:proofErr w:type="spellEnd"/>
      <w:r w:rsidRPr="00C037A5">
        <w:rPr>
          <w:rFonts w:ascii="Times New Roman" w:hAnsi="Times New Roman" w:cs="Times New Roman"/>
          <w:sz w:val="28"/>
        </w:rPr>
        <w:t xml:space="preserve"> de anticorpos</w:t>
      </w:r>
      <w:r w:rsidR="004D7E77" w:rsidRPr="00C037A5">
        <w:rPr>
          <w:rFonts w:ascii="Times New Roman" w:hAnsi="Times New Roman" w:cs="Times New Roman"/>
          <w:sz w:val="28"/>
        </w:rPr>
        <w:t xml:space="preserve"> para a</w:t>
      </w:r>
      <w:r w:rsidRPr="00C037A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037A5">
        <w:rPr>
          <w:rFonts w:ascii="Times New Roman" w:hAnsi="Times New Roman" w:cs="Times New Roman"/>
          <w:i/>
          <w:sz w:val="28"/>
        </w:rPr>
        <w:t>Borrelia</w:t>
      </w:r>
      <w:proofErr w:type="spellEnd"/>
      <w:r w:rsidRPr="00C037A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037A5">
        <w:rPr>
          <w:rFonts w:ascii="Times New Roman" w:hAnsi="Times New Roman" w:cs="Times New Roman"/>
          <w:sz w:val="28"/>
        </w:rPr>
        <w:t>spp</w:t>
      </w:r>
      <w:proofErr w:type="spellEnd"/>
      <w:r w:rsidRPr="00C037A5">
        <w:rPr>
          <w:rFonts w:ascii="Times New Roman" w:hAnsi="Times New Roman" w:cs="Times New Roman"/>
          <w:sz w:val="28"/>
        </w:rPr>
        <w:t xml:space="preserve"> são </w:t>
      </w:r>
      <w:proofErr w:type="spellStart"/>
      <w:r w:rsidRPr="00C037A5">
        <w:rPr>
          <w:rFonts w:ascii="Times New Roman" w:hAnsi="Times New Roman" w:cs="Times New Roman"/>
          <w:sz w:val="28"/>
        </w:rPr>
        <w:t>mandatórios</w:t>
      </w:r>
      <w:proofErr w:type="spellEnd"/>
      <w:r w:rsidRPr="00C037A5">
        <w:rPr>
          <w:rFonts w:ascii="Times New Roman" w:hAnsi="Times New Roman" w:cs="Times New Roman"/>
          <w:sz w:val="28"/>
        </w:rPr>
        <w:t xml:space="preserve"> </w:t>
      </w:r>
      <w:r w:rsidR="00156AE9">
        <w:rPr>
          <w:rFonts w:ascii="Times New Roman" w:hAnsi="Times New Roman" w:cs="Times New Roman"/>
          <w:sz w:val="28"/>
        </w:rPr>
        <w:t>na definição do diagnóstico</w:t>
      </w:r>
      <w:r w:rsidR="00921758" w:rsidRPr="00C037A5">
        <w:rPr>
          <w:rFonts w:ascii="Times New Roman" w:hAnsi="Times New Roman" w:cs="Times New Roman"/>
          <w:sz w:val="28"/>
          <w:vertAlign w:val="superscript"/>
        </w:rPr>
        <w:t>1,2</w:t>
      </w:r>
      <w:r w:rsidRPr="00C037A5">
        <w:rPr>
          <w:rFonts w:ascii="Times New Roman" w:hAnsi="Times New Roman" w:cs="Times New Roman"/>
          <w:sz w:val="28"/>
        </w:rPr>
        <w:t>.</w:t>
      </w:r>
    </w:p>
    <w:p w:rsidR="00C037A5" w:rsidRDefault="00C037A5">
      <w:pPr>
        <w:pStyle w:val="Normal1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D7E77" w:rsidRPr="00C037A5" w:rsidRDefault="00E86A11">
      <w:pPr>
        <w:pStyle w:val="Normal1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C037A5">
        <w:rPr>
          <w:rFonts w:ascii="Times New Roman" w:eastAsia="Times New Roman" w:hAnsi="Times New Roman" w:cs="Times New Roman"/>
          <w:b/>
          <w:sz w:val="28"/>
          <w:szCs w:val="24"/>
        </w:rPr>
        <w:t>CASO CLÍNICO</w:t>
      </w:r>
    </w:p>
    <w:p w:rsidR="00BF3984" w:rsidRDefault="00E86A11" w:rsidP="00C037A5">
      <w:pPr>
        <w:pStyle w:val="SemEspaamento"/>
        <w:spacing w:line="360" w:lineRule="auto"/>
        <w:jc w:val="both"/>
        <w:rPr>
          <w:rFonts w:ascii="Times New Roman" w:hAnsi="Times New Roman" w:cs="Times New Roman"/>
          <w:sz w:val="28"/>
          <w:highlight w:val="white"/>
        </w:rPr>
      </w:pPr>
      <w:r w:rsidRPr="00C037A5">
        <w:rPr>
          <w:rFonts w:ascii="Times New Roman" w:hAnsi="Times New Roman" w:cs="Times New Roman"/>
          <w:sz w:val="32"/>
          <w:highlight w:val="white"/>
        </w:rPr>
        <w:tab/>
      </w:r>
      <w:r w:rsidR="004D7E77" w:rsidRPr="00C037A5">
        <w:rPr>
          <w:rFonts w:ascii="Times New Roman" w:hAnsi="Times New Roman" w:cs="Times New Roman"/>
          <w:sz w:val="28"/>
          <w:highlight w:val="white"/>
        </w:rPr>
        <w:t>Apresentamos o caso de um</w:t>
      </w:r>
      <w:r w:rsidR="00F16FCC">
        <w:rPr>
          <w:rFonts w:ascii="Times New Roman" w:hAnsi="Times New Roman" w:cs="Times New Roman"/>
          <w:sz w:val="28"/>
          <w:highlight w:val="white"/>
        </w:rPr>
        <w:t xml:space="preserve"> </w:t>
      </w:r>
      <w:r w:rsidR="002B25F4">
        <w:rPr>
          <w:rFonts w:ascii="Times New Roman" w:hAnsi="Times New Roman" w:cs="Times New Roman"/>
          <w:sz w:val="28"/>
          <w:highlight w:val="white"/>
        </w:rPr>
        <w:t>homem</w:t>
      </w:r>
      <w:r w:rsidR="00345831">
        <w:rPr>
          <w:rFonts w:ascii="Times New Roman" w:hAnsi="Times New Roman" w:cs="Times New Roman"/>
          <w:sz w:val="28"/>
          <w:highlight w:val="white"/>
        </w:rPr>
        <w:t xml:space="preserve"> </w:t>
      </w:r>
      <w:r w:rsidR="002B25F4">
        <w:rPr>
          <w:rFonts w:ascii="Times New Roman" w:hAnsi="Times New Roman" w:cs="Times New Roman"/>
          <w:sz w:val="28"/>
          <w:highlight w:val="white"/>
        </w:rPr>
        <w:t>de</w:t>
      </w:r>
      <w:r w:rsidR="00345831">
        <w:rPr>
          <w:rFonts w:ascii="Times New Roman" w:hAnsi="Times New Roman" w:cs="Times New Roman"/>
          <w:sz w:val="28"/>
          <w:highlight w:val="white"/>
        </w:rPr>
        <w:t xml:space="preserve"> 21 anos,</w:t>
      </w:r>
      <w:r w:rsidR="00F16FCC">
        <w:rPr>
          <w:rFonts w:ascii="Times New Roman" w:hAnsi="Times New Roman" w:cs="Times New Roman"/>
          <w:sz w:val="28"/>
          <w:highlight w:val="white"/>
        </w:rPr>
        <w:t xml:space="preserve"> belga</w:t>
      </w:r>
      <w:r w:rsidR="004D7E77" w:rsidRPr="00C037A5">
        <w:rPr>
          <w:rFonts w:ascii="Times New Roman" w:hAnsi="Times New Roman" w:cs="Times New Roman"/>
          <w:sz w:val="28"/>
          <w:highlight w:val="white"/>
        </w:rPr>
        <w:t xml:space="preserve">, estudante ao abrigo do Programa Erasmus, </w:t>
      </w:r>
      <w:r w:rsidR="00BF3984">
        <w:rPr>
          <w:rFonts w:ascii="Times New Roman" w:hAnsi="Times New Roman" w:cs="Times New Roman"/>
          <w:sz w:val="28"/>
          <w:highlight w:val="white"/>
        </w:rPr>
        <w:t xml:space="preserve">a residir </w:t>
      </w:r>
      <w:r w:rsidR="00156AE9">
        <w:rPr>
          <w:rFonts w:ascii="Times New Roman" w:hAnsi="Times New Roman" w:cs="Times New Roman"/>
          <w:sz w:val="28"/>
          <w:highlight w:val="white"/>
        </w:rPr>
        <w:t xml:space="preserve">no </w:t>
      </w:r>
      <w:r w:rsidR="00BF3984">
        <w:rPr>
          <w:rFonts w:ascii="Times New Roman" w:hAnsi="Times New Roman" w:cs="Times New Roman"/>
          <w:sz w:val="28"/>
          <w:highlight w:val="white"/>
        </w:rPr>
        <w:t>Porto desde Setembro de 2016</w:t>
      </w:r>
      <w:r w:rsidR="004D7E77" w:rsidRPr="00C037A5">
        <w:rPr>
          <w:rFonts w:ascii="Times New Roman" w:hAnsi="Times New Roman" w:cs="Times New Roman"/>
          <w:sz w:val="28"/>
          <w:highlight w:val="white"/>
        </w:rPr>
        <w:t>, num apartamento com boa</w:t>
      </w:r>
      <w:r w:rsidR="00345831">
        <w:rPr>
          <w:rFonts w:ascii="Times New Roman" w:hAnsi="Times New Roman" w:cs="Times New Roman"/>
          <w:sz w:val="28"/>
          <w:highlight w:val="white"/>
        </w:rPr>
        <w:t>s condições</w:t>
      </w:r>
      <w:r w:rsidR="004D7E77" w:rsidRPr="00C037A5">
        <w:rPr>
          <w:rFonts w:ascii="Times New Roman" w:hAnsi="Times New Roman" w:cs="Times New Roman"/>
          <w:sz w:val="28"/>
          <w:highlight w:val="white"/>
        </w:rPr>
        <w:t>. Sem contacto com pessoas doe</w:t>
      </w:r>
      <w:r w:rsidR="00BF3984">
        <w:rPr>
          <w:rFonts w:ascii="Times New Roman" w:hAnsi="Times New Roman" w:cs="Times New Roman"/>
          <w:sz w:val="28"/>
          <w:highlight w:val="white"/>
        </w:rPr>
        <w:t>ntes e com</w:t>
      </w:r>
      <w:r w:rsidR="002B25F4">
        <w:rPr>
          <w:rFonts w:ascii="Times New Roman" w:hAnsi="Times New Roman" w:cs="Times New Roman"/>
          <w:sz w:val="28"/>
          <w:highlight w:val="white"/>
        </w:rPr>
        <w:t xml:space="preserve"> vacinas </w:t>
      </w:r>
      <w:proofErr w:type="spellStart"/>
      <w:r w:rsidR="004D7E77" w:rsidRPr="00C037A5">
        <w:rPr>
          <w:rFonts w:ascii="Times New Roman" w:hAnsi="Times New Roman" w:cs="Times New Roman"/>
          <w:sz w:val="28"/>
          <w:highlight w:val="white"/>
        </w:rPr>
        <w:t>actualizad</w:t>
      </w:r>
      <w:r w:rsidR="002B25F4">
        <w:rPr>
          <w:rFonts w:ascii="Times New Roman" w:hAnsi="Times New Roman" w:cs="Times New Roman"/>
          <w:sz w:val="28"/>
          <w:highlight w:val="white"/>
        </w:rPr>
        <w:t>as</w:t>
      </w:r>
      <w:proofErr w:type="spellEnd"/>
      <w:r w:rsidR="004D7E77" w:rsidRPr="00C037A5">
        <w:rPr>
          <w:rFonts w:ascii="Times New Roman" w:hAnsi="Times New Roman" w:cs="Times New Roman"/>
          <w:sz w:val="28"/>
          <w:highlight w:val="white"/>
        </w:rPr>
        <w:t>.</w:t>
      </w:r>
    </w:p>
    <w:p w:rsidR="00003F14" w:rsidRDefault="00003F14" w:rsidP="00003F14">
      <w:pPr>
        <w:pStyle w:val="SemEspaamento"/>
        <w:spacing w:line="360" w:lineRule="auto"/>
        <w:ind w:firstLine="720"/>
        <w:jc w:val="both"/>
        <w:rPr>
          <w:rFonts w:ascii="Times New Roman" w:hAnsi="Times New Roman" w:cs="Times New Roman"/>
          <w:sz w:val="28"/>
          <w:highlight w:val="white"/>
        </w:rPr>
      </w:pPr>
      <w:r w:rsidRPr="00C037A5">
        <w:rPr>
          <w:rFonts w:ascii="Times New Roman" w:hAnsi="Times New Roman" w:cs="Times New Roman"/>
          <w:sz w:val="28"/>
          <w:highlight w:val="white"/>
        </w:rPr>
        <w:t xml:space="preserve">Recorreu ao Serviço de Urgência (SU) do Centro Hospitalar do Porto (CHP) </w:t>
      </w:r>
      <w:r w:rsidR="002B25F4">
        <w:rPr>
          <w:rFonts w:ascii="Times New Roman" w:hAnsi="Times New Roman" w:cs="Times New Roman"/>
          <w:sz w:val="28"/>
          <w:highlight w:val="white"/>
        </w:rPr>
        <w:t>em</w:t>
      </w:r>
      <w:r w:rsidRPr="00C037A5">
        <w:rPr>
          <w:rFonts w:ascii="Times New Roman" w:hAnsi="Times New Roman" w:cs="Times New Roman"/>
          <w:sz w:val="28"/>
          <w:highlight w:val="white"/>
        </w:rPr>
        <w:t xml:space="preserve"> Jane</w:t>
      </w:r>
      <w:r w:rsidR="00345831">
        <w:rPr>
          <w:rFonts w:ascii="Times New Roman" w:hAnsi="Times New Roman" w:cs="Times New Roman"/>
          <w:sz w:val="28"/>
          <w:highlight w:val="white"/>
        </w:rPr>
        <w:t>iro de 2017 por quadro</w:t>
      </w:r>
      <w:r w:rsidR="002B25F4">
        <w:rPr>
          <w:rFonts w:ascii="Times New Roman" w:hAnsi="Times New Roman" w:cs="Times New Roman"/>
          <w:sz w:val="28"/>
          <w:highlight w:val="white"/>
        </w:rPr>
        <w:t xml:space="preserve"> com 4 dias de evolução</w:t>
      </w:r>
      <w:r w:rsidRPr="00C037A5">
        <w:rPr>
          <w:rFonts w:ascii="Times New Roman" w:hAnsi="Times New Roman" w:cs="Times New Roman"/>
          <w:sz w:val="28"/>
          <w:highlight w:val="white"/>
        </w:rPr>
        <w:t xml:space="preserve"> de cefaleias </w:t>
      </w:r>
      <w:proofErr w:type="spellStart"/>
      <w:r w:rsidRPr="00C037A5">
        <w:rPr>
          <w:rFonts w:ascii="Times New Roman" w:hAnsi="Times New Roman" w:cs="Times New Roman"/>
          <w:sz w:val="28"/>
          <w:highlight w:val="white"/>
        </w:rPr>
        <w:lastRenderedPageBreak/>
        <w:t>holocranianas</w:t>
      </w:r>
      <w:proofErr w:type="spellEnd"/>
      <w:r w:rsidRPr="00C037A5">
        <w:rPr>
          <w:rFonts w:ascii="Times New Roman" w:hAnsi="Times New Roman" w:cs="Times New Roman"/>
          <w:sz w:val="28"/>
          <w:highlight w:val="white"/>
        </w:rPr>
        <w:t xml:space="preserve"> de predomínio frontal </w:t>
      </w:r>
      <w:r w:rsidR="002B25F4">
        <w:rPr>
          <w:rFonts w:ascii="Times New Roman" w:hAnsi="Times New Roman" w:cs="Times New Roman"/>
          <w:sz w:val="28"/>
          <w:highlight w:val="white"/>
        </w:rPr>
        <w:t>opressivas</w:t>
      </w:r>
      <w:r w:rsidR="00345831">
        <w:rPr>
          <w:rFonts w:ascii="Times New Roman" w:hAnsi="Times New Roman" w:cs="Times New Roman"/>
          <w:sz w:val="28"/>
          <w:highlight w:val="white"/>
        </w:rPr>
        <w:t xml:space="preserve">, </w:t>
      </w:r>
      <w:proofErr w:type="spellStart"/>
      <w:r w:rsidR="002B25F4">
        <w:rPr>
          <w:rFonts w:ascii="Times New Roman" w:hAnsi="Times New Roman" w:cs="Times New Roman"/>
          <w:sz w:val="28"/>
          <w:highlight w:val="white"/>
        </w:rPr>
        <w:t>f</w:t>
      </w:r>
      <w:r w:rsidR="00345831">
        <w:rPr>
          <w:rFonts w:ascii="Times New Roman" w:hAnsi="Times New Roman" w:cs="Times New Roman"/>
          <w:sz w:val="28"/>
          <w:highlight w:val="white"/>
        </w:rPr>
        <w:t>ono</w:t>
      </w:r>
      <w:proofErr w:type="spellEnd"/>
      <w:r w:rsidR="00345831">
        <w:rPr>
          <w:rFonts w:ascii="Times New Roman" w:hAnsi="Times New Roman" w:cs="Times New Roman"/>
          <w:sz w:val="28"/>
          <w:highlight w:val="white"/>
        </w:rPr>
        <w:t xml:space="preserve"> e fotofobia</w:t>
      </w:r>
      <w:r w:rsidR="002B25F4">
        <w:rPr>
          <w:rFonts w:ascii="Times New Roman" w:hAnsi="Times New Roman" w:cs="Times New Roman"/>
          <w:sz w:val="28"/>
          <w:highlight w:val="white"/>
        </w:rPr>
        <w:t xml:space="preserve">, </w:t>
      </w:r>
      <w:r w:rsidRPr="00C037A5">
        <w:rPr>
          <w:rFonts w:ascii="Times New Roman" w:hAnsi="Times New Roman" w:cs="Times New Roman"/>
          <w:sz w:val="28"/>
          <w:highlight w:val="white"/>
        </w:rPr>
        <w:t xml:space="preserve">dificuldade na construção de frases e nomeação de </w:t>
      </w:r>
      <w:proofErr w:type="spellStart"/>
      <w:r w:rsidRPr="00C037A5">
        <w:rPr>
          <w:rFonts w:ascii="Times New Roman" w:hAnsi="Times New Roman" w:cs="Times New Roman"/>
          <w:sz w:val="28"/>
          <w:highlight w:val="white"/>
        </w:rPr>
        <w:t>objectos</w:t>
      </w:r>
      <w:proofErr w:type="spellEnd"/>
      <w:r w:rsidRPr="00C037A5">
        <w:rPr>
          <w:rFonts w:ascii="Times New Roman" w:hAnsi="Times New Roman" w:cs="Times New Roman"/>
          <w:sz w:val="28"/>
          <w:highlight w:val="white"/>
        </w:rPr>
        <w:t xml:space="preserve">, </w:t>
      </w:r>
      <w:r w:rsidR="002B25F4">
        <w:rPr>
          <w:rFonts w:ascii="Times New Roman" w:hAnsi="Times New Roman" w:cs="Times New Roman"/>
          <w:sz w:val="28"/>
          <w:highlight w:val="white"/>
        </w:rPr>
        <w:t>e</w:t>
      </w:r>
      <w:r w:rsidRPr="00C037A5">
        <w:rPr>
          <w:rFonts w:ascii="Times New Roman" w:hAnsi="Times New Roman" w:cs="Times New Roman"/>
          <w:sz w:val="28"/>
          <w:highlight w:val="white"/>
        </w:rPr>
        <w:t xml:space="preserve"> vómito</w:t>
      </w:r>
      <w:r w:rsidR="00345831">
        <w:rPr>
          <w:rFonts w:ascii="Times New Roman" w:hAnsi="Times New Roman" w:cs="Times New Roman"/>
          <w:sz w:val="28"/>
          <w:highlight w:val="white"/>
        </w:rPr>
        <w:t>s alimentares frequentes</w:t>
      </w:r>
      <w:r>
        <w:rPr>
          <w:rFonts w:ascii="Times New Roman" w:hAnsi="Times New Roman" w:cs="Times New Roman"/>
          <w:sz w:val="28"/>
          <w:highlight w:val="white"/>
        </w:rPr>
        <w:t xml:space="preserve">. </w:t>
      </w:r>
      <w:r w:rsidR="00156AE9">
        <w:rPr>
          <w:rFonts w:ascii="Times New Roman" w:hAnsi="Times New Roman" w:cs="Times New Roman"/>
          <w:sz w:val="28"/>
          <w:highlight w:val="white"/>
        </w:rPr>
        <w:t>Sem</w:t>
      </w:r>
      <w:r>
        <w:rPr>
          <w:rFonts w:ascii="Times New Roman" w:hAnsi="Times New Roman" w:cs="Times New Roman"/>
          <w:sz w:val="28"/>
          <w:highlight w:val="white"/>
        </w:rPr>
        <w:t xml:space="preserve"> febre </w:t>
      </w:r>
      <w:r w:rsidR="002B25F4">
        <w:rPr>
          <w:rFonts w:ascii="Times New Roman" w:hAnsi="Times New Roman" w:cs="Times New Roman"/>
          <w:sz w:val="28"/>
          <w:highlight w:val="white"/>
        </w:rPr>
        <w:t>documentada</w:t>
      </w:r>
      <w:r w:rsidRPr="00C037A5">
        <w:rPr>
          <w:rFonts w:ascii="Times New Roman" w:hAnsi="Times New Roman" w:cs="Times New Roman"/>
          <w:sz w:val="28"/>
          <w:highlight w:val="white"/>
        </w:rPr>
        <w:t>.</w:t>
      </w:r>
      <w:r w:rsidR="00BF3984">
        <w:rPr>
          <w:rFonts w:ascii="Times New Roman" w:hAnsi="Times New Roman" w:cs="Times New Roman"/>
          <w:sz w:val="28"/>
          <w:highlight w:val="white"/>
        </w:rPr>
        <w:tab/>
      </w:r>
    </w:p>
    <w:p w:rsidR="00383254" w:rsidRPr="00C037A5" w:rsidRDefault="002B25F4" w:rsidP="00003F14">
      <w:pPr>
        <w:pStyle w:val="SemEspaamento"/>
        <w:spacing w:line="360" w:lineRule="auto"/>
        <w:ind w:firstLine="720"/>
        <w:jc w:val="both"/>
        <w:rPr>
          <w:rFonts w:ascii="Times New Roman" w:hAnsi="Times New Roman" w:cs="Times New Roman"/>
          <w:sz w:val="28"/>
          <w:highlight w:val="white"/>
        </w:rPr>
      </w:pPr>
      <w:r>
        <w:rPr>
          <w:rFonts w:ascii="Times New Roman" w:hAnsi="Times New Roman" w:cs="Times New Roman"/>
          <w:sz w:val="28"/>
          <w:highlight w:val="white"/>
        </w:rPr>
        <w:t>Negava</w:t>
      </w:r>
      <w:r w:rsidR="00BF3984">
        <w:rPr>
          <w:rFonts w:ascii="Times New Roman" w:hAnsi="Times New Roman" w:cs="Times New Roman"/>
          <w:sz w:val="28"/>
          <w:highlight w:val="white"/>
        </w:rPr>
        <w:t xml:space="preserve"> </w:t>
      </w:r>
      <w:r w:rsidR="007809B3">
        <w:rPr>
          <w:rFonts w:ascii="Times New Roman" w:hAnsi="Times New Roman" w:cs="Times New Roman"/>
          <w:sz w:val="28"/>
          <w:highlight w:val="white"/>
        </w:rPr>
        <w:t>antecedentes patológicos</w:t>
      </w:r>
      <w:r>
        <w:rPr>
          <w:rFonts w:ascii="Times New Roman" w:hAnsi="Times New Roman" w:cs="Times New Roman"/>
          <w:sz w:val="28"/>
          <w:highlight w:val="white"/>
        </w:rPr>
        <w:t xml:space="preserve">, </w:t>
      </w:r>
      <w:r w:rsidR="00BF3984">
        <w:rPr>
          <w:rFonts w:ascii="Times New Roman" w:hAnsi="Times New Roman" w:cs="Times New Roman"/>
          <w:sz w:val="28"/>
          <w:highlight w:val="white"/>
        </w:rPr>
        <w:t>medicação crónica</w:t>
      </w:r>
      <w:r w:rsidR="008459F0">
        <w:rPr>
          <w:rFonts w:ascii="Times New Roman" w:hAnsi="Times New Roman" w:cs="Times New Roman"/>
          <w:sz w:val="28"/>
          <w:highlight w:val="white"/>
        </w:rPr>
        <w:t xml:space="preserve">, consumo de substâncias ilícitas </w:t>
      </w:r>
      <w:r w:rsidR="00156AE9">
        <w:rPr>
          <w:rFonts w:ascii="Times New Roman" w:hAnsi="Times New Roman" w:cs="Times New Roman"/>
          <w:sz w:val="28"/>
          <w:highlight w:val="white"/>
        </w:rPr>
        <w:t>ou</w:t>
      </w:r>
      <w:r w:rsidR="008459F0">
        <w:rPr>
          <w:rFonts w:ascii="Times New Roman" w:hAnsi="Times New Roman" w:cs="Times New Roman"/>
          <w:sz w:val="28"/>
          <w:highlight w:val="white"/>
        </w:rPr>
        <w:t xml:space="preserve"> c</w:t>
      </w:r>
      <w:r w:rsidR="007809B3">
        <w:rPr>
          <w:rFonts w:ascii="Times New Roman" w:hAnsi="Times New Roman" w:cs="Times New Roman"/>
          <w:sz w:val="28"/>
          <w:highlight w:val="white"/>
        </w:rPr>
        <w:t xml:space="preserve">omportamentos de risco. Referia </w:t>
      </w:r>
      <w:r w:rsidR="003552CD">
        <w:rPr>
          <w:rFonts w:ascii="Times New Roman" w:hAnsi="Times New Roman" w:cs="Times New Roman"/>
          <w:sz w:val="28"/>
          <w:highlight w:val="white"/>
        </w:rPr>
        <w:t>que</w:t>
      </w:r>
      <w:r w:rsidR="007809B3">
        <w:rPr>
          <w:rFonts w:ascii="Times New Roman" w:hAnsi="Times New Roman" w:cs="Times New Roman"/>
          <w:sz w:val="28"/>
          <w:highlight w:val="white"/>
        </w:rPr>
        <w:t>,</w:t>
      </w:r>
      <w:r w:rsidR="003552CD">
        <w:rPr>
          <w:rFonts w:ascii="Times New Roman" w:hAnsi="Times New Roman" w:cs="Times New Roman"/>
          <w:sz w:val="28"/>
          <w:highlight w:val="white"/>
        </w:rPr>
        <w:t xml:space="preserve"> duas semanas</w:t>
      </w:r>
      <w:r>
        <w:rPr>
          <w:rFonts w:ascii="Times New Roman" w:hAnsi="Times New Roman" w:cs="Times New Roman"/>
          <w:sz w:val="28"/>
          <w:highlight w:val="white"/>
        </w:rPr>
        <w:t xml:space="preserve"> após</w:t>
      </w:r>
      <w:r w:rsidR="008459F0">
        <w:rPr>
          <w:rFonts w:ascii="Times New Roman" w:hAnsi="Times New Roman" w:cs="Times New Roman"/>
          <w:sz w:val="28"/>
          <w:highlight w:val="white"/>
        </w:rPr>
        <w:t xml:space="preserve"> viagem à Eslovénia,</w:t>
      </w:r>
      <w:r>
        <w:rPr>
          <w:rFonts w:ascii="Times New Roman" w:hAnsi="Times New Roman" w:cs="Times New Roman"/>
          <w:sz w:val="28"/>
          <w:highlight w:val="white"/>
        </w:rPr>
        <w:t xml:space="preserve"> em Junho de 2016, onde </w:t>
      </w:r>
      <w:r w:rsidR="008459F0">
        <w:rPr>
          <w:rFonts w:ascii="Times New Roman" w:hAnsi="Times New Roman" w:cs="Times New Roman"/>
          <w:sz w:val="28"/>
          <w:highlight w:val="white"/>
        </w:rPr>
        <w:t>caminh</w:t>
      </w:r>
      <w:r>
        <w:rPr>
          <w:rFonts w:ascii="Times New Roman" w:hAnsi="Times New Roman" w:cs="Times New Roman"/>
          <w:sz w:val="28"/>
          <w:highlight w:val="white"/>
        </w:rPr>
        <w:t xml:space="preserve">ou </w:t>
      </w:r>
      <w:r w:rsidR="008459F0">
        <w:rPr>
          <w:rFonts w:ascii="Times New Roman" w:hAnsi="Times New Roman" w:cs="Times New Roman"/>
          <w:sz w:val="28"/>
          <w:highlight w:val="white"/>
        </w:rPr>
        <w:t xml:space="preserve">ao ar livre, </w:t>
      </w:r>
      <w:r w:rsidR="00156AE9">
        <w:rPr>
          <w:rFonts w:ascii="Times New Roman" w:hAnsi="Times New Roman" w:cs="Times New Roman"/>
          <w:sz w:val="28"/>
          <w:highlight w:val="white"/>
        </w:rPr>
        <w:t xml:space="preserve">teve </w:t>
      </w:r>
      <w:r>
        <w:rPr>
          <w:rFonts w:ascii="Times New Roman" w:hAnsi="Times New Roman" w:cs="Times New Roman"/>
          <w:sz w:val="28"/>
          <w:highlight w:val="white"/>
        </w:rPr>
        <w:t xml:space="preserve">durante uma semana </w:t>
      </w:r>
      <w:r w:rsidR="008459F0">
        <w:rPr>
          <w:rFonts w:ascii="Times New Roman" w:hAnsi="Times New Roman" w:cs="Times New Roman"/>
          <w:sz w:val="28"/>
          <w:highlight w:val="white"/>
        </w:rPr>
        <w:t xml:space="preserve">vários episódios de cefaleias </w:t>
      </w:r>
      <w:proofErr w:type="spellStart"/>
      <w:r w:rsidR="008459F0">
        <w:rPr>
          <w:rFonts w:ascii="Times New Roman" w:hAnsi="Times New Roman" w:cs="Times New Roman"/>
          <w:sz w:val="28"/>
          <w:highlight w:val="white"/>
        </w:rPr>
        <w:t>holocranianas</w:t>
      </w:r>
      <w:proofErr w:type="spellEnd"/>
      <w:r w:rsidR="008459F0">
        <w:rPr>
          <w:rFonts w:ascii="Times New Roman" w:hAnsi="Times New Roman" w:cs="Times New Roman"/>
          <w:sz w:val="28"/>
          <w:highlight w:val="white"/>
        </w:rPr>
        <w:t xml:space="preserve"> intensas</w:t>
      </w:r>
      <w:r>
        <w:rPr>
          <w:rFonts w:ascii="Times New Roman" w:hAnsi="Times New Roman" w:cs="Times New Roman"/>
          <w:sz w:val="28"/>
          <w:highlight w:val="white"/>
        </w:rPr>
        <w:t>,</w:t>
      </w:r>
      <w:r w:rsidR="008459F0">
        <w:rPr>
          <w:rFonts w:ascii="Times New Roman" w:hAnsi="Times New Roman" w:cs="Times New Roman"/>
          <w:sz w:val="28"/>
          <w:highlight w:val="white"/>
        </w:rPr>
        <w:t xml:space="preserve"> que o acordavam durante a noite, sem outros sintomas acompanhantes. Foi o</w:t>
      </w:r>
      <w:r w:rsidR="00E86A11" w:rsidRPr="00C037A5">
        <w:rPr>
          <w:rFonts w:ascii="Times New Roman" w:hAnsi="Times New Roman" w:cs="Times New Roman"/>
          <w:sz w:val="28"/>
          <w:highlight w:val="white"/>
        </w:rPr>
        <w:t>bservado por</w:t>
      </w:r>
      <w:r w:rsidR="008459F0">
        <w:rPr>
          <w:rFonts w:ascii="Times New Roman" w:hAnsi="Times New Roman" w:cs="Times New Roman"/>
          <w:sz w:val="28"/>
          <w:highlight w:val="white"/>
        </w:rPr>
        <w:t xml:space="preserve"> um</w:t>
      </w:r>
      <w:r w:rsidR="00345831">
        <w:rPr>
          <w:rFonts w:ascii="Times New Roman" w:hAnsi="Times New Roman" w:cs="Times New Roman"/>
          <w:sz w:val="28"/>
          <w:highlight w:val="white"/>
        </w:rPr>
        <w:t xml:space="preserve"> neurologista no</w:t>
      </w:r>
      <w:r>
        <w:rPr>
          <w:rFonts w:ascii="Times New Roman" w:hAnsi="Times New Roman" w:cs="Times New Roman"/>
          <w:sz w:val="28"/>
          <w:highlight w:val="white"/>
        </w:rPr>
        <w:t xml:space="preserve"> seu</w:t>
      </w:r>
      <w:r w:rsidR="00F92F65">
        <w:rPr>
          <w:rFonts w:ascii="Times New Roman" w:hAnsi="Times New Roman" w:cs="Times New Roman"/>
          <w:sz w:val="28"/>
          <w:highlight w:val="white"/>
        </w:rPr>
        <w:t xml:space="preserve"> país</w:t>
      </w:r>
      <w:r w:rsidR="007809B3">
        <w:rPr>
          <w:rFonts w:ascii="Times New Roman" w:hAnsi="Times New Roman" w:cs="Times New Roman"/>
          <w:sz w:val="28"/>
          <w:highlight w:val="white"/>
        </w:rPr>
        <w:t>, com</w:t>
      </w:r>
      <w:r w:rsidR="008459F0">
        <w:rPr>
          <w:rFonts w:ascii="Times New Roman" w:hAnsi="Times New Roman" w:cs="Times New Roman"/>
          <w:sz w:val="28"/>
          <w:highlight w:val="white"/>
        </w:rPr>
        <w:t xml:space="preserve"> e</w:t>
      </w:r>
      <w:r w:rsidR="00E86A11" w:rsidRPr="00C037A5">
        <w:rPr>
          <w:rFonts w:ascii="Times New Roman" w:hAnsi="Times New Roman" w:cs="Times New Roman"/>
          <w:sz w:val="28"/>
          <w:highlight w:val="white"/>
        </w:rPr>
        <w:t xml:space="preserve">studo </w:t>
      </w:r>
      <w:r w:rsidR="007809B3">
        <w:rPr>
          <w:rFonts w:ascii="Times New Roman" w:hAnsi="Times New Roman" w:cs="Times New Roman"/>
          <w:sz w:val="28"/>
          <w:highlight w:val="white"/>
        </w:rPr>
        <w:t>inconclusivo (TC-CE normal) e</w:t>
      </w:r>
      <w:r w:rsidR="00F92F65">
        <w:rPr>
          <w:rFonts w:ascii="Times New Roman" w:hAnsi="Times New Roman" w:cs="Times New Roman"/>
          <w:sz w:val="28"/>
          <w:highlight w:val="white"/>
        </w:rPr>
        <w:t xml:space="preserve"> </w:t>
      </w:r>
      <w:r w:rsidR="00E86A11" w:rsidRPr="00C037A5">
        <w:rPr>
          <w:rFonts w:ascii="Times New Roman" w:hAnsi="Times New Roman" w:cs="Times New Roman"/>
          <w:sz w:val="28"/>
          <w:highlight w:val="white"/>
        </w:rPr>
        <w:t xml:space="preserve">resolução </w:t>
      </w:r>
      <w:r w:rsidR="00345831">
        <w:rPr>
          <w:rFonts w:ascii="Times New Roman" w:hAnsi="Times New Roman" w:cs="Times New Roman"/>
          <w:sz w:val="28"/>
          <w:highlight w:val="white"/>
        </w:rPr>
        <w:t>gradual</w:t>
      </w:r>
      <w:r w:rsidR="00F92F65">
        <w:rPr>
          <w:rFonts w:ascii="Times New Roman" w:hAnsi="Times New Roman" w:cs="Times New Roman"/>
          <w:sz w:val="28"/>
          <w:highlight w:val="white"/>
        </w:rPr>
        <w:t xml:space="preserve"> espontânea</w:t>
      </w:r>
      <w:r w:rsidR="000F7920" w:rsidRPr="00C037A5">
        <w:rPr>
          <w:rFonts w:ascii="Times New Roman" w:hAnsi="Times New Roman" w:cs="Times New Roman"/>
          <w:sz w:val="28"/>
          <w:highlight w:val="white"/>
        </w:rPr>
        <w:t>.</w:t>
      </w:r>
      <w:r w:rsidR="00F92F65">
        <w:rPr>
          <w:rFonts w:ascii="Times New Roman" w:hAnsi="Times New Roman" w:cs="Times New Roman"/>
          <w:sz w:val="28"/>
          <w:highlight w:val="white"/>
        </w:rPr>
        <w:t xml:space="preserve"> </w:t>
      </w:r>
      <w:r w:rsidR="007809B3">
        <w:rPr>
          <w:rFonts w:ascii="Times New Roman" w:hAnsi="Times New Roman" w:cs="Times New Roman"/>
          <w:sz w:val="28"/>
          <w:highlight w:val="white"/>
        </w:rPr>
        <w:t>Persistia d</w:t>
      </w:r>
      <w:r w:rsidR="00345831">
        <w:rPr>
          <w:rFonts w:ascii="Times New Roman" w:hAnsi="Times New Roman" w:cs="Times New Roman"/>
          <w:sz w:val="28"/>
          <w:highlight w:val="white"/>
        </w:rPr>
        <w:t>esde então astenia</w:t>
      </w:r>
      <w:r w:rsidR="007809B3">
        <w:rPr>
          <w:rFonts w:ascii="Times New Roman" w:hAnsi="Times New Roman" w:cs="Times New Roman"/>
          <w:sz w:val="28"/>
          <w:highlight w:val="white"/>
        </w:rPr>
        <w:t>, impossibilitando</w:t>
      </w:r>
      <w:r w:rsidR="008D34FF">
        <w:rPr>
          <w:rFonts w:ascii="Times New Roman" w:hAnsi="Times New Roman" w:cs="Times New Roman"/>
          <w:sz w:val="28"/>
          <w:highlight w:val="white"/>
        </w:rPr>
        <w:t xml:space="preserve"> a </w:t>
      </w:r>
      <w:proofErr w:type="spellStart"/>
      <w:r w:rsidR="00E86A11" w:rsidRPr="00C037A5">
        <w:rPr>
          <w:rFonts w:ascii="Times New Roman" w:hAnsi="Times New Roman" w:cs="Times New Roman"/>
          <w:sz w:val="28"/>
          <w:highlight w:val="white"/>
        </w:rPr>
        <w:t>acti</w:t>
      </w:r>
      <w:r w:rsidR="00C037A5">
        <w:rPr>
          <w:rFonts w:ascii="Times New Roman" w:hAnsi="Times New Roman" w:cs="Times New Roman"/>
          <w:sz w:val="28"/>
          <w:highlight w:val="white"/>
        </w:rPr>
        <w:t>vidade</w:t>
      </w:r>
      <w:proofErr w:type="spellEnd"/>
      <w:r w:rsidR="00C037A5">
        <w:rPr>
          <w:rFonts w:ascii="Times New Roman" w:hAnsi="Times New Roman" w:cs="Times New Roman"/>
          <w:sz w:val="28"/>
          <w:highlight w:val="white"/>
        </w:rPr>
        <w:t xml:space="preserve"> física habitual.</w:t>
      </w:r>
    </w:p>
    <w:p w:rsidR="00C037A5" w:rsidRPr="00C037A5" w:rsidRDefault="00C037A5" w:rsidP="00C037A5">
      <w:pPr>
        <w:pStyle w:val="SemEspaamento"/>
        <w:spacing w:line="360" w:lineRule="auto"/>
        <w:jc w:val="both"/>
        <w:rPr>
          <w:rFonts w:ascii="Times New Roman" w:hAnsi="Times New Roman" w:cs="Times New Roman"/>
          <w:sz w:val="28"/>
          <w:highlight w:val="white"/>
        </w:rPr>
      </w:pPr>
      <w:r>
        <w:rPr>
          <w:rFonts w:ascii="Times New Roman" w:hAnsi="Times New Roman" w:cs="Times New Roman"/>
          <w:sz w:val="28"/>
          <w:highlight w:val="white"/>
        </w:rPr>
        <w:tab/>
      </w:r>
      <w:proofErr w:type="spellStart"/>
      <w:r w:rsidR="008D34FF">
        <w:rPr>
          <w:rFonts w:ascii="Times New Roman" w:hAnsi="Times New Roman" w:cs="Times New Roman"/>
          <w:sz w:val="28"/>
          <w:highlight w:val="white"/>
        </w:rPr>
        <w:t>Objectivamente</w:t>
      </w:r>
      <w:proofErr w:type="spellEnd"/>
      <w:r w:rsidR="00E86A11" w:rsidRPr="00C037A5">
        <w:rPr>
          <w:rFonts w:ascii="Times New Roman" w:hAnsi="Times New Roman" w:cs="Times New Roman"/>
          <w:sz w:val="28"/>
          <w:highlight w:val="white"/>
        </w:rPr>
        <w:t xml:space="preserve"> </w:t>
      </w:r>
      <w:r w:rsidR="00345831">
        <w:rPr>
          <w:rFonts w:ascii="Times New Roman" w:hAnsi="Times New Roman" w:cs="Times New Roman"/>
          <w:sz w:val="28"/>
          <w:highlight w:val="white"/>
        </w:rPr>
        <w:t xml:space="preserve">salientava-se </w:t>
      </w:r>
      <w:r w:rsidR="008D34FF">
        <w:rPr>
          <w:rFonts w:ascii="Times New Roman" w:hAnsi="Times New Roman" w:cs="Times New Roman"/>
          <w:sz w:val="28"/>
          <w:highlight w:val="white"/>
        </w:rPr>
        <w:t>a</w:t>
      </w:r>
      <w:r w:rsidR="00B72094">
        <w:rPr>
          <w:rFonts w:ascii="Times New Roman" w:hAnsi="Times New Roman" w:cs="Times New Roman"/>
          <w:sz w:val="28"/>
          <w:highlight w:val="white"/>
        </w:rPr>
        <w:t>pirexia e</w:t>
      </w:r>
      <w:r w:rsidR="00E86A11" w:rsidRPr="00C037A5">
        <w:rPr>
          <w:rFonts w:ascii="Times New Roman" w:hAnsi="Times New Roman" w:cs="Times New Roman"/>
          <w:sz w:val="28"/>
          <w:highlight w:val="white"/>
        </w:rPr>
        <w:t xml:space="preserve"> rigidez terminal da nuca. </w:t>
      </w:r>
      <w:r w:rsidR="00CA1800">
        <w:rPr>
          <w:rFonts w:ascii="Times New Roman" w:hAnsi="Times New Roman" w:cs="Times New Roman"/>
          <w:sz w:val="28"/>
          <w:highlight w:val="white"/>
        </w:rPr>
        <w:t>Analiticamente s</w:t>
      </w:r>
      <w:r w:rsidR="00E86A11" w:rsidRPr="00C037A5">
        <w:rPr>
          <w:rFonts w:ascii="Times New Roman" w:hAnsi="Times New Roman" w:cs="Times New Roman"/>
          <w:sz w:val="28"/>
          <w:highlight w:val="white"/>
        </w:rPr>
        <w:t>em aumento dos par</w:t>
      </w:r>
      <w:r w:rsidR="00CA1800">
        <w:rPr>
          <w:rFonts w:ascii="Times New Roman" w:hAnsi="Times New Roman" w:cs="Times New Roman"/>
          <w:sz w:val="28"/>
          <w:highlight w:val="white"/>
        </w:rPr>
        <w:t>âmetros inflamatórios, r</w:t>
      </w:r>
      <w:r w:rsidR="00E86A11" w:rsidRPr="00C037A5">
        <w:rPr>
          <w:rFonts w:ascii="Times New Roman" w:hAnsi="Times New Roman" w:cs="Times New Roman"/>
          <w:sz w:val="28"/>
          <w:highlight w:val="white"/>
        </w:rPr>
        <w:t>ealizou TC-CE</w:t>
      </w:r>
      <w:r w:rsidR="008D34FF">
        <w:rPr>
          <w:rFonts w:ascii="Times New Roman" w:hAnsi="Times New Roman" w:cs="Times New Roman"/>
          <w:sz w:val="28"/>
          <w:highlight w:val="white"/>
        </w:rPr>
        <w:t>,</w:t>
      </w:r>
      <w:r w:rsidR="00156AE9">
        <w:rPr>
          <w:rFonts w:ascii="Times New Roman" w:hAnsi="Times New Roman" w:cs="Times New Roman"/>
          <w:sz w:val="28"/>
          <w:highlight w:val="white"/>
        </w:rPr>
        <w:t xml:space="preserve"> sem alterações</w:t>
      </w:r>
      <w:r w:rsidR="00345831">
        <w:rPr>
          <w:rFonts w:ascii="Times New Roman" w:hAnsi="Times New Roman" w:cs="Times New Roman"/>
          <w:sz w:val="28"/>
          <w:highlight w:val="white"/>
        </w:rPr>
        <w:t xml:space="preserve">. </w:t>
      </w:r>
      <w:r w:rsidR="00C902EB">
        <w:rPr>
          <w:rFonts w:ascii="Times New Roman" w:hAnsi="Times New Roman" w:cs="Times New Roman"/>
          <w:sz w:val="28"/>
          <w:highlight w:val="white"/>
        </w:rPr>
        <w:t>A p</w:t>
      </w:r>
      <w:r w:rsidR="00345831">
        <w:rPr>
          <w:rFonts w:ascii="Times New Roman" w:hAnsi="Times New Roman" w:cs="Times New Roman"/>
          <w:sz w:val="28"/>
          <w:highlight w:val="white"/>
        </w:rPr>
        <w:t>unção lombar (PL) revelou</w:t>
      </w:r>
      <w:r w:rsidR="008D34FF">
        <w:rPr>
          <w:rFonts w:ascii="Times New Roman" w:hAnsi="Times New Roman" w:cs="Times New Roman"/>
          <w:sz w:val="28"/>
          <w:highlight w:val="white"/>
        </w:rPr>
        <w:t xml:space="preserve"> pleocitose </w:t>
      </w:r>
      <w:r w:rsidR="00345831">
        <w:rPr>
          <w:rFonts w:ascii="Times New Roman" w:hAnsi="Times New Roman" w:cs="Times New Roman"/>
          <w:sz w:val="28"/>
          <w:highlight w:val="white"/>
        </w:rPr>
        <w:t xml:space="preserve">com predomínio </w:t>
      </w:r>
      <w:r w:rsidR="00E86A11" w:rsidRPr="00C037A5">
        <w:rPr>
          <w:rFonts w:ascii="Times New Roman" w:hAnsi="Times New Roman" w:cs="Times New Roman"/>
          <w:sz w:val="28"/>
          <w:highlight w:val="white"/>
        </w:rPr>
        <w:t>de mono</w:t>
      </w:r>
      <w:r w:rsidR="00345831">
        <w:rPr>
          <w:rFonts w:ascii="Times New Roman" w:hAnsi="Times New Roman" w:cs="Times New Roman"/>
          <w:sz w:val="28"/>
          <w:highlight w:val="white"/>
        </w:rPr>
        <w:t xml:space="preserve">nucleares </w:t>
      </w:r>
      <w:r w:rsidR="00CA1800">
        <w:rPr>
          <w:rFonts w:ascii="Times New Roman" w:hAnsi="Times New Roman" w:cs="Times New Roman"/>
          <w:sz w:val="28"/>
          <w:highlight w:val="white"/>
        </w:rPr>
        <w:t xml:space="preserve">e ligeira </w:t>
      </w:r>
      <w:proofErr w:type="spellStart"/>
      <w:r w:rsidR="00CA1800">
        <w:rPr>
          <w:rFonts w:ascii="Times New Roman" w:hAnsi="Times New Roman" w:cs="Times New Roman"/>
          <w:sz w:val="28"/>
          <w:highlight w:val="white"/>
        </w:rPr>
        <w:t>proteinorrá</w:t>
      </w:r>
      <w:r w:rsidR="00E86A11" w:rsidRPr="00C037A5">
        <w:rPr>
          <w:rFonts w:ascii="Times New Roman" w:hAnsi="Times New Roman" w:cs="Times New Roman"/>
          <w:sz w:val="28"/>
          <w:highlight w:val="white"/>
        </w:rPr>
        <w:t>quia</w:t>
      </w:r>
      <w:proofErr w:type="spellEnd"/>
      <w:r w:rsidR="00E86A11" w:rsidRPr="00C037A5">
        <w:rPr>
          <w:rFonts w:ascii="Times New Roman" w:hAnsi="Times New Roman" w:cs="Times New Roman"/>
          <w:sz w:val="28"/>
          <w:highlight w:val="white"/>
        </w:rPr>
        <w:t xml:space="preserve">. </w:t>
      </w:r>
      <w:r w:rsidR="008D34FF">
        <w:rPr>
          <w:rFonts w:ascii="Times New Roman" w:hAnsi="Times New Roman" w:cs="Times New Roman"/>
          <w:sz w:val="28"/>
          <w:highlight w:val="white"/>
        </w:rPr>
        <w:t xml:space="preserve">Admitido </w:t>
      </w:r>
      <w:r w:rsidR="00E86A11" w:rsidRPr="00C037A5">
        <w:rPr>
          <w:rFonts w:ascii="Times New Roman" w:hAnsi="Times New Roman" w:cs="Times New Roman"/>
          <w:sz w:val="28"/>
          <w:highlight w:val="white"/>
        </w:rPr>
        <w:t xml:space="preserve">na enfermaria sob </w:t>
      </w:r>
      <w:proofErr w:type="spellStart"/>
      <w:r w:rsidR="00E86A11" w:rsidRPr="00C037A5">
        <w:rPr>
          <w:rFonts w:ascii="Times New Roman" w:hAnsi="Times New Roman" w:cs="Times New Roman"/>
          <w:sz w:val="28"/>
          <w:highlight w:val="white"/>
        </w:rPr>
        <w:t>ceftriaxona</w:t>
      </w:r>
      <w:proofErr w:type="spellEnd"/>
      <w:r w:rsidR="00E86A11" w:rsidRPr="00C037A5">
        <w:rPr>
          <w:rFonts w:ascii="Times New Roman" w:hAnsi="Times New Roman" w:cs="Times New Roman"/>
          <w:sz w:val="28"/>
          <w:highlight w:val="white"/>
        </w:rPr>
        <w:t xml:space="preserve"> e </w:t>
      </w:r>
      <w:proofErr w:type="spellStart"/>
      <w:r w:rsidR="00E86A11" w:rsidRPr="00C037A5">
        <w:rPr>
          <w:rFonts w:ascii="Times New Roman" w:hAnsi="Times New Roman" w:cs="Times New Roman"/>
          <w:sz w:val="28"/>
          <w:highlight w:val="white"/>
        </w:rPr>
        <w:t>aciclovir</w:t>
      </w:r>
      <w:proofErr w:type="spellEnd"/>
      <w:r w:rsidR="00E86A11" w:rsidRPr="00C037A5">
        <w:rPr>
          <w:rFonts w:ascii="Times New Roman" w:hAnsi="Times New Roman" w:cs="Times New Roman"/>
          <w:sz w:val="28"/>
          <w:highlight w:val="white"/>
        </w:rPr>
        <w:t xml:space="preserve">, por suspeita inicial de meningoencefalite linfocítica aguda de etiologia vírica. </w:t>
      </w:r>
      <w:r w:rsidR="00B72094">
        <w:rPr>
          <w:rFonts w:ascii="Times New Roman" w:hAnsi="Times New Roman" w:cs="Times New Roman"/>
          <w:sz w:val="28"/>
          <w:highlight w:val="white"/>
        </w:rPr>
        <w:t>Foi r</w:t>
      </w:r>
      <w:r w:rsidR="00E86A11" w:rsidRPr="00C037A5">
        <w:rPr>
          <w:rFonts w:ascii="Times New Roman" w:hAnsi="Times New Roman" w:cs="Times New Roman"/>
          <w:sz w:val="28"/>
          <w:highlight w:val="white"/>
        </w:rPr>
        <w:t>epetida PL às 48h com diminuiç</w:t>
      </w:r>
      <w:r w:rsidR="00345831">
        <w:rPr>
          <w:rFonts w:ascii="Times New Roman" w:hAnsi="Times New Roman" w:cs="Times New Roman"/>
          <w:sz w:val="28"/>
          <w:highlight w:val="white"/>
        </w:rPr>
        <w:t xml:space="preserve">ão </w:t>
      </w:r>
      <w:r w:rsidR="008D34FF">
        <w:rPr>
          <w:rFonts w:ascii="Times New Roman" w:hAnsi="Times New Roman" w:cs="Times New Roman"/>
          <w:sz w:val="28"/>
          <w:highlight w:val="white"/>
        </w:rPr>
        <w:t>da pleocitose</w:t>
      </w:r>
      <w:r w:rsidR="00345831">
        <w:rPr>
          <w:rFonts w:ascii="Times New Roman" w:hAnsi="Times New Roman" w:cs="Times New Roman"/>
          <w:sz w:val="28"/>
          <w:highlight w:val="white"/>
        </w:rPr>
        <w:t xml:space="preserve"> (</w:t>
      </w:r>
      <w:r w:rsidR="00CA1800">
        <w:rPr>
          <w:rFonts w:ascii="Times New Roman" w:hAnsi="Times New Roman" w:cs="Times New Roman"/>
          <w:sz w:val="28"/>
          <w:highlight w:val="white"/>
        </w:rPr>
        <w:t>tabela 1</w:t>
      </w:r>
      <w:r w:rsidR="00E86A11" w:rsidRPr="00C037A5">
        <w:rPr>
          <w:rFonts w:ascii="Times New Roman" w:hAnsi="Times New Roman" w:cs="Times New Roman"/>
          <w:sz w:val="28"/>
          <w:highlight w:val="white"/>
        </w:rPr>
        <w:t xml:space="preserve">), mas </w:t>
      </w:r>
      <w:r w:rsidR="00345831">
        <w:rPr>
          <w:rFonts w:ascii="Times New Roman" w:hAnsi="Times New Roman" w:cs="Times New Roman"/>
          <w:sz w:val="28"/>
          <w:highlight w:val="white"/>
        </w:rPr>
        <w:t xml:space="preserve">aumento das proteínas. Sem isolamento microbiológico em exame </w:t>
      </w:r>
      <w:proofErr w:type="spellStart"/>
      <w:r w:rsidR="00345831">
        <w:rPr>
          <w:rFonts w:ascii="Times New Roman" w:hAnsi="Times New Roman" w:cs="Times New Roman"/>
          <w:sz w:val="28"/>
          <w:highlight w:val="white"/>
        </w:rPr>
        <w:t>directo</w:t>
      </w:r>
      <w:proofErr w:type="spellEnd"/>
      <w:r w:rsidR="00345831">
        <w:rPr>
          <w:rFonts w:ascii="Times New Roman" w:hAnsi="Times New Roman" w:cs="Times New Roman"/>
          <w:sz w:val="28"/>
          <w:highlight w:val="white"/>
        </w:rPr>
        <w:t>, cultura</w:t>
      </w:r>
      <w:r w:rsidR="00A7459A">
        <w:rPr>
          <w:rFonts w:ascii="Times New Roman" w:hAnsi="Times New Roman" w:cs="Times New Roman"/>
          <w:sz w:val="28"/>
          <w:highlight w:val="white"/>
        </w:rPr>
        <w:t xml:space="preserve">l </w:t>
      </w:r>
      <w:r w:rsidR="00C902EB">
        <w:rPr>
          <w:rFonts w:ascii="Times New Roman" w:hAnsi="Times New Roman" w:cs="Times New Roman"/>
          <w:sz w:val="28"/>
          <w:highlight w:val="white"/>
        </w:rPr>
        <w:t>e pesquisa molecular de vírus (h</w:t>
      </w:r>
      <w:r w:rsidR="00A7459A">
        <w:rPr>
          <w:rFonts w:ascii="Times New Roman" w:hAnsi="Times New Roman" w:cs="Times New Roman"/>
          <w:sz w:val="28"/>
          <w:highlight w:val="white"/>
        </w:rPr>
        <w:t>erpes</w:t>
      </w:r>
      <w:r w:rsidR="00C902EB">
        <w:rPr>
          <w:rFonts w:ascii="Times New Roman" w:hAnsi="Times New Roman" w:cs="Times New Roman"/>
          <w:sz w:val="28"/>
          <w:highlight w:val="white"/>
        </w:rPr>
        <w:t xml:space="preserve"> </w:t>
      </w:r>
      <w:proofErr w:type="spellStart"/>
      <w:r w:rsidR="00C902EB">
        <w:rPr>
          <w:rFonts w:ascii="Times New Roman" w:hAnsi="Times New Roman" w:cs="Times New Roman"/>
          <w:sz w:val="28"/>
          <w:highlight w:val="white"/>
        </w:rPr>
        <w:t>simplex</w:t>
      </w:r>
      <w:proofErr w:type="spellEnd"/>
      <w:r w:rsidR="00C902EB">
        <w:rPr>
          <w:rFonts w:ascii="Times New Roman" w:hAnsi="Times New Roman" w:cs="Times New Roman"/>
          <w:sz w:val="28"/>
          <w:highlight w:val="white"/>
        </w:rPr>
        <w:t xml:space="preserve"> 1 e 2, VZV, EBV, CMV, a</w:t>
      </w:r>
      <w:r w:rsidR="00A7459A">
        <w:rPr>
          <w:rFonts w:ascii="Times New Roman" w:hAnsi="Times New Roman" w:cs="Times New Roman"/>
          <w:sz w:val="28"/>
          <w:highlight w:val="white"/>
        </w:rPr>
        <w:t>denovírus</w:t>
      </w:r>
      <w:r w:rsidR="00C902EB">
        <w:rPr>
          <w:rFonts w:ascii="Times New Roman" w:hAnsi="Times New Roman" w:cs="Times New Roman"/>
          <w:sz w:val="28"/>
          <w:highlight w:val="white"/>
        </w:rPr>
        <w:t xml:space="preserve">, </w:t>
      </w:r>
      <w:proofErr w:type="spellStart"/>
      <w:r w:rsidR="00C902EB">
        <w:rPr>
          <w:rFonts w:ascii="Times New Roman" w:hAnsi="Times New Roman" w:cs="Times New Roman"/>
          <w:sz w:val="28"/>
          <w:highlight w:val="white"/>
        </w:rPr>
        <w:t>enterovírus</w:t>
      </w:r>
      <w:proofErr w:type="spellEnd"/>
      <w:r w:rsidR="00A7459A">
        <w:rPr>
          <w:rFonts w:ascii="Times New Roman" w:hAnsi="Times New Roman" w:cs="Times New Roman"/>
          <w:sz w:val="28"/>
          <w:highlight w:val="white"/>
        </w:rPr>
        <w:t>)</w:t>
      </w:r>
      <w:r w:rsidR="00E86A11" w:rsidRPr="00C037A5">
        <w:rPr>
          <w:rFonts w:ascii="Times New Roman" w:hAnsi="Times New Roman" w:cs="Times New Roman"/>
          <w:sz w:val="28"/>
          <w:highlight w:val="white"/>
        </w:rPr>
        <w:t xml:space="preserve">. </w:t>
      </w:r>
      <w:r w:rsidR="00085928">
        <w:rPr>
          <w:rFonts w:ascii="Times New Roman" w:hAnsi="Times New Roman" w:cs="Times New Roman"/>
          <w:sz w:val="28"/>
          <w:highlight w:val="white"/>
        </w:rPr>
        <w:t>A s</w:t>
      </w:r>
      <w:r w:rsidR="00E86A11" w:rsidRPr="00C037A5">
        <w:rPr>
          <w:rFonts w:ascii="Times New Roman" w:hAnsi="Times New Roman" w:cs="Times New Roman"/>
          <w:sz w:val="28"/>
          <w:highlight w:val="white"/>
        </w:rPr>
        <w:t xml:space="preserve">erologia sérica </w:t>
      </w:r>
      <w:r w:rsidR="00085928">
        <w:rPr>
          <w:rFonts w:ascii="Times New Roman" w:hAnsi="Times New Roman" w:cs="Times New Roman"/>
          <w:sz w:val="28"/>
          <w:highlight w:val="white"/>
        </w:rPr>
        <w:t xml:space="preserve">foi </w:t>
      </w:r>
      <w:r w:rsidR="00E86A11" w:rsidRPr="00C037A5">
        <w:rPr>
          <w:rFonts w:ascii="Times New Roman" w:hAnsi="Times New Roman" w:cs="Times New Roman"/>
          <w:sz w:val="28"/>
          <w:highlight w:val="white"/>
        </w:rPr>
        <w:t>positiva (</w:t>
      </w:r>
      <w:proofErr w:type="spellStart"/>
      <w:r w:rsidR="00E86A11" w:rsidRPr="00C037A5">
        <w:rPr>
          <w:rFonts w:ascii="Times New Roman" w:hAnsi="Times New Roman" w:cs="Times New Roman"/>
          <w:sz w:val="28"/>
          <w:highlight w:val="white"/>
        </w:rPr>
        <w:t>IgM</w:t>
      </w:r>
      <w:proofErr w:type="spellEnd"/>
      <w:r w:rsidR="00E86A11" w:rsidRPr="00C037A5">
        <w:rPr>
          <w:rFonts w:ascii="Times New Roman" w:hAnsi="Times New Roman" w:cs="Times New Roman"/>
          <w:sz w:val="28"/>
          <w:highlight w:val="white"/>
        </w:rPr>
        <w:t xml:space="preserve"> e </w:t>
      </w:r>
      <w:proofErr w:type="spellStart"/>
      <w:r w:rsidR="00E86A11" w:rsidRPr="00C037A5">
        <w:rPr>
          <w:rFonts w:ascii="Times New Roman" w:hAnsi="Times New Roman" w:cs="Times New Roman"/>
          <w:sz w:val="28"/>
          <w:highlight w:val="white"/>
        </w:rPr>
        <w:t>IgG</w:t>
      </w:r>
      <w:proofErr w:type="spellEnd"/>
      <w:r w:rsidR="00E86A11" w:rsidRPr="00C037A5">
        <w:rPr>
          <w:rFonts w:ascii="Times New Roman" w:hAnsi="Times New Roman" w:cs="Times New Roman"/>
          <w:sz w:val="28"/>
          <w:highlight w:val="white"/>
        </w:rPr>
        <w:t xml:space="preserve">) para </w:t>
      </w:r>
      <w:proofErr w:type="spellStart"/>
      <w:r w:rsidR="00E86A11" w:rsidRPr="00C037A5">
        <w:rPr>
          <w:rFonts w:ascii="Times New Roman" w:hAnsi="Times New Roman" w:cs="Times New Roman"/>
          <w:i/>
          <w:sz w:val="28"/>
          <w:highlight w:val="white"/>
        </w:rPr>
        <w:t>Borrelia</w:t>
      </w:r>
      <w:proofErr w:type="spellEnd"/>
      <w:r w:rsidR="00E86A11" w:rsidRPr="00C037A5">
        <w:rPr>
          <w:rFonts w:ascii="Times New Roman" w:hAnsi="Times New Roman" w:cs="Times New Roman"/>
          <w:i/>
          <w:sz w:val="28"/>
          <w:highlight w:val="white"/>
        </w:rPr>
        <w:t xml:space="preserve"> </w:t>
      </w:r>
      <w:proofErr w:type="spellStart"/>
      <w:r w:rsidR="00E86A11" w:rsidRPr="00C037A5">
        <w:rPr>
          <w:rFonts w:ascii="Times New Roman" w:hAnsi="Times New Roman" w:cs="Times New Roman"/>
          <w:sz w:val="28"/>
          <w:highlight w:val="white"/>
        </w:rPr>
        <w:t>spp</w:t>
      </w:r>
      <w:proofErr w:type="spellEnd"/>
      <w:r w:rsidR="00E86A11" w:rsidRPr="00C037A5">
        <w:rPr>
          <w:rFonts w:ascii="Times New Roman" w:hAnsi="Times New Roman" w:cs="Times New Roman"/>
          <w:sz w:val="28"/>
          <w:highlight w:val="white"/>
        </w:rPr>
        <w:t xml:space="preserve">, confirmada por </w:t>
      </w:r>
      <w:r w:rsidR="00E86A11" w:rsidRPr="00C037A5">
        <w:rPr>
          <w:rFonts w:ascii="Times New Roman" w:hAnsi="Times New Roman" w:cs="Times New Roman"/>
          <w:i/>
          <w:sz w:val="28"/>
          <w:highlight w:val="white"/>
        </w:rPr>
        <w:t>western-</w:t>
      </w:r>
      <w:proofErr w:type="spellStart"/>
      <w:r w:rsidR="00E86A11" w:rsidRPr="00C037A5">
        <w:rPr>
          <w:rFonts w:ascii="Times New Roman" w:hAnsi="Times New Roman" w:cs="Times New Roman"/>
          <w:i/>
          <w:sz w:val="28"/>
          <w:highlight w:val="white"/>
        </w:rPr>
        <w:t>blot</w:t>
      </w:r>
      <w:proofErr w:type="spellEnd"/>
      <w:r w:rsidR="008D34FF">
        <w:rPr>
          <w:rFonts w:ascii="Times New Roman" w:hAnsi="Times New Roman" w:cs="Times New Roman"/>
          <w:sz w:val="28"/>
          <w:highlight w:val="white"/>
        </w:rPr>
        <w:t xml:space="preserve">, </w:t>
      </w:r>
      <w:r w:rsidR="00085928">
        <w:rPr>
          <w:rFonts w:ascii="Times New Roman" w:hAnsi="Times New Roman" w:cs="Times New Roman"/>
          <w:sz w:val="28"/>
          <w:highlight w:val="white"/>
        </w:rPr>
        <w:t>p</w:t>
      </w:r>
      <w:r w:rsidR="00E86A11" w:rsidRPr="00C037A5">
        <w:rPr>
          <w:rFonts w:ascii="Times New Roman" w:hAnsi="Times New Roman" w:cs="Times New Roman"/>
          <w:sz w:val="28"/>
          <w:highlight w:val="white"/>
        </w:rPr>
        <w:t>ositividade</w:t>
      </w:r>
      <w:r w:rsidR="008D34FF">
        <w:rPr>
          <w:rFonts w:ascii="Times New Roman" w:hAnsi="Times New Roman" w:cs="Times New Roman"/>
          <w:sz w:val="28"/>
          <w:highlight w:val="white"/>
        </w:rPr>
        <w:t xml:space="preserve"> </w:t>
      </w:r>
      <w:r w:rsidR="00E86A11" w:rsidRPr="00C037A5">
        <w:rPr>
          <w:rFonts w:ascii="Times New Roman" w:hAnsi="Times New Roman" w:cs="Times New Roman"/>
          <w:sz w:val="28"/>
          <w:highlight w:val="white"/>
        </w:rPr>
        <w:t xml:space="preserve">também </w:t>
      </w:r>
      <w:proofErr w:type="spellStart"/>
      <w:r w:rsidR="00085928">
        <w:rPr>
          <w:rFonts w:ascii="Times New Roman" w:hAnsi="Times New Roman" w:cs="Times New Roman"/>
          <w:sz w:val="28"/>
          <w:highlight w:val="white"/>
        </w:rPr>
        <w:t>objectivada</w:t>
      </w:r>
      <w:proofErr w:type="spellEnd"/>
      <w:r w:rsidR="00085928">
        <w:rPr>
          <w:rFonts w:ascii="Times New Roman" w:hAnsi="Times New Roman" w:cs="Times New Roman"/>
          <w:sz w:val="28"/>
          <w:highlight w:val="white"/>
        </w:rPr>
        <w:t xml:space="preserve"> </w:t>
      </w:r>
      <w:r w:rsidR="00E86A11" w:rsidRPr="00C037A5">
        <w:rPr>
          <w:rFonts w:ascii="Times New Roman" w:hAnsi="Times New Roman" w:cs="Times New Roman"/>
          <w:sz w:val="28"/>
          <w:highlight w:val="white"/>
        </w:rPr>
        <w:t xml:space="preserve">no </w:t>
      </w:r>
      <w:proofErr w:type="spellStart"/>
      <w:r w:rsidR="00E86A11" w:rsidRPr="00C037A5">
        <w:rPr>
          <w:rFonts w:ascii="Times New Roman" w:hAnsi="Times New Roman" w:cs="Times New Roman"/>
          <w:sz w:val="28"/>
          <w:highlight w:val="white"/>
        </w:rPr>
        <w:t>líquor</w:t>
      </w:r>
      <w:proofErr w:type="spellEnd"/>
      <w:r w:rsidR="00E86A11" w:rsidRPr="00C037A5">
        <w:rPr>
          <w:rFonts w:ascii="Times New Roman" w:hAnsi="Times New Roman" w:cs="Times New Roman"/>
          <w:sz w:val="28"/>
          <w:highlight w:val="white"/>
        </w:rPr>
        <w:t xml:space="preserve">, com </w:t>
      </w:r>
      <w:r w:rsidR="00A7459A">
        <w:rPr>
          <w:rFonts w:ascii="Times New Roman" w:hAnsi="Times New Roman" w:cs="Times New Roman"/>
          <w:sz w:val="28"/>
          <w:highlight w:val="white"/>
        </w:rPr>
        <w:t xml:space="preserve">evidência de </w:t>
      </w:r>
      <w:r w:rsidR="00E86A11" w:rsidRPr="00C037A5">
        <w:rPr>
          <w:rFonts w:ascii="Times New Roman" w:hAnsi="Times New Roman" w:cs="Times New Roman"/>
          <w:sz w:val="28"/>
          <w:highlight w:val="white"/>
        </w:rPr>
        <w:t xml:space="preserve">produção </w:t>
      </w:r>
      <w:proofErr w:type="spellStart"/>
      <w:r w:rsidR="00E86A11" w:rsidRPr="00C037A5">
        <w:rPr>
          <w:rFonts w:ascii="Times New Roman" w:hAnsi="Times New Roman" w:cs="Times New Roman"/>
          <w:sz w:val="28"/>
          <w:highlight w:val="white"/>
        </w:rPr>
        <w:t>intratecal</w:t>
      </w:r>
      <w:proofErr w:type="spellEnd"/>
      <w:r w:rsidR="00E86A11" w:rsidRPr="00C037A5">
        <w:rPr>
          <w:rFonts w:ascii="Times New Roman" w:hAnsi="Times New Roman" w:cs="Times New Roman"/>
          <w:sz w:val="28"/>
          <w:highlight w:val="white"/>
        </w:rPr>
        <w:t>. Ress</w:t>
      </w:r>
      <w:r w:rsidR="00A7459A">
        <w:rPr>
          <w:rFonts w:ascii="Times New Roman" w:hAnsi="Times New Roman" w:cs="Times New Roman"/>
          <w:sz w:val="28"/>
          <w:highlight w:val="white"/>
        </w:rPr>
        <w:t xml:space="preserve">onância Magnética cerebral e do neuro-eixo </w:t>
      </w:r>
      <w:r w:rsidR="004F17FF">
        <w:rPr>
          <w:rFonts w:ascii="Times New Roman" w:hAnsi="Times New Roman" w:cs="Times New Roman"/>
          <w:sz w:val="28"/>
          <w:highlight w:val="white"/>
        </w:rPr>
        <w:t>normais</w:t>
      </w:r>
      <w:r w:rsidR="00A7459A">
        <w:rPr>
          <w:rFonts w:ascii="Times New Roman" w:hAnsi="Times New Roman" w:cs="Times New Roman"/>
          <w:sz w:val="28"/>
          <w:highlight w:val="white"/>
        </w:rPr>
        <w:t xml:space="preserve">. </w:t>
      </w:r>
      <w:r w:rsidR="008D34FF">
        <w:rPr>
          <w:rFonts w:ascii="Times New Roman" w:hAnsi="Times New Roman" w:cs="Times New Roman"/>
          <w:sz w:val="28"/>
          <w:highlight w:val="white"/>
        </w:rPr>
        <w:t xml:space="preserve">Não houve </w:t>
      </w:r>
      <w:r w:rsidR="00A7459A">
        <w:rPr>
          <w:rFonts w:ascii="Times New Roman" w:hAnsi="Times New Roman" w:cs="Times New Roman"/>
          <w:sz w:val="28"/>
          <w:highlight w:val="white"/>
        </w:rPr>
        <w:t>evidência de</w:t>
      </w:r>
      <w:r w:rsidR="003A4D8A">
        <w:rPr>
          <w:rFonts w:ascii="Times New Roman" w:hAnsi="Times New Roman" w:cs="Times New Roman"/>
          <w:sz w:val="28"/>
          <w:highlight w:val="white"/>
        </w:rPr>
        <w:t xml:space="preserve"> </w:t>
      </w:r>
      <w:r w:rsidR="00E86A11" w:rsidRPr="00C037A5">
        <w:rPr>
          <w:rFonts w:ascii="Times New Roman" w:hAnsi="Times New Roman" w:cs="Times New Roman"/>
          <w:sz w:val="28"/>
          <w:highlight w:val="white"/>
        </w:rPr>
        <w:t xml:space="preserve">atingimento cardíaco ou osteoarticular. </w:t>
      </w:r>
      <w:r w:rsidR="00A7459A">
        <w:rPr>
          <w:rFonts w:ascii="Times New Roman" w:hAnsi="Times New Roman" w:cs="Times New Roman"/>
          <w:sz w:val="28"/>
          <w:highlight w:val="white"/>
        </w:rPr>
        <w:t xml:space="preserve">O </w:t>
      </w:r>
      <w:r w:rsidR="008D34FF">
        <w:rPr>
          <w:rFonts w:ascii="Times New Roman" w:hAnsi="Times New Roman" w:cs="Times New Roman"/>
          <w:sz w:val="28"/>
          <w:highlight w:val="white"/>
        </w:rPr>
        <w:t xml:space="preserve">estudo </w:t>
      </w:r>
      <w:proofErr w:type="spellStart"/>
      <w:r w:rsidR="008D34FF">
        <w:rPr>
          <w:rFonts w:ascii="Times New Roman" w:hAnsi="Times New Roman" w:cs="Times New Roman"/>
          <w:sz w:val="28"/>
          <w:highlight w:val="white"/>
        </w:rPr>
        <w:t>auto-imune</w:t>
      </w:r>
      <w:proofErr w:type="spellEnd"/>
      <w:r w:rsidR="003A4D8A">
        <w:rPr>
          <w:rFonts w:ascii="Times New Roman" w:hAnsi="Times New Roman" w:cs="Times New Roman"/>
          <w:sz w:val="28"/>
          <w:highlight w:val="white"/>
        </w:rPr>
        <w:t xml:space="preserve"> não mostrou alterações </w:t>
      </w:r>
      <w:r w:rsidR="00023400" w:rsidRPr="00C037A5">
        <w:rPr>
          <w:rFonts w:ascii="Times New Roman" w:hAnsi="Times New Roman" w:cs="Times New Roman"/>
          <w:color w:val="auto"/>
          <w:sz w:val="28"/>
          <w:highlight w:val="white"/>
        </w:rPr>
        <w:t>(</w:t>
      </w:r>
      <w:r w:rsidR="004E1E42" w:rsidRPr="00C037A5">
        <w:rPr>
          <w:rFonts w:ascii="Times New Roman" w:hAnsi="Times New Roman" w:cs="Times New Roman"/>
          <w:color w:val="auto"/>
          <w:sz w:val="28"/>
          <w:highlight w:val="white"/>
        </w:rPr>
        <w:t>C3,</w:t>
      </w:r>
      <w:r w:rsidR="00703983" w:rsidRPr="00C037A5">
        <w:rPr>
          <w:rFonts w:ascii="Times New Roman" w:hAnsi="Times New Roman" w:cs="Times New Roman"/>
          <w:color w:val="auto"/>
          <w:sz w:val="28"/>
          <w:highlight w:val="white"/>
        </w:rPr>
        <w:t xml:space="preserve"> </w:t>
      </w:r>
      <w:r w:rsidR="007809B3">
        <w:rPr>
          <w:rFonts w:ascii="Times New Roman" w:hAnsi="Times New Roman" w:cs="Times New Roman"/>
          <w:color w:val="auto"/>
          <w:sz w:val="28"/>
          <w:highlight w:val="white"/>
        </w:rPr>
        <w:t xml:space="preserve">C4, </w:t>
      </w:r>
      <w:proofErr w:type="spellStart"/>
      <w:r w:rsidR="007809B3">
        <w:rPr>
          <w:rFonts w:ascii="Times New Roman" w:hAnsi="Times New Roman" w:cs="Times New Roman"/>
          <w:color w:val="auto"/>
          <w:sz w:val="28"/>
          <w:highlight w:val="white"/>
        </w:rPr>
        <w:t>anti-dsDNA</w:t>
      </w:r>
      <w:proofErr w:type="spellEnd"/>
      <w:r w:rsidR="007809B3">
        <w:rPr>
          <w:rFonts w:ascii="Times New Roman" w:hAnsi="Times New Roman" w:cs="Times New Roman"/>
          <w:color w:val="auto"/>
          <w:sz w:val="28"/>
          <w:highlight w:val="white"/>
        </w:rPr>
        <w:t xml:space="preserve">, </w:t>
      </w:r>
      <w:proofErr w:type="spellStart"/>
      <w:r w:rsidR="007809B3">
        <w:rPr>
          <w:rFonts w:ascii="Times New Roman" w:hAnsi="Times New Roman" w:cs="Times New Roman"/>
          <w:color w:val="auto"/>
          <w:sz w:val="28"/>
          <w:highlight w:val="white"/>
        </w:rPr>
        <w:t>anti-SS-A</w:t>
      </w:r>
      <w:proofErr w:type="spellEnd"/>
      <w:r w:rsidR="007809B3">
        <w:rPr>
          <w:rFonts w:ascii="Times New Roman" w:hAnsi="Times New Roman" w:cs="Times New Roman"/>
          <w:color w:val="auto"/>
          <w:sz w:val="28"/>
          <w:highlight w:val="white"/>
        </w:rPr>
        <w:t>, anti</w:t>
      </w:r>
      <w:r w:rsidR="004E1E42" w:rsidRPr="00C037A5">
        <w:rPr>
          <w:rFonts w:ascii="Times New Roman" w:hAnsi="Times New Roman" w:cs="Times New Roman"/>
          <w:color w:val="auto"/>
          <w:sz w:val="28"/>
          <w:highlight w:val="white"/>
        </w:rPr>
        <w:t>-SS-B, ANCA</w:t>
      </w:r>
      <w:r w:rsidR="008D34FF">
        <w:rPr>
          <w:rFonts w:ascii="Times New Roman" w:hAnsi="Times New Roman" w:cs="Times New Roman"/>
          <w:color w:val="auto"/>
          <w:sz w:val="28"/>
          <w:highlight w:val="white"/>
        </w:rPr>
        <w:t>,</w:t>
      </w:r>
      <w:r w:rsidR="004E1E42" w:rsidRPr="00C037A5">
        <w:rPr>
          <w:rFonts w:ascii="Times New Roman" w:hAnsi="Times New Roman" w:cs="Times New Roman"/>
          <w:color w:val="auto"/>
          <w:sz w:val="28"/>
          <w:highlight w:val="white"/>
        </w:rPr>
        <w:t xml:space="preserve"> </w:t>
      </w:r>
      <w:r w:rsidR="00703983" w:rsidRPr="00C037A5">
        <w:rPr>
          <w:rFonts w:ascii="Times New Roman" w:hAnsi="Times New Roman" w:cs="Times New Roman"/>
          <w:color w:val="auto"/>
          <w:sz w:val="28"/>
          <w:highlight w:val="white"/>
        </w:rPr>
        <w:t>ANA</w:t>
      </w:r>
      <w:r w:rsidR="008D34FF">
        <w:rPr>
          <w:rFonts w:ascii="Times New Roman" w:hAnsi="Times New Roman" w:cs="Times New Roman"/>
          <w:color w:val="auto"/>
          <w:sz w:val="28"/>
          <w:highlight w:val="white"/>
        </w:rPr>
        <w:t xml:space="preserve"> </w:t>
      </w:r>
      <w:proofErr w:type="spellStart"/>
      <w:r w:rsidR="008D34FF">
        <w:rPr>
          <w:rFonts w:ascii="Times New Roman" w:hAnsi="Times New Roman" w:cs="Times New Roman"/>
          <w:color w:val="auto"/>
          <w:sz w:val="28"/>
          <w:highlight w:val="white"/>
        </w:rPr>
        <w:t>inespecífico</w:t>
      </w:r>
      <w:proofErr w:type="spellEnd"/>
      <w:r w:rsidR="00023400" w:rsidRPr="00C037A5">
        <w:rPr>
          <w:rFonts w:ascii="Times New Roman" w:hAnsi="Times New Roman" w:cs="Times New Roman"/>
          <w:color w:val="auto"/>
          <w:sz w:val="28"/>
          <w:highlight w:val="white"/>
        </w:rPr>
        <w:t>)</w:t>
      </w:r>
      <w:r w:rsidR="00E86A11" w:rsidRPr="00C037A5">
        <w:rPr>
          <w:rFonts w:ascii="Times New Roman" w:hAnsi="Times New Roman" w:cs="Times New Roman"/>
          <w:color w:val="auto"/>
          <w:sz w:val="28"/>
          <w:highlight w:val="white"/>
        </w:rPr>
        <w:t xml:space="preserve">. </w:t>
      </w:r>
      <w:r w:rsidR="008D34FF">
        <w:rPr>
          <w:rFonts w:ascii="Times New Roman" w:hAnsi="Times New Roman" w:cs="Times New Roman"/>
          <w:color w:val="auto"/>
          <w:sz w:val="28"/>
          <w:highlight w:val="white"/>
        </w:rPr>
        <w:t xml:space="preserve">Excluídas </w:t>
      </w:r>
      <w:r w:rsidR="00E86A11" w:rsidRPr="00C037A5">
        <w:rPr>
          <w:rFonts w:ascii="Times New Roman" w:hAnsi="Times New Roman" w:cs="Times New Roman"/>
          <w:color w:val="auto"/>
          <w:sz w:val="28"/>
          <w:highlight w:val="white"/>
        </w:rPr>
        <w:t>imunodef</w:t>
      </w:r>
      <w:r w:rsidR="003A4D8A">
        <w:rPr>
          <w:rFonts w:ascii="Times New Roman" w:hAnsi="Times New Roman" w:cs="Times New Roman"/>
          <w:color w:val="auto"/>
          <w:sz w:val="28"/>
          <w:highlight w:val="white"/>
        </w:rPr>
        <w:t>iciência</w:t>
      </w:r>
      <w:r w:rsidR="008D34FF">
        <w:rPr>
          <w:rFonts w:ascii="Times New Roman" w:hAnsi="Times New Roman" w:cs="Times New Roman"/>
          <w:color w:val="auto"/>
          <w:sz w:val="28"/>
          <w:highlight w:val="white"/>
        </w:rPr>
        <w:t>s (VIH 1-2 e imunoglobulinas).</w:t>
      </w:r>
    </w:p>
    <w:p w:rsidR="00383254" w:rsidRPr="008D34FF" w:rsidRDefault="00C037A5" w:rsidP="00C037A5">
      <w:pPr>
        <w:pStyle w:val="SemEspaamento"/>
        <w:spacing w:line="360" w:lineRule="auto"/>
        <w:jc w:val="both"/>
        <w:rPr>
          <w:rFonts w:ascii="Times New Roman" w:hAnsi="Times New Roman" w:cs="Times New Roman"/>
          <w:sz w:val="28"/>
          <w:highlight w:val="white"/>
        </w:rPr>
      </w:pPr>
      <w:r>
        <w:rPr>
          <w:rFonts w:ascii="Times New Roman" w:hAnsi="Times New Roman" w:cs="Times New Roman"/>
          <w:sz w:val="28"/>
          <w:highlight w:val="white"/>
        </w:rPr>
        <w:tab/>
      </w:r>
      <w:r w:rsidR="008D34FF">
        <w:rPr>
          <w:rFonts w:ascii="Times New Roman" w:hAnsi="Times New Roman" w:cs="Times New Roman"/>
          <w:sz w:val="28"/>
          <w:highlight w:val="white"/>
        </w:rPr>
        <w:t>M</w:t>
      </w:r>
      <w:r w:rsidR="00E86A11" w:rsidRPr="00C037A5">
        <w:rPr>
          <w:rFonts w:ascii="Times New Roman" w:hAnsi="Times New Roman" w:cs="Times New Roman"/>
          <w:sz w:val="28"/>
          <w:highlight w:val="white"/>
        </w:rPr>
        <w:t xml:space="preserve">anteve </w:t>
      </w:r>
      <w:proofErr w:type="spellStart"/>
      <w:r w:rsidR="00E86A11" w:rsidRPr="00C037A5">
        <w:rPr>
          <w:rFonts w:ascii="Times New Roman" w:hAnsi="Times New Roman" w:cs="Times New Roman"/>
          <w:sz w:val="28"/>
          <w:highlight w:val="white"/>
        </w:rPr>
        <w:t>ceftriaxona</w:t>
      </w:r>
      <w:proofErr w:type="spellEnd"/>
      <w:r w:rsidR="00E86A11" w:rsidRPr="00C037A5">
        <w:rPr>
          <w:rFonts w:ascii="Times New Roman" w:hAnsi="Times New Roman" w:cs="Times New Roman"/>
          <w:sz w:val="28"/>
          <w:highlight w:val="white"/>
        </w:rPr>
        <w:t xml:space="preserve"> 2g</w:t>
      </w:r>
      <w:r w:rsidR="00A51ED1">
        <w:rPr>
          <w:rFonts w:ascii="Times New Roman" w:hAnsi="Times New Roman" w:cs="Times New Roman"/>
          <w:sz w:val="28"/>
          <w:highlight w:val="white"/>
        </w:rPr>
        <w:t xml:space="preserve"> </w:t>
      </w:r>
      <w:r w:rsidR="00E86A11" w:rsidRPr="00C037A5">
        <w:rPr>
          <w:rFonts w:ascii="Times New Roman" w:hAnsi="Times New Roman" w:cs="Times New Roman"/>
          <w:sz w:val="28"/>
          <w:highlight w:val="white"/>
        </w:rPr>
        <w:t>24h</w:t>
      </w:r>
      <w:r w:rsidR="006217D5">
        <w:rPr>
          <w:rFonts w:ascii="Times New Roman" w:hAnsi="Times New Roman" w:cs="Times New Roman"/>
          <w:sz w:val="28"/>
          <w:highlight w:val="white"/>
        </w:rPr>
        <w:t>/24h</w:t>
      </w:r>
      <w:r w:rsidR="00E86A11" w:rsidRPr="00C037A5">
        <w:rPr>
          <w:rFonts w:ascii="Times New Roman" w:hAnsi="Times New Roman" w:cs="Times New Roman"/>
          <w:sz w:val="28"/>
          <w:highlight w:val="white"/>
        </w:rPr>
        <w:t xml:space="preserve"> durante 14 dias, com resposta </w:t>
      </w:r>
      <w:r w:rsidR="008D34FF">
        <w:rPr>
          <w:rFonts w:ascii="Times New Roman" w:hAnsi="Times New Roman" w:cs="Times New Roman"/>
          <w:sz w:val="28"/>
          <w:highlight w:val="white"/>
        </w:rPr>
        <w:t>favorável ao s</w:t>
      </w:r>
      <w:r w:rsidR="003A4D8A">
        <w:rPr>
          <w:rFonts w:ascii="Times New Roman" w:hAnsi="Times New Roman" w:cs="Times New Roman"/>
          <w:sz w:val="28"/>
          <w:highlight w:val="white"/>
        </w:rPr>
        <w:t>egundo</w:t>
      </w:r>
      <w:r w:rsidR="008D34FF">
        <w:rPr>
          <w:rFonts w:ascii="Times New Roman" w:hAnsi="Times New Roman" w:cs="Times New Roman"/>
          <w:sz w:val="28"/>
          <w:highlight w:val="white"/>
        </w:rPr>
        <w:t xml:space="preserve"> dia</w:t>
      </w:r>
      <w:r w:rsidR="00E86A11" w:rsidRPr="00C037A5">
        <w:rPr>
          <w:rFonts w:ascii="Times New Roman" w:hAnsi="Times New Roman" w:cs="Times New Roman"/>
          <w:sz w:val="28"/>
          <w:highlight w:val="white"/>
        </w:rPr>
        <w:t xml:space="preserve">. </w:t>
      </w:r>
      <w:r w:rsidR="003A4D8A">
        <w:rPr>
          <w:rFonts w:ascii="Times New Roman" w:hAnsi="Times New Roman" w:cs="Times New Roman"/>
          <w:sz w:val="28"/>
          <w:highlight w:val="white"/>
        </w:rPr>
        <w:t>À data de alta, assintomático</w:t>
      </w:r>
      <w:r w:rsidR="0052063D">
        <w:rPr>
          <w:rFonts w:ascii="Times New Roman" w:hAnsi="Times New Roman" w:cs="Times New Roman"/>
          <w:sz w:val="28"/>
          <w:highlight w:val="white"/>
        </w:rPr>
        <w:t xml:space="preserve">. Cumpriu </w:t>
      </w:r>
      <w:r w:rsidR="00E86A11" w:rsidRPr="00C037A5">
        <w:rPr>
          <w:rFonts w:ascii="Times New Roman" w:hAnsi="Times New Roman" w:cs="Times New Roman"/>
          <w:sz w:val="28"/>
          <w:highlight w:val="white"/>
        </w:rPr>
        <w:t xml:space="preserve">mais 14 </w:t>
      </w:r>
      <w:r w:rsidR="00E86A11" w:rsidRPr="00C037A5">
        <w:rPr>
          <w:rFonts w:ascii="Times New Roman" w:hAnsi="Times New Roman" w:cs="Times New Roman"/>
          <w:sz w:val="28"/>
          <w:highlight w:val="white"/>
        </w:rPr>
        <w:lastRenderedPageBreak/>
        <w:t xml:space="preserve">dias de doxiciclina 100mg 12/12h em ambulatório, </w:t>
      </w:r>
      <w:r w:rsidR="0090284E">
        <w:rPr>
          <w:rFonts w:ascii="Times New Roman" w:hAnsi="Times New Roman" w:cs="Times New Roman"/>
          <w:sz w:val="28"/>
          <w:highlight w:val="white"/>
        </w:rPr>
        <w:t>num</w:t>
      </w:r>
      <w:r w:rsidR="00E86A11" w:rsidRPr="00C037A5">
        <w:rPr>
          <w:rFonts w:ascii="Times New Roman" w:hAnsi="Times New Roman" w:cs="Times New Roman"/>
          <w:sz w:val="28"/>
          <w:highlight w:val="white"/>
        </w:rPr>
        <w:t xml:space="preserve"> total de 28 dias de</w:t>
      </w:r>
      <w:r w:rsidR="00A51ED1">
        <w:rPr>
          <w:rFonts w:ascii="Times New Roman" w:hAnsi="Times New Roman" w:cs="Times New Roman"/>
          <w:sz w:val="28"/>
          <w:highlight w:val="white"/>
        </w:rPr>
        <w:t xml:space="preserve"> antibioterapia. Reavaliado em consulta </w:t>
      </w:r>
      <w:r w:rsidR="003552CD">
        <w:rPr>
          <w:rFonts w:ascii="Times New Roman" w:hAnsi="Times New Roman" w:cs="Times New Roman"/>
          <w:sz w:val="28"/>
          <w:highlight w:val="white"/>
        </w:rPr>
        <w:t>passado um mês</w:t>
      </w:r>
      <w:r w:rsidR="003A4D8A">
        <w:rPr>
          <w:rFonts w:ascii="Times New Roman" w:hAnsi="Times New Roman" w:cs="Times New Roman"/>
          <w:sz w:val="28"/>
          <w:highlight w:val="white"/>
        </w:rPr>
        <w:t>, admitia</w:t>
      </w:r>
      <w:r w:rsidR="00E86A11" w:rsidRPr="00C037A5">
        <w:rPr>
          <w:rFonts w:ascii="Times New Roman" w:hAnsi="Times New Roman" w:cs="Times New Roman"/>
          <w:sz w:val="28"/>
          <w:highlight w:val="white"/>
        </w:rPr>
        <w:t xml:space="preserve"> melhoria do estado geral, sem recidiva das cefaleias, </w:t>
      </w:r>
      <w:r w:rsidR="0052063D">
        <w:rPr>
          <w:rFonts w:ascii="Times New Roman" w:hAnsi="Times New Roman" w:cs="Times New Roman"/>
          <w:sz w:val="28"/>
          <w:highlight w:val="white"/>
        </w:rPr>
        <w:t>e</w:t>
      </w:r>
      <w:r w:rsidR="003A4D8A">
        <w:rPr>
          <w:rFonts w:ascii="Times New Roman" w:hAnsi="Times New Roman" w:cs="Times New Roman"/>
          <w:sz w:val="28"/>
          <w:highlight w:val="white"/>
        </w:rPr>
        <w:t>xame neurológico normal</w:t>
      </w:r>
      <w:r w:rsidR="00E86A11" w:rsidRPr="00C037A5">
        <w:rPr>
          <w:rFonts w:ascii="Times New Roman" w:hAnsi="Times New Roman" w:cs="Times New Roman"/>
          <w:sz w:val="28"/>
          <w:highlight w:val="white"/>
        </w:rPr>
        <w:t xml:space="preserve"> e</w:t>
      </w:r>
      <w:r w:rsidR="003A4D8A">
        <w:rPr>
          <w:rFonts w:ascii="Times New Roman" w:hAnsi="Times New Roman" w:cs="Times New Roman"/>
          <w:sz w:val="28"/>
          <w:highlight w:val="white"/>
        </w:rPr>
        <w:t xml:space="preserve"> </w:t>
      </w:r>
      <w:r w:rsidR="0052063D">
        <w:rPr>
          <w:rFonts w:ascii="Times New Roman" w:hAnsi="Times New Roman" w:cs="Times New Roman"/>
          <w:sz w:val="28"/>
          <w:highlight w:val="white"/>
        </w:rPr>
        <w:t>r</w:t>
      </w:r>
      <w:r w:rsidR="00E86A11" w:rsidRPr="00C037A5">
        <w:rPr>
          <w:rFonts w:ascii="Times New Roman" w:hAnsi="Times New Roman" w:cs="Times New Roman"/>
          <w:sz w:val="28"/>
          <w:highlight w:val="white"/>
        </w:rPr>
        <w:t>esolução da astenia, retoma</w:t>
      </w:r>
      <w:r w:rsidR="0052063D">
        <w:rPr>
          <w:rFonts w:ascii="Times New Roman" w:hAnsi="Times New Roman" w:cs="Times New Roman"/>
          <w:sz w:val="28"/>
          <w:highlight w:val="white"/>
        </w:rPr>
        <w:t>n</w:t>
      </w:r>
      <w:r w:rsidR="00E86A11" w:rsidRPr="00C037A5">
        <w:rPr>
          <w:rFonts w:ascii="Times New Roman" w:hAnsi="Times New Roman" w:cs="Times New Roman"/>
          <w:sz w:val="28"/>
          <w:highlight w:val="white"/>
        </w:rPr>
        <w:t xml:space="preserve">do as </w:t>
      </w:r>
      <w:proofErr w:type="spellStart"/>
      <w:r w:rsidR="00E86A11" w:rsidRPr="00C037A5">
        <w:rPr>
          <w:rFonts w:ascii="Times New Roman" w:hAnsi="Times New Roman" w:cs="Times New Roman"/>
          <w:sz w:val="28"/>
          <w:highlight w:val="white"/>
        </w:rPr>
        <w:t>actividades</w:t>
      </w:r>
      <w:proofErr w:type="spellEnd"/>
      <w:r w:rsidR="00E86A11" w:rsidRPr="00C037A5">
        <w:rPr>
          <w:rFonts w:ascii="Times New Roman" w:hAnsi="Times New Roman" w:cs="Times New Roman"/>
          <w:sz w:val="28"/>
          <w:highlight w:val="white"/>
        </w:rPr>
        <w:t xml:space="preserve"> académicas e o exercício físico regular.</w:t>
      </w:r>
    </w:p>
    <w:p w:rsidR="00383254" w:rsidRDefault="00383254">
      <w:pPr>
        <w:pStyle w:val="Normal1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383254" w:rsidRDefault="00CA1800">
      <w:pPr>
        <w:pStyle w:val="Normal1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Cs w:val="24"/>
          <w:highlight w:val="white"/>
        </w:rPr>
      </w:pPr>
      <w:r w:rsidRPr="00CA1800">
        <w:rPr>
          <w:rFonts w:ascii="Times New Roman" w:eastAsia="Times New Roman" w:hAnsi="Times New Roman" w:cs="Times New Roman"/>
          <w:szCs w:val="24"/>
          <w:highlight w:val="white"/>
        </w:rPr>
        <w:t xml:space="preserve">Tabela 1 – Características citológicas e bioquímicas das punções lombares </w:t>
      </w:r>
      <w:proofErr w:type="spellStart"/>
      <w:r w:rsidRPr="00CA1800">
        <w:rPr>
          <w:rFonts w:ascii="Times New Roman" w:eastAsia="Times New Roman" w:hAnsi="Times New Roman" w:cs="Times New Roman"/>
          <w:szCs w:val="24"/>
          <w:highlight w:val="white"/>
        </w:rPr>
        <w:t>efectuadas</w:t>
      </w:r>
      <w:proofErr w:type="spellEnd"/>
      <w:r w:rsidRPr="00CA1800">
        <w:rPr>
          <w:rFonts w:ascii="Times New Roman" w:eastAsia="Times New Roman" w:hAnsi="Times New Roman" w:cs="Times New Roman"/>
          <w:szCs w:val="24"/>
          <w:highlight w:val="white"/>
        </w:rPr>
        <w:t>.</w:t>
      </w:r>
    </w:p>
    <w:p w:rsidR="00DF7B28" w:rsidRPr="00CA1800" w:rsidRDefault="00DF7B28">
      <w:pPr>
        <w:pStyle w:val="Normal1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Cs w:val="24"/>
          <w:highlight w:val="white"/>
        </w:rPr>
      </w:pPr>
    </w:p>
    <w:tbl>
      <w:tblPr>
        <w:tblStyle w:val="a"/>
        <w:tblW w:w="8504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54"/>
        <w:gridCol w:w="1470"/>
        <w:gridCol w:w="1410"/>
        <w:gridCol w:w="2370"/>
      </w:tblGrid>
      <w:tr w:rsidR="00383254" w:rsidTr="00DF7B28">
        <w:trPr>
          <w:trHeight w:val="440"/>
        </w:trPr>
        <w:tc>
          <w:tcPr>
            <w:tcW w:w="8504" w:type="dxa"/>
            <w:gridSpan w:val="4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3254" w:rsidRDefault="00E86A11" w:rsidP="00DF7B28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ESTUDO DO LCR POR PUNÇÃO LOMBAR</w:t>
            </w:r>
          </w:p>
        </w:tc>
      </w:tr>
      <w:tr w:rsidR="00383254" w:rsidTr="00DF7B28">
        <w:trPr>
          <w:trHeight w:val="440"/>
        </w:trPr>
        <w:tc>
          <w:tcPr>
            <w:tcW w:w="32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3254" w:rsidRDefault="00383254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3254" w:rsidRDefault="00E86A11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highlight w:val="white"/>
              </w:rPr>
              <w:t>À admissão</w:t>
            </w:r>
          </w:p>
        </w:tc>
        <w:tc>
          <w:tcPr>
            <w:tcW w:w="1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3254" w:rsidRDefault="00E86A11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highlight w:val="white"/>
              </w:rPr>
              <w:t>Às 48h</w:t>
            </w:r>
          </w:p>
        </w:tc>
        <w:tc>
          <w:tcPr>
            <w:tcW w:w="2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3254" w:rsidRDefault="00E86A11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highlight w:val="white"/>
              </w:rPr>
              <w:t>Valores de referência</w:t>
            </w:r>
          </w:p>
        </w:tc>
      </w:tr>
      <w:tr w:rsidR="00383254" w:rsidTr="00DF7B28">
        <w:trPr>
          <w:trHeight w:val="440"/>
        </w:trPr>
        <w:tc>
          <w:tcPr>
            <w:tcW w:w="32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3254" w:rsidRDefault="00E86A11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b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highlight w:val="white"/>
              </w:rPr>
              <w:t>Glicose</w:t>
            </w:r>
            <w:r w:rsidR="00023400">
              <w:rPr>
                <w:rFonts w:ascii="Times New Roman" w:eastAsia="Times New Roman" w:hAnsi="Times New Roman" w:cs="Times New Roman"/>
                <w:b/>
                <w:highlight w:val="white"/>
              </w:rPr>
              <w:t xml:space="preserve"> </w:t>
            </w:r>
            <w:r w:rsidR="00023400" w:rsidRPr="00606326">
              <w:rPr>
                <w:rFonts w:ascii="Times New Roman" w:eastAsia="Times New Roman" w:hAnsi="Times New Roman" w:cs="Times New Roman"/>
                <w:b/>
                <w:color w:val="auto"/>
                <w:highlight w:val="white"/>
              </w:rPr>
              <w:t>(g/L)</w:t>
            </w: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3254" w:rsidRDefault="00E86A11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0.42</w:t>
            </w:r>
          </w:p>
        </w:tc>
        <w:tc>
          <w:tcPr>
            <w:tcW w:w="1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3254" w:rsidRDefault="00E86A11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0.37</w:t>
            </w:r>
          </w:p>
        </w:tc>
        <w:tc>
          <w:tcPr>
            <w:tcW w:w="2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3254" w:rsidRDefault="00E86A11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0.39-0.71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g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/L</w:t>
            </w:r>
          </w:p>
        </w:tc>
      </w:tr>
      <w:tr w:rsidR="00383254" w:rsidTr="00DF7B28">
        <w:trPr>
          <w:trHeight w:val="440"/>
        </w:trPr>
        <w:tc>
          <w:tcPr>
            <w:tcW w:w="32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3254" w:rsidRPr="00606326" w:rsidRDefault="00E86A11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highlight w:val="white"/>
              </w:rPr>
            </w:pPr>
            <w:r w:rsidRPr="00606326">
              <w:rPr>
                <w:rFonts w:ascii="Times New Roman" w:eastAsia="Times New Roman" w:hAnsi="Times New Roman" w:cs="Times New Roman"/>
                <w:b/>
                <w:color w:val="auto"/>
                <w:highlight w:val="white"/>
              </w:rPr>
              <w:t>Proteínas</w:t>
            </w:r>
            <w:r w:rsidR="00023400" w:rsidRPr="00606326">
              <w:rPr>
                <w:rFonts w:ascii="Times New Roman" w:eastAsia="Times New Roman" w:hAnsi="Times New Roman" w:cs="Times New Roman"/>
                <w:b/>
                <w:color w:val="auto"/>
                <w:highlight w:val="white"/>
              </w:rPr>
              <w:t xml:space="preserve"> (g/L)</w:t>
            </w: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3254" w:rsidRDefault="00E86A11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1.62</w:t>
            </w:r>
          </w:p>
        </w:tc>
        <w:tc>
          <w:tcPr>
            <w:tcW w:w="1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3254" w:rsidRDefault="00E86A11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1.84</w:t>
            </w:r>
          </w:p>
        </w:tc>
        <w:tc>
          <w:tcPr>
            <w:tcW w:w="2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3254" w:rsidRDefault="00E86A11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0.00-0.45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g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/L</w:t>
            </w:r>
          </w:p>
        </w:tc>
      </w:tr>
      <w:tr w:rsidR="00383254" w:rsidTr="00DF7B28">
        <w:trPr>
          <w:trHeight w:val="440"/>
        </w:trPr>
        <w:tc>
          <w:tcPr>
            <w:tcW w:w="3254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3254" w:rsidRDefault="00E86A11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b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highlight w:val="white"/>
              </w:rPr>
              <w:t xml:space="preserve">Exame </w:t>
            </w:r>
            <w:r w:rsidRPr="00606326">
              <w:rPr>
                <w:rFonts w:ascii="Times New Roman" w:eastAsia="Times New Roman" w:hAnsi="Times New Roman" w:cs="Times New Roman"/>
                <w:b/>
                <w:color w:val="auto"/>
                <w:highlight w:val="white"/>
              </w:rPr>
              <w:t>citológico</w:t>
            </w:r>
            <w:r w:rsidR="00023400" w:rsidRPr="00606326">
              <w:rPr>
                <w:rFonts w:ascii="Times New Roman" w:eastAsia="Times New Roman" w:hAnsi="Times New Roman" w:cs="Times New Roman"/>
                <w:b/>
                <w:color w:val="auto"/>
                <w:highlight w:val="white"/>
              </w:rPr>
              <w:t xml:space="preserve"> (</w:t>
            </w:r>
            <w:proofErr w:type="spellStart"/>
            <w:r w:rsidR="00023400" w:rsidRPr="00606326">
              <w:rPr>
                <w:rFonts w:ascii="Times New Roman" w:eastAsia="Times New Roman" w:hAnsi="Times New Roman" w:cs="Times New Roman"/>
                <w:b/>
                <w:color w:val="auto"/>
                <w:highlight w:val="white"/>
              </w:rPr>
              <w:t>cél</w:t>
            </w:r>
            <w:proofErr w:type="spellEnd"/>
            <w:r w:rsidR="00023400" w:rsidRPr="00606326">
              <w:rPr>
                <w:rFonts w:ascii="Times New Roman" w:eastAsia="Times New Roman" w:hAnsi="Times New Roman" w:cs="Times New Roman"/>
                <w:b/>
                <w:color w:val="auto"/>
                <w:highlight w:val="white"/>
              </w:rPr>
              <w:t>/</w:t>
            </w:r>
            <w:proofErr w:type="spellStart"/>
            <w:r w:rsidR="00023400" w:rsidRPr="00606326">
              <w:rPr>
                <w:rFonts w:ascii="Arial" w:eastAsia="Times New Roman" w:hAnsi="Arial" w:cs="Arial"/>
                <w:b/>
                <w:color w:val="auto"/>
                <w:highlight w:val="white"/>
              </w:rPr>
              <w:t>μ</w:t>
            </w:r>
            <w:r w:rsidR="00023400" w:rsidRPr="00606326">
              <w:rPr>
                <w:rFonts w:ascii="Times New Roman" w:eastAsia="Times New Roman" w:hAnsi="Times New Roman" w:cs="Times New Roman"/>
                <w:b/>
                <w:color w:val="auto"/>
                <w:highlight w:val="white"/>
              </w:rPr>
              <w:t>L</w:t>
            </w:r>
            <w:proofErr w:type="spellEnd"/>
            <w:r w:rsidR="00023400" w:rsidRPr="00606326">
              <w:rPr>
                <w:rFonts w:ascii="Times New Roman" w:eastAsia="Times New Roman" w:hAnsi="Times New Roman" w:cs="Times New Roman"/>
                <w:b/>
                <w:color w:val="auto"/>
                <w:highlight w:val="white"/>
              </w:rPr>
              <w:t>)</w:t>
            </w:r>
          </w:p>
          <w:p w:rsidR="00383254" w:rsidRDefault="00E86A11">
            <w:pPr>
              <w:pStyle w:val="Normal1"/>
              <w:numPr>
                <w:ilvl w:val="0"/>
                <w:numId w:val="1"/>
              </w:numPr>
              <w:spacing w:after="0" w:line="276" w:lineRule="auto"/>
              <w:ind w:hanging="360"/>
              <w:contextualSpacing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Eritrócitos</w:t>
            </w:r>
          </w:p>
          <w:p w:rsidR="00383254" w:rsidRDefault="00E86A11">
            <w:pPr>
              <w:pStyle w:val="Normal1"/>
              <w:numPr>
                <w:ilvl w:val="0"/>
                <w:numId w:val="1"/>
              </w:numPr>
              <w:spacing w:after="0" w:line="276" w:lineRule="auto"/>
              <w:ind w:hanging="360"/>
              <w:contextualSpacing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Leucócitos</w:t>
            </w:r>
          </w:p>
          <w:p w:rsidR="00383254" w:rsidRDefault="00E86A11">
            <w:pPr>
              <w:pStyle w:val="Normal1"/>
              <w:numPr>
                <w:ilvl w:val="1"/>
                <w:numId w:val="1"/>
              </w:numPr>
              <w:spacing w:after="0" w:line="276" w:lineRule="auto"/>
              <w:ind w:hanging="36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Polimorfonucleares</w:t>
            </w:r>
            <w:proofErr w:type="spellEnd"/>
          </w:p>
          <w:p w:rsidR="00383254" w:rsidRDefault="00E86A11">
            <w:pPr>
              <w:pStyle w:val="Normal1"/>
              <w:numPr>
                <w:ilvl w:val="1"/>
                <w:numId w:val="1"/>
              </w:numPr>
              <w:spacing w:after="0" w:line="276" w:lineRule="auto"/>
              <w:ind w:hanging="36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Mononucleares</w:t>
            </w:r>
          </w:p>
        </w:tc>
        <w:tc>
          <w:tcPr>
            <w:tcW w:w="147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3254" w:rsidRDefault="00383254">
            <w:pPr>
              <w:pStyle w:val="Normal1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</w:p>
          <w:p w:rsidR="00383254" w:rsidRDefault="00E86A11">
            <w:pPr>
              <w:pStyle w:val="Normal1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2</w:t>
            </w:r>
          </w:p>
          <w:p w:rsidR="00383254" w:rsidRDefault="00E86A11">
            <w:pPr>
              <w:pStyle w:val="Normal1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520</w:t>
            </w:r>
          </w:p>
          <w:p w:rsidR="00383254" w:rsidRDefault="00E86A11">
            <w:pPr>
              <w:pStyle w:val="Normal1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173</w:t>
            </w:r>
          </w:p>
          <w:p w:rsidR="00383254" w:rsidRDefault="00E86A11">
            <w:pPr>
              <w:pStyle w:val="Normal1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347</w:t>
            </w:r>
          </w:p>
        </w:tc>
        <w:tc>
          <w:tcPr>
            <w:tcW w:w="141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3254" w:rsidRPr="000F7920" w:rsidRDefault="00383254">
            <w:pPr>
              <w:pStyle w:val="Normal1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highlight w:val="white"/>
              </w:rPr>
            </w:pPr>
          </w:p>
          <w:p w:rsidR="00383254" w:rsidRDefault="00E86A11">
            <w:pPr>
              <w:pStyle w:val="Normal1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0</w:t>
            </w:r>
          </w:p>
          <w:p w:rsidR="00383254" w:rsidRDefault="00E86A11">
            <w:pPr>
              <w:pStyle w:val="Normal1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200</w:t>
            </w:r>
          </w:p>
          <w:p w:rsidR="00383254" w:rsidRDefault="00E86A11">
            <w:pPr>
              <w:pStyle w:val="Normal1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78</w:t>
            </w:r>
          </w:p>
          <w:p w:rsidR="00383254" w:rsidRDefault="00E86A11">
            <w:pPr>
              <w:pStyle w:val="Normal1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122</w:t>
            </w:r>
          </w:p>
        </w:tc>
        <w:tc>
          <w:tcPr>
            <w:tcW w:w="237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3254" w:rsidRPr="00606326" w:rsidRDefault="00383254">
            <w:pPr>
              <w:pStyle w:val="Normal1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</w:p>
          <w:p w:rsidR="00383254" w:rsidRPr="00606326" w:rsidRDefault="00E86A11">
            <w:pPr>
              <w:pStyle w:val="Normal1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white"/>
              </w:rPr>
            </w:pPr>
            <w:r w:rsidRPr="0060632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white"/>
              </w:rPr>
              <w:t xml:space="preserve">0-10 </w:t>
            </w:r>
            <w:proofErr w:type="gramStart"/>
            <w:r w:rsidRPr="0060632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white"/>
              </w:rPr>
              <w:t>células</w:t>
            </w:r>
            <w:proofErr w:type="gramEnd"/>
            <w:r w:rsidRPr="0060632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white"/>
              </w:rPr>
              <w:t>/</w:t>
            </w:r>
            <w:proofErr w:type="spellStart"/>
            <w:r w:rsidR="00023400" w:rsidRPr="00606326">
              <w:rPr>
                <w:rFonts w:ascii="Arial" w:eastAsia="Times New Roman" w:hAnsi="Arial" w:cs="Arial"/>
                <w:color w:val="auto"/>
                <w:sz w:val="20"/>
                <w:szCs w:val="20"/>
                <w:highlight w:val="white"/>
              </w:rPr>
              <w:t>μ</w:t>
            </w:r>
            <w:r w:rsidRPr="0060632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white"/>
              </w:rPr>
              <w:t>L</w:t>
            </w:r>
            <w:proofErr w:type="spellEnd"/>
          </w:p>
          <w:p w:rsidR="00383254" w:rsidRDefault="00E86A11">
            <w:pPr>
              <w:pStyle w:val="Normal1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-</w:t>
            </w:r>
          </w:p>
          <w:p w:rsidR="00383254" w:rsidRDefault="00E86A11">
            <w:pPr>
              <w:pStyle w:val="Normal1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-</w:t>
            </w:r>
          </w:p>
          <w:p w:rsidR="00383254" w:rsidRDefault="00E86A11">
            <w:pPr>
              <w:pStyle w:val="Normal1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-</w:t>
            </w:r>
          </w:p>
        </w:tc>
      </w:tr>
      <w:tr w:rsidR="00383254" w:rsidTr="00DF7B28">
        <w:trPr>
          <w:trHeight w:val="1140"/>
        </w:trPr>
        <w:tc>
          <w:tcPr>
            <w:tcW w:w="325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3254" w:rsidRDefault="00383254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147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3254" w:rsidRDefault="00383254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141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3254" w:rsidRDefault="00383254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237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3254" w:rsidRDefault="00383254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</w:p>
        </w:tc>
      </w:tr>
    </w:tbl>
    <w:p w:rsidR="00383254" w:rsidRDefault="00383254">
      <w:pPr>
        <w:pStyle w:val="Normal1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CA1800" w:rsidRPr="003A4D8A" w:rsidRDefault="003A4D8A">
      <w:pPr>
        <w:pStyle w:val="Normal1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Cs w:val="24"/>
          <w:highlight w:val="white"/>
        </w:rPr>
      </w:pPr>
      <w:r w:rsidRPr="003A4D8A">
        <w:rPr>
          <w:rFonts w:ascii="Times New Roman" w:eastAsia="Times New Roman" w:hAnsi="Times New Roman" w:cs="Times New Roman"/>
          <w:szCs w:val="24"/>
          <w:highlight w:val="white"/>
        </w:rPr>
        <w:t>Tabela 2: Resultados serológicos do sangue periférico e do LCR</w:t>
      </w:r>
    </w:p>
    <w:tbl>
      <w:tblPr>
        <w:tblStyle w:val="a0"/>
        <w:tblW w:w="8505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70"/>
        <w:gridCol w:w="2265"/>
        <w:gridCol w:w="3570"/>
      </w:tblGrid>
      <w:tr w:rsidR="00383254">
        <w:trPr>
          <w:trHeight w:val="440"/>
        </w:trPr>
        <w:tc>
          <w:tcPr>
            <w:tcW w:w="8505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3254" w:rsidRDefault="00E86A11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SEROLOGIA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</w:rPr>
              <w:t xml:space="preserve">BORRELIA </w:t>
            </w:r>
            <w:r w:rsidRPr="00217787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SPP</w:t>
            </w:r>
          </w:p>
        </w:tc>
      </w:tr>
      <w:tr w:rsidR="00383254">
        <w:trPr>
          <w:trHeight w:val="440"/>
        </w:trPr>
        <w:tc>
          <w:tcPr>
            <w:tcW w:w="8505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3254" w:rsidRDefault="00E86A11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highlight w:val="white"/>
              </w:rPr>
              <w:t>Sérica</w:t>
            </w:r>
          </w:p>
          <w:p w:rsidR="00383254" w:rsidRPr="003552CD" w:rsidRDefault="00E86A11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highlight w:val="white"/>
              </w:rPr>
            </w:pPr>
            <w:proofErr w:type="spellStart"/>
            <w:r w:rsidRPr="003552CD">
              <w:rPr>
                <w:rFonts w:ascii="Times New Roman" w:eastAsia="Times New Roman" w:hAnsi="Times New Roman" w:cs="Times New Roman"/>
                <w:b/>
                <w:i/>
                <w:highlight w:val="white"/>
              </w:rPr>
              <w:t>Borrelia</w:t>
            </w:r>
            <w:proofErr w:type="spellEnd"/>
            <w:r w:rsidRPr="003552CD">
              <w:rPr>
                <w:rFonts w:ascii="Times New Roman" w:eastAsia="Times New Roman" w:hAnsi="Times New Roman" w:cs="Times New Roman"/>
                <w:b/>
                <w:i/>
                <w:highlight w:val="white"/>
              </w:rPr>
              <w:t xml:space="preserve"> Pool</w:t>
            </w:r>
            <w:r w:rsidRPr="003552CD">
              <w:rPr>
                <w:rFonts w:ascii="Times New Roman" w:eastAsia="Times New Roman" w:hAnsi="Times New Roman" w:cs="Times New Roman"/>
                <w:b/>
                <w:highlight w:val="white"/>
              </w:rPr>
              <w:t xml:space="preserve"> (BURG, AFZ, GAR)</w:t>
            </w:r>
          </w:p>
        </w:tc>
      </w:tr>
      <w:tr w:rsidR="00383254">
        <w:tc>
          <w:tcPr>
            <w:tcW w:w="26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3254" w:rsidRDefault="00E86A11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IgG</w:t>
            </w:r>
            <w:proofErr w:type="spellEnd"/>
          </w:p>
        </w:tc>
        <w:tc>
          <w:tcPr>
            <w:tcW w:w="22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3254" w:rsidRDefault="00E86A11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6.51</w:t>
            </w:r>
          </w:p>
        </w:tc>
        <w:tc>
          <w:tcPr>
            <w:tcW w:w="3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3254" w:rsidRDefault="00E86A11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Negativo &lt;0.20 RU/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mL</w:t>
            </w:r>
            <w:proofErr w:type="spellEnd"/>
          </w:p>
          <w:p w:rsidR="00383254" w:rsidRDefault="00E86A11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Positivo </w:t>
            </w:r>
            <w:r w:rsidR="00606326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≥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 0.20 RU/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mL</w:t>
            </w:r>
            <w:proofErr w:type="spellEnd"/>
          </w:p>
        </w:tc>
      </w:tr>
      <w:tr w:rsidR="00383254">
        <w:tc>
          <w:tcPr>
            <w:tcW w:w="26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3254" w:rsidRDefault="00E86A11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IgM</w:t>
            </w:r>
            <w:proofErr w:type="spellEnd"/>
          </w:p>
        </w:tc>
        <w:tc>
          <w:tcPr>
            <w:tcW w:w="22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3254" w:rsidRDefault="00E86A11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1.77 </w:t>
            </w:r>
          </w:p>
        </w:tc>
        <w:tc>
          <w:tcPr>
            <w:tcW w:w="3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3254" w:rsidRDefault="00E86A11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Negativo &lt;0.20 RU/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mL</w:t>
            </w:r>
            <w:proofErr w:type="spellEnd"/>
          </w:p>
          <w:p w:rsidR="00383254" w:rsidRDefault="00E86A11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Zona cinzenta </w:t>
            </w:r>
            <w:r w:rsidR="00606326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≥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0.20 e &lt;0.32 RU/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mL</w:t>
            </w:r>
            <w:proofErr w:type="spellEnd"/>
          </w:p>
          <w:p w:rsidR="00383254" w:rsidRDefault="00E86A11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Positivo </w:t>
            </w:r>
            <w:r w:rsidR="00606326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≥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 0.32 RU/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mL</w:t>
            </w:r>
            <w:proofErr w:type="spellEnd"/>
          </w:p>
        </w:tc>
      </w:tr>
      <w:tr w:rsidR="00383254">
        <w:trPr>
          <w:trHeight w:val="440"/>
        </w:trPr>
        <w:tc>
          <w:tcPr>
            <w:tcW w:w="8505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3254" w:rsidRDefault="00E86A11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highlight w:val="white"/>
              </w:rPr>
              <w:t xml:space="preserve">Líquido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highlight w:val="white"/>
              </w:rPr>
              <w:t>céfalo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highlight w:val="white"/>
              </w:rPr>
              <w:t>-raquidiano (LCR)</w:t>
            </w:r>
          </w:p>
          <w:p w:rsidR="00383254" w:rsidRDefault="00E86A11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highlight w:val="white"/>
              </w:rPr>
              <w:t>Borrelia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highlight w:val="white"/>
              </w:rPr>
              <w:t>Burgdorferi</w:t>
            </w:r>
            <w:proofErr w:type="spellEnd"/>
          </w:p>
        </w:tc>
      </w:tr>
      <w:tr w:rsidR="00383254">
        <w:tc>
          <w:tcPr>
            <w:tcW w:w="26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3254" w:rsidRDefault="00E86A11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IgG</w:t>
            </w:r>
            <w:proofErr w:type="spellEnd"/>
          </w:p>
        </w:tc>
        <w:tc>
          <w:tcPr>
            <w:tcW w:w="22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3254" w:rsidRDefault="00E86A11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19.43 U/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mL</w:t>
            </w:r>
            <w:proofErr w:type="spellEnd"/>
          </w:p>
        </w:tc>
        <w:tc>
          <w:tcPr>
            <w:tcW w:w="3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3254" w:rsidRDefault="00383254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</w:p>
        </w:tc>
      </w:tr>
      <w:tr w:rsidR="00383254">
        <w:tc>
          <w:tcPr>
            <w:tcW w:w="26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3254" w:rsidRDefault="00E86A11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Índice de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Reiber</w:t>
            </w:r>
            <w:proofErr w:type="spellEnd"/>
          </w:p>
        </w:tc>
        <w:tc>
          <w:tcPr>
            <w:tcW w:w="22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3254" w:rsidRDefault="00E86A11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60</w:t>
            </w:r>
          </w:p>
        </w:tc>
        <w:tc>
          <w:tcPr>
            <w:tcW w:w="3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3254" w:rsidRDefault="00606326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≥</w:t>
            </w:r>
            <w:r w:rsidR="00E86A11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2 </w:t>
            </w:r>
            <w:proofErr w:type="gramStart"/>
            <w:r w:rsidR="00E86A11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é</w:t>
            </w:r>
            <w:proofErr w:type="gramEnd"/>
            <w:r w:rsidR="00E86A11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 a favor de síntese </w:t>
            </w:r>
            <w:proofErr w:type="spellStart"/>
            <w:r w:rsidR="00E86A11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intratecal</w:t>
            </w:r>
            <w:proofErr w:type="spellEnd"/>
          </w:p>
        </w:tc>
      </w:tr>
    </w:tbl>
    <w:p w:rsidR="00383254" w:rsidRDefault="00383254">
      <w:pPr>
        <w:pStyle w:val="Normal1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</w:p>
    <w:p w:rsidR="00383254" w:rsidRDefault="00383254">
      <w:pPr>
        <w:pStyle w:val="Normal1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</w:p>
    <w:p w:rsidR="00383254" w:rsidRDefault="00E86A11">
      <w:pPr>
        <w:pStyle w:val="Normal1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DISCUSSÃO</w:t>
      </w:r>
    </w:p>
    <w:p w:rsidR="00383254" w:rsidRPr="00C037A5" w:rsidRDefault="00C037A5" w:rsidP="00C037A5">
      <w:pPr>
        <w:pStyle w:val="SemEspaamento"/>
        <w:spacing w:line="360" w:lineRule="auto"/>
        <w:jc w:val="both"/>
        <w:rPr>
          <w:rFonts w:ascii="Times New Roman" w:hAnsi="Times New Roman" w:cs="Times New Roman"/>
          <w:sz w:val="28"/>
          <w:highlight w:val="white"/>
        </w:rPr>
      </w:pPr>
      <w:r>
        <w:rPr>
          <w:rFonts w:ascii="Times New Roman" w:hAnsi="Times New Roman" w:cs="Times New Roman"/>
          <w:sz w:val="28"/>
          <w:highlight w:val="white"/>
        </w:rPr>
        <w:lastRenderedPageBreak/>
        <w:tab/>
      </w:r>
      <w:r w:rsidR="00CA1800">
        <w:rPr>
          <w:rFonts w:ascii="Times New Roman" w:hAnsi="Times New Roman" w:cs="Times New Roman"/>
          <w:sz w:val="28"/>
          <w:highlight w:val="white"/>
        </w:rPr>
        <w:t>C</w:t>
      </w:r>
      <w:r w:rsidR="006217D5">
        <w:rPr>
          <w:rFonts w:ascii="Times New Roman" w:hAnsi="Times New Roman" w:cs="Times New Roman"/>
          <w:sz w:val="28"/>
          <w:highlight w:val="white"/>
        </w:rPr>
        <w:t xml:space="preserve">onsideramos que o caso </w:t>
      </w:r>
      <w:r w:rsidR="00A51ED1">
        <w:rPr>
          <w:rFonts w:ascii="Times New Roman" w:hAnsi="Times New Roman" w:cs="Times New Roman"/>
          <w:sz w:val="28"/>
          <w:highlight w:val="white"/>
        </w:rPr>
        <w:t>clínico</w:t>
      </w:r>
      <w:r w:rsidR="00CA1800">
        <w:rPr>
          <w:rFonts w:ascii="Times New Roman" w:hAnsi="Times New Roman" w:cs="Times New Roman"/>
          <w:sz w:val="28"/>
          <w:highlight w:val="white"/>
        </w:rPr>
        <w:t xml:space="preserve"> descrito, atendendo ao contexto epidemiológico,</w:t>
      </w:r>
      <w:r w:rsidR="00BB76D7" w:rsidRPr="00C037A5">
        <w:rPr>
          <w:rFonts w:ascii="Times New Roman" w:hAnsi="Times New Roman" w:cs="Times New Roman"/>
          <w:sz w:val="28"/>
          <w:highlight w:val="white"/>
        </w:rPr>
        <w:t xml:space="preserve"> configura uma</w:t>
      </w:r>
      <w:r w:rsidR="00E86A11" w:rsidRPr="00C037A5">
        <w:rPr>
          <w:rFonts w:ascii="Times New Roman" w:hAnsi="Times New Roman" w:cs="Times New Roman"/>
          <w:sz w:val="28"/>
          <w:highlight w:val="white"/>
        </w:rPr>
        <w:t xml:space="preserve"> </w:t>
      </w:r>
      <w:proofErr w:type="spellStart"/>
      <w:r w:rsidR="00E86A11" w:rsidRPr="00C037A5">
        <w:rPr>
          <w:rFonts w:ascii="Times New Roman" w:hAnsi="Times New Roman" w:cs="Times New Roman"/>
          <w:sz w:val="28"/>
          <w:highlight w:val="white"/>
        </w:rPr>
        <w:t>neuroborreliose</w:t>
      </w:r>
      <w:proofErr w:type="spellEnd"/>
      <w:r w:rsidR="00E86A11" w:rsidRPr="00C037A5">
        <w:rPr>
          <w:rFonts w:ascii="Times New Roman" w:hAnsi="Times New Roman" w:cs="Times New Roman"/>
          <w:sz w:val="28"/>
          <w:highlight w:val="white"/>
        </w:rPr>
        <w:t xml:space="preserve"> tardia, embora sem conhecimento</w:t>
      </w:r>
      <w:r w:rsidR="00CA1800">
        <w:rPr>
          <w:rFonts w:ascii="Times New Roman" w:hAnsi="Times New Roman" w:cs="Times New Roman"/>
          <w:sz w:val="28"/>
          <w:highlight w:val="white"/>
        </w:rPr>
        <w:t xml:space="preserve">, </w:t>
      </w:r>
      <w:r w:rsidR="00CA1800" w:rsidRPr="00CA1800">
        <w:rPr>
          <w:rFonts w:ascii="Times New Roman" w:hAnsi="Times New Roman" w:cs="Times New Roman"/>
          <w:i/>
          <w:sz w:val="28"/>
          <w:highlight w:val="white"/>
        </w:rPr>
        <w:t xml:space="preserve">ad </w:t>
      </w:r>
      <w:proofErr w:type="spellStart"/>
      <w:r w:rsidR="00CA1800" w:rsidRPr="00CA1800">
        <w:rPr>
          <w:rFonts w:ascii="Times New Roman" w:hAnsi="Times New Roman" w:cs="Times New Roman"/>
          <w:i/>
          <w:sz w:val="28"/>
          <w:highlight w:val="white"/>
        </w:rPr>
        <w:t>initium</w:t>
      </w:r>
      <w:proofErr w:type="spellEnd"/>
      <w:r w:rsidR="00CA1800">
        <w:rPr>
          <w:rFonts w:ascii="Times New Roman" w:hAnsi="Times New Roman" w:cs="Times New Roman"/>
          <w:sz w:val="28"/>
          <w:highlight w:val="white"/>
        </w:rPr>
        <w:t>,</w:t>
      </w:r>
      <w:r w:rsidR="00E86A11" w:rsidRPr="00C037A5">
        <w:rPr>
          <w:rFonts w:ascii="Times New Roman" w:hAnsi="Times New Roman" w:cs="Times New Roman"/>
          <w:sz w:val="28"/>
          <w:highlight w:val="white"/>
        </w:rPr>
        <w:t xml:space="preserve"> de lesões de picada ou eritema </w:t>
      </w:r>
      <w:r w:rsidR="00E86A11" w:rsidRPr="00C037A5">
        <w:rPr>
          <w:rFonts w:ascii="Times New Roman" w:hAnsi="Times New Roman" w:cs="Times New Roman"/>
          <w:i/>
          <w:sz w:val="28"/>
          <w:highlight w:val="white"/>
        </w:rPr>
        <w:t>migrans</w:t>
      </w:r>
      <w:r w:rsidR="00CA1800">
        <w:rPr>
          <w:rFonts w:ascii="Times New Roman" w:hAnsi="Times New Roman" w:cs="Times New Roman"/>
          <w:sz w:val="28"/>
          <w:highlight w:val="white"/>
        </w:rPr>
        <w:t>. Interpretamos</w:t>
      </w:r>
      <w:r w:rsidR="003552CD">
        <w:rPr>
          <w:rFonts w:ascii="Times New Roman" w:hAnsi="Times New Roman" w:cs="Times New Roman"/>
          <w:sz w:val="28"/>
          <w:highlight w:val="white"/>
        </w:rPr>
        <w:t xml:space="preserve">: 1) </w:t>
      </w:r>
      <w:r w:rsidR="00E86A11" w:rsidRPr="00C037A5">
        <w:rPr>
          <w:rFonts w:ascii="Times New Roman" w:hAnsi="Times New Roman" w:cs="Times New Roman"/>
          <w:sz w:val="28"/>
          <w:highlight w:val="white"/>
        </w:rPr>
        <w:t>inoculação na Eslovénia em Junho</w:t>
      </w:r>
      <w:r w:rsidR="00CA1800">
        <w:rPr>
          <w:rFonts w:ascii="Times New Roman" w:hAnsi="Times New Roman" w:cs="Times New Roman"/>
          <w:sz w:val="28"/>
          <w:highlight w:val="white"/>
        </w:rPr>
        <w:t xml:space="preserve"> de 2016</w:t>
      </w:r>
      <w:r w:rsidR="003552CD">
        <w:rPr>
          <w:rFonts w:ascii="Times New Roman" w:hAnsi="Times New Roman" w:cs="Times New Roman"/>
          <w:sz w:val="28"/>
          <w:highlight w:val="white"/>
        </w:rPr>
        <w:t>, período sazonal onde a</w:t>
      </w:r>
      <w:r w:rsidR="00E86A11" w:rsidRPr="00C037A5">
        <w:rPr>
          <w:rFonts w:ascii="Times New Roman" w:hAnsi="Times New Roman" w:cs="Times New Roman"/>
          <w:sz w:val="28"/>
          <w:highlight w:val="white"/>
        </w:rPr>
        <w:t xml:space="preserve"> picada pelo </w:t>
      </w:r>
      <w:proofErr w:type="spellStart"/>
      <w:r w:rsidR="00E86A11" w:rsidRPr="00C037A5">
        <w:rPr>
          <w:rFonts w:ascii="Times New Roman" w:hAnsi="Times New Roman" w:cs="Times New Roman"/>
          <w:sz w:val="28"/>
          <w:highlight w:val="white"/>
        </w:rPr>
        <w:t>vector</w:t>
      </w:r>
      <w:proofErr w:type="spellEnd"/>
      <w:r w:rsidR="00E86A11" w:rsidRPr="00C037A5">
        <w:rPr>
          <w:rFonts w:ascii="Times New Roman" w:hAnsi="Times New Roman" w:cs="Times New Roman"/>
          <w:sz w:val="28"/>
          <w:highlight w:val="white"/>
        </w:rPr>
        <w:t xml:space="preserve"> é mais provável, 2) apresentação inaugural com episódio</w:t>
      </w:r>
      <w:r w:rsidR="003552CD">
        <w:rPr>
          <w:rFonts w:ascii="Times New Roman" w:hAnsi="Times New Roman" w:cs="Times New Roman"/>
          <w:sz w:val="28"/>
          <w:highlight w:val="white"/>
        </w:rPr>
        <w:t>s</w:t>
      </w:r>
      <w:r w:rsidR="00E86A11" w:rsidRPr="00C037A5">
        <w:rPr>
          <w:rFonts w:ascii="Times New Roman" w:hAnsi="Times New Roman" w:cs="Times New Roman"/>
          <w:sz w:val="28"/>
          <w:highlight w:val="white"/>
        </w:rPr>
        <w:t xml:space="preserve"> de cefaleias ainda na B</w:t>
      </w:r>
      <w:r w:rsidR="003552CD">
        <w:rPr>
          <w:rFonts w:ascii="Times New Roman" w:hAnsi="Times New Roman" w:cs="Times New Roman"/>
          <w:sz w:val="28"/>
          <w:highlight w:val="white"/>
        </w:rPr>
        <w:t xml:space="preserve">élgica, possivelmente </w:t>
      </w:r>
      <w:r w:rsidR="00E86A11" w:rsidRPr="00C037A5">
        <w:rPr>
          <w:rFonts w:ascii="Times New Roman" w:hAnsi="Times New Roman" w:cs="Times New Roman"/>
          <w:sz w:val="28"/>
          <w:highlight w:val="white"/>
        </w:rPr>
        <w:t xml:space="preserve">num quadro de meningoencefalite aguda, não documentado e </w:t>
      </w:r>
      <w:proofErr w:type="spellStart"/>
      <w:r w:rsidR="00E86A11" w:rsidRPr="00C037A5">
        <w:rPr>
          <w:rFonts w:ascii="Times New Roman" w:hAnsi="Times New Roman" w:cs="Times New Roman"/>
          <w:sz w:val="28"/>
          <w:highlight w:val="white"/>
        </w:rPr>
        <w:t>auto-limitado</w:t>
      </w:r>
      <w:proofErr w:type="spellEnd"/>
      <w:r w:rsidR="00E86A11" w:rsidRPr="00C037A5">
        <w:rPr>
          <w:rFonts w:ascii="Times New Roman" w:hAnsi="Times New Roman" w:cs="Times New Roman"/>
          <w:sz w:val="28"/>
          <w:highlight w:val="white"/>
        </w:rPr>
        <w:t xml:space="preserve"> e 3) posterior evolução para cronicidade, sendo a astenia o sintoma inespecífico prepond</w:t>
      </w:r>
      <w:r w:rsidR="007809B3">
        <w:rPr>
          <w:rFonts w:ascii="Times New Roman" w:hAnsi="Times New Roman" w:cs="Times New Roman"/>
          <w:sz w:val="28"/>
          <w:highlight w:val="white"/>
        </w:rPr>
        <w:t>erante que culminou em</w:t>
      </w:r>
      <w:r w:rsidR="00E86A11" w:rsidRPr="00C037A5">
        <w:rPr>
          <w:rFonts w:ascii="Times New Roman" w:hAnsi="Times New Roman" w:cs="Times New Roman"/>
          <w:sz w:val="28"/>
          <w:highlight w:val="white"/>
        </w:rPr>
        <w:t xml:space="preserve"> meningoencefalite </w:t>
      </w:r>
      <w:proofErr w:type="spellStart"/>
      <w:r w:rsidR="00E86A11" w:rsidRPr="00C037A5">
        <w:rPr>
          <w:rFonts w:ascii="Times New Roman" w:hAnsi="Times New Roman" w:cs="Times New Roman"/>
          <w:sz w:val="28"/>
          <w:highlight w:val="white"/>
        </w:rPr>
        <w:t>linfocítica</w:t>
      </w:r>
      <w:proofErr w:type="spellEnd"/>
      <w:r w:rsidR="00E86A11" w:rsidRPr="00C037A5">
        <w:rPr>
          <w:rFonts w:ascii="Times New Roman" w:hAnsi="Times New Roman" w:cs="Times New Roman"/>
          <w:sz w:val="28"/>
          <w:highlight w:val="white"/>
        </w:rPr>
        <w:t>, já em Portugal, mais de 6 meses depois.</w:t>
      </w:r>
    </w:p>
    <w:p w:rsidR="00383254" w:rsidRPr="00C037A5" w:rsidRDefault="00C037A5" w:rsidP="00C037A5">
      <w:pPr>
        <w:pStyle w:val="SemEspaamento"/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highlight w:val="white"/>
        </w:rPr>
        <w:tab/>
      </w:r>
      <w:r w:rsidR="00E86A11" w:rsidRPr="00C037A5">
        <w:rPr>
          <w:rFonts w:ascii="Times New Roman" w:hAnsi="Times New Roman" w:cs="Times New Roman"/>
          <w:sz w:val="28"/>
          <w:highlight w:val="white"/>
        </w:rPr>
        <w:t>A</w:t>
      </w:r>
      <w:r w:rsidR="00CA1800">
        <w:rPr>
          <w:rFonts w:ascii="Times New Roman" w:hAnsi="Times New Roman" w:cs="Times New Roman"/>
          <w:sz w:val="28"/>
          <w:highlight w:val="white"/>
        </w:rPr>
        <w:t>s</w:t>
      </w:r>
      <w:r w:rsidR="00E86A11" w:rsidRPr="00C037A5">
        <w:rPr>
          <w:rFonts w:ascii="Times New Roman" w:hAnsi="Times New Roman" w:cs="Times New Roman"/>
          <w:sz w:val="28"/>
          <w:highlight w:val="white"/>
        </w:rPr>
        <w:t xml:space="preserve"> </w:t>
      </w:r>
      <w:proofErr w:type="gramStart"/>
      <w:r w:rsidR="00E86A11" w:rsidRPr="00C037A5">
        <w:rPr>
          <w:rFonts w:ascii="Times New Roman" w:hAnsi="Times New Roman" w:cs="Times New Roman"/>
          <w:sz w:val="28"/>
          <w:highlight w:val="white"/>
        </w:rPr>
        <w:t>apresentaç</w:t>
      </w:r>
      <w:r w:rsidR="00CA1800">
        <w:rPr>
          <w:rFonts w:ascii="Times New Roman" w:hAnsi="Times New Roman" w:cs="Times New Roman"/>
          <w:sz w:val="28"/>
          <w:highlight w:val="white"/>
        </w:rPr>
        <w:t>ões</w:t>
      </w:r>
      <w:r w:rsidR="007809B3">
        <w:rPr>
          <w:rFonts w:ascii="Times New Roman" w:hAnsi="Times New Roman" w:cs="Times New Roman"/>
          <w:sz w:val="28"/>
          <w:highlight w:val="white"/>
        </w:rPr>
        <w:t xml:space="preserve"> inicial e tardia</w:t>
      </w:r>
      <w:r w:rsidR="00E86A11" w:rsidRPr="00C037A5">
        <w:rPr>
          <w:rFonts w:ascii="Times New Roman" w:hAnsi="Times New Roman" w:cs="Times New Roman"/>
          <w:sz w:val="28"/>
          <w:highlight w:val="white"/>
        </w:rPr>
        <w:t xml:space="preserve"> seriam facilmente interpretadas</w:t>
      </w:r>
      <w:proofErr w:type="gramEnd"/>
      <w:r w:rsidR="00E86A11" w:rsidRPr="00C037A5">
        <w:rPr>
          <w:rFonts w:ascii="Times New Roman" w:hAnsi="Times New Roman" w:cs="Times New Roman"/>
          <w:sz w:val="28"/>
          <w:highlight w:val="white"/>
        </w:rPr>
        <w:t xml:space="preserve"> em contextos distintos, </w:t>
      </w:r>
      <w:r w:rsidR="00465956">
        <w:rPr>
          <w:rFonts w:ascii="Times New Roman" w:hAnsi="Times New Roman" w:cs="Times New Roman"/>
          <w:sz w:val="28"/>
          <w:highlight w:val="white"/>
        </w:rPr>
        <w:t xml:space="preserve">se </w:t>
      </w:r>
      <w:r w:rsidR="00E86A11" w:rsidRPr="00C037A5">
        <w:rPr>
          <w:rFonts w:ascii="Times New Roman" w:hAnsi="Times New Roman" w:cs="Times New Roman"/>
          <w:sz w:val="28"/>
          <w:highlight w:val="white"/>
        </w:rPr>
        <w:t>não se tivesse levantado a suspeita epidemiológica da relação tem</w:t>
      </w:r>
      <w:r w:rsidR="003552CD">
        <w:rPr>
          <w:rFonts w:ascii="Times New Roman" w:hAnsi="Times New Roman" w:cs="Times New Roman"/>
          <w:sz w:val="28"/>
          <w:highlight w:val="white"/>
        </w:rPr>
        <w:t xml:space="preserve">poral com </w:t>
      </w:r>
      <w:r w:rsidR="006217D5">
        <w:rPr>
          <w:rFonts w:ascii="Times New Roman" w:hAnsi="Times New Roman" w:cs="Times New Roman"/>
          <w:sz w:val="28"/>
          <w:highlight w:val="white"/>
        </w:rPr>
        <w:t>a viagem prévia</w:t>
      </w:r>
      <w:r w:rsidR="00E86A11" w:rsidRPr="00C037A5">
        <w:rPr>
          <w:rFonts w:ascii="Times New Roman" w:hAnsi="Times New Roman" w:cs="Times New Roman"/>
          <w:sz w:val="28"/>
          <w:highlight w:val="white"/>
        </w:rPr>
        <w:t xml:space="preserve">. </w:t>
      </w:r>
      <w:r w:rsidR="0052063D">
        <w:rPr>
          <w:rFonts w:ascii="Times New Roman" w:hAnsi="Times New Roman" w:cs="Times New Roman"/>
          <w:sz w:val="28"/>
          <w:highlight w:val="white"/>
        </w:rPr>
        <w:t>O</w:t>
      </w:r>
      <w:r w:rsidR="00E86A11" w:rsidRPr="00C037A5">
        <w:rPr>
          <w:rFonts w:ascii="Times New Roman" w:hAnsi="Times New Roman" w:cs="Times New Roman"/>
          <w:sz w:val="28"/>
          <w:highlight w:val="white"/>
        </w:rPr>
        <w:t xml:space="preserve"> eritema </w:t>
      </w:r>
      <w:r w:rsidR="00E86A11" w:rsidRPr="00C037A5">
        <w:rPr>
          <w:rFonts w:ascii="Times New Roman" w:hAnsi="Times New Roman" w:cs="Times New Roman"/>
          <w:i/>
          <w:sz w:val="28"/>
          <w:highlight w:val="white"/>
        </w:rPr>
        <w:t>migrans</w:t>
      </w:r>
      <w:r w:rsidR="00E86A11" w:rsidRPr="00C037A5">
        <w:rPr>
          <w:rFonts w:ascii="Times New Roman" w:hAnsi="Times New Roman" w:cs="Times New Roman"/>
          <w:sz w:val="28"/>
          <w:highlight w:val="white"/>
        </w:rPr>
        <w:t xml:space="preserve"> não é obrigatóri</w:t>
      </w:r>
      <w:r w:rsidR="0052063D">
        <w:rPr>
          <w:rFonts w:ascii="Times New Roman" w:hAnsi="Times New Roman" w:cs="Times New Roman"/>
          <w:sz w:val="28"/>
          <w:highlight w:val="white"/>
        </w:rPr>
        <w:t>o</w:t>
      </w:r>
      <w:r w:rsidR="00E86A11" w:rsidRPr="00C037A5">
        <w:rPr>
          <w:rFonts w:ascii="Times New Roman" w:hAnsi="Times New Roman" w:cs="Times New Roman"/>
          <w:sz w:val="28"/>
          <w:highlight w:val="white"/>
        </w:rPr>
        <w:t>. Apena</w:t>
      </w:r>
      <w:r w:rsidR="003818F0" w:rsidRPr="00C037A5">
        <w:rPr>
          <w:rFonts w:ascii="Times New Roman" w:hAnsi="Times New Roman" w:cs="Times New Roman"/>
          <w:sz w:val="28"/>
          <w:highlight w:val="white"/>
        </w:rPr>
        <w:t xml:space="preserve">s 40-50% das pessoas identificam </w:t>
      </w:r>
      <w:r w:rsidR="00465956">
        <w:rPr>
          <w:rFonts w:ascii="Times New Roman" w:hAnsi="Times New Roman" w:cs="Times New Roman"/>
          <w:sz w:val="28"/>
          <w:highlight w:val="white"/>
        </w:rPr>
        <w:t>a picada e outro</w:t>
      </w:r>
      <w:r w:rsidR="006217D5">
        <w:rPr>
          <w:rFonts w:ascii="Times New Roman" w:hAnsi="Times New Roman" w:cs="Times New Roman"/>
          <w:sz w:val="28"/>
          <w:highlight w:val="white"/>
        </w:rPr>
        <w:t>s 20-30% recordam</w:t>
      </w:r>
      <w:r w:rsidR="00E86A11" w:rsidRPr="00C037A5">
        <w:rPr>
          <w:rFonts w:ascii="Times New Roman" w:hAnsi="Times New Roman" w:cs="Times New Roman"/>
          <w:sz w:val="28"/>
          <w:highlight w:val="white"/>
        </w:rPr>
        <w:t xml:space="preserve"> a lesão cutânea</w:t>
      </w:r>
      <w:r w:rsidR="00873515" w:rsidRPr="00C037A5">
        <w:rPr>
          <w:rFonts w:ascii="Times New Roman" w:hAnsi="Times New Roman" w:cs="Times New Roman"/>
          <w:sz w:val="28"/>
          <w:highlight w:val="white"/>
          <w:vertAlign w:val="superscript"/>
        </w:rPr>
        <w:t>2,7</w:t>
      </w:r>
      <w:r w:rsidR="00A51ED1">
        <w:rPr>
          <w:rFonts w:ascii="Times New Roman" w:hAnsi="Times New Roman" w:cs="Times New Roman"/>
          <w:sz w:val="28"/>
          <w:highlight w:val="white"/>
        </w:rPr>
        <w:t xml:space="preserve">. As duas </w:t>
      </w:r>
      <w:r w:rsidR="00E86A11" w:rsidRPr="00C037A5">
        <w:rPr>
          <w:rFonts w:ascii="Times New Roman" w:hAnsi="Times New Roman" w:cs="Times New Roman"/>
          <w:sz w:val="28"/>
          <w:highlight w:val="white"/>
        </w:rPr>
        <w:t xml:space="preserve">semanas de </w:t>
      </w:r>
      <w:r w:rsidR="009A7425">
        <w:rPr>
          <w:rFonts w:ascii="Times New Roman" w:hAnsi="Times New Roman" w:cs="Times New Roman"/>
          <w:sz w:val="28"/>
          <w:highlight w:val="white"/>
        </w:rPr>
        <w:t>intervalo encontram-se no</w:t>
      </w:r>
      <w:r w:rsidR="00E86A11" w:rsidRPr="00C037A5">
        <w:rPr>
          <w:rFonts w:ascii="Times New Roman" w:hAnsi="Times New Roman" w:cs="Times New Roman"/>
          <w:sz w:val="28"/>
          <w:highlight w:val="white"/>
        </w:rPr>
        <w:t xml:space="preserve"> </w:t>
      </w:r>
      <w:r w:rsidR="003552CD">
        <w:rPr>
          <w:rFonts w:ascii="Times New Roman" w:hAnsi="Times New Roman" w:cs="Times New Roman"/>
          <w:sz w:val="28"/>
          <w:highlight w:val="white"/>
        </w:rPr>
        <w:t>período médio de incubação</w:t>
      </w:r>
      <w:r w:rsidR="009A7425">
        <w:rPr>
          <w:rFonts w:ascii="Times New Roman" w:hAnsi="Times New Roman" w:cs="Times New Roman"/>
          <w:sz w:val="28"/>
          <w:highlight w:val="white"/>
        </w:rPr>
        <w:t xml:space="preserve"> (14 dias)</w:t>
      </w:r>
      <w:r w:rsidR="0052063D">
        <w:rPr>
          <w:rFonts w:ascii="Times New Roman" w:hAnsi="Times New Roman" w:cs="Times New Roman"/>
          <w:sz w:val="28"/>
          <w:highlight w:val="white"/>
        </w:rPr>
        <w:t xml:space="preserve">, variando </w:t>
      </w:r>
      <w:r w:rsidR="00E86A11" w:rsidRPr="00C037A5">
        <w:rPr>
          <w:rFonts w:ascii="Times New Roman" w:hAnsi="Times New Roman" w:cs="Times New Roman"/>
          <w:sz w:val="28"/>
          <w:highlight w:val="white"/>
        </w:rPr>
        <w:t xml:space="preserve">entre </w:t>
      </w:r>
      <w:r w:rsidR="007F7E94">
        <w:rPr>
          <w:rFonts w:ascii="Times New Roman" w:hAnsi="Times New Roman" w:cs="Times New Roman"/>
          <w:sz w:val="28"/>
          <w:highlight w:val="white"/>
        </w:rPr>
        <w:t>dois dias a três</w:t>
      </w:r>
      <w:r w:rsidR="003552CD">
        <w:rPr>
          <w:rFonts w:ascii="Times New Roman" w:hAnsi="Times New Roman" w:cs="Times New Roman"/>
          <w:sz w:val="28"/>
          <w:highlight w:val="white"/>
        </w:rPr>
        <w:t xml:space="preserve"> meses, por disseminação </w:t>
      </w:r>
      <w:proofErr w:type="spellStart"/>
      <w:r w:rsidR="00E86A11" w:rsidRPr="00C037A5">
        <w:rPr>
          <w:rFonts w:ascii="Times New Roman" w:hAnsi="Times New Roman" w:cs="Times New Roman"/>
          <w:sz w:val="28"/>
          <w:highlight w:val="white"/>
        </w:rPr>
        <w:t>hematógenea</w:t>
      </w:r>
      <w:proofErr w:type="spellEnd"/>
      <w:r w:rsidR="00E86A11" w:rsidRPr="00C037A5">
        <w:rPr>
          <w:rFonts w:ascii="Times New Roman" w:hAnsi="Times New Roman" w:cs="Times New Roman"/>
          <w:sz w:val="28"/>
          <w:highlight w:val="white"/>
        </w:rPr>
        <w:t xml:space="preserve"> ou nervosa (</w:t>
      </w:r>
      <w:proofErr w:type="gramStart"/>
      <w:r w:rsidR="00E86A11" w:rsidRPr="00C037A5">
        <w:rPr>
          <w:rFonts w:ascii="Times New Roman" w:hAnsi="Times New Roman" w:cs="Times New Roman"/>
          <w:sz w:val="28"/>
          <w:highlight w:val="white"/>
        </w:rPr>
        <w:t>radicular)</w:t>
      </w:r>
      <w:r w:rsidR="00873515" w:rsidRPr="00C037A5">
        <w:rPr>
          <w:rFonts w:ascii="Times New Roman" w:hAnsi="Times New Roman" w:cs="Times New Roman"/>
          <w:sz w:val="28"/>
          <w:highlight w:val="white"/>
          <w:vertAlign w:val="superscript"/>
        </w:rPr>
        <w:t>1</w:t>
      </w:r>
      <w:proofErr w:type="gramEnd"/>
      <w:r w:rsidR="00873515" w:rsidRPr="00C037A5">
        <w:rPr>
          <w:rFonts w:ascii="Times New Roman" w:hAnsi="Times New Roman" w:cs="Times New Roman"/>
          <w:sz w:val="28"/>
          <w:highlight w:val="white"/>
          <w:vertAlign w:val="superscript"/>
        </w:rPr>
        <w:t>,2,6</w:t>
      </w:r>
      <w:r w:rsidR="00E86A11" w:rsidRPr="00C037A5">
        <w:rPr>
          <w:rFonts w:ascii="Times New Roman" w:hAnsi="Times New Roman" w:cs="Times New Roman"/>
          <w:sz w:val="28"/>
          <w:highlight w:val="white"/>
          <w:vertAlign w:val="superscript"/>
        </w:rPr>
        <w:t>.</w:t>
      </w:r>
      <w:r w:rsidR="00E86A11" w:rsidRPr="00C037A5">
        <w:rPr>
          <w:rFonts w:ascii="Times New Roman" w:hAnsi="Times New Roman" w:cs="Times New Roman"/>
          <w:sz w:val="28"/>
          <w:highlight w:val="white"/>
        </w:rPr>
        <w:t xml:space="preserve"> A apresentação inicial não foi a mais habitual em território europeu (</w:t>
      </w:r>
      <w:proofErr w:type="spellStart"/>
      <w:r w:rsidR="00E86A11" w:rsidRPr="00C037A5">
        <w:rPr>
          <w:rFonts w:ascii="Times New Roman" w:hAnsi="Times New Roman" w:cs="Times New Roman"/>
          <w:sz w:val="28"/>
          <w:highlight w:val="white"/>
        </w:rPr>
        <w:t>m</w:t>
      </w:r>
      <w:r w:rsidR="00C902EB">
        <w:rPr>
          <w:rFonts w:ascii="Times New Roman" w:hAnsi="Times New Roman" w:cs="Times New Roman"/>
          <w:sz w:val="28"/>
          <w:highlight w:val="white"/>
        </w:rPr>
        <w:t>eningorradicul</w:t>
      </w:r>
      <w:r w:rsidR="00C902EB">
        <w:rPr>
          <w:rFonts w:ascii="Times New Roman" w:hAnsi="Times New Roman" w:cs="Times New Roman"/>
          <w:sz w:val="28"/>
        </w:rPr>
        <w:t>ite</w:t>
      </w:r>
      <w:proofErr w:type="spellEnd"/>
      <w:r w:rsidR="00C902EB">
        <w:rPr>
          <w:rFonts w:ascii="Times New Roman" w:hAnsi="Times New Roman" w:cs="Times New Roman"/>
          <w:sz w:val="28"/>
        </w:rPr>
        <w:t>)</w:t>
      </w:r>
      <w:r w:rsidR="00E86A11" w:rsidRPr="00C037A5">
        <w:rPr>
          <w:rFonts w:ascii="Times New Roman" w:hAnsi="Times New Roman" w:cs="Times New Roman"/>
          <w:sz w:val="28"/>
        </w:rPr>
        <w:t xml:space="preserve"> e a resolução do </w:t>
      </w:r>
      <w:r w:rsidR="00E86A11" w:rsidRPr="00C037A5">
        <w:rPr>
          <w:rFonts w:ascii="Times New Roman" w:hAnsi="Times New Roman" w:cs="Times New Roman"/>
          <w:color w:val="auto"/>
          <w:sz w:val="28"/>
        </w:rPr>
        <w:t>quadro</w:t>
      </w:r>
      <w:r w:rsidR="00023400" w:rsidRPr="00C037A5">
        <w:rPr>
          <w:rFonts w:ascii="Times New Roman" w:hAnsi="Times New Roman" w:cs="Times New Roman"/>
          <w:color w:val="auto"/>
          <w:sz w:val="28"/>
        </w:rPr>
        <w:t xml:space="preserve"> neurológico</w:t>
      </w:r>
      <w:r w:rsidR="00E86A11" w:rsidRPr="00C037A5">
        <w:rPr>
          <w:rFonts w:ascii="Times New Roman" w:hAnsi="Times New Roman" w:cs="Times New Roman"/>
          <w:sz w:val="28"/>
        </w:rPr>
        <w:t xml:space="preserve"> agudo sem tratamento dirigido terá levado a que não se prosseguisse</w:t>
      </w:r>
      <w:r w:rsidR="009A7425">
        <w:rPr>
          <w:rFonts w:ascii="Times New Roman" w:hAnsi="Times New Roman" w:cs="Times New Roman"/>
          <w:sz w:val="28"/>
        </w:rPr>
        <w:t xml:space="preserve"> o estudo</w:t>
      </w:r>
      <w:r w:rsidR="00E86A11" w:rsidRPr="00C037A5">
        <w:rPr>
          <w:rFonts w:ascii="Times New Roman" w:hAnsi="Times New Roman" w:cs="Times New Roman"/>
          <w:sz w:val="28"/>
        </w:rPr>
        <w:t xml:space="preserve">. </w:t>
      </w:r>
    </w:p>
    <w:p w:rsidR="00383254" w:rsidRPr="00C037A5" w:rsidRDefault="00C037A5" w:rsidP="00C037A5">
      <w:pPr>
        <w:pStyle w:val="SemEspaamento"/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E86A11" w:rsidRPr="00C037A5">
        <w:rPr>
          <w:rFonts w:ascii="Times New Roman" w:hAnsi="Times New Roman" w:cs="Times New Roman"/>
          <w:sz w:val="28"/>
        </w:rPr>
        <w:t xml:space="preserve">Para o diagnóstico de </w:t>
      </w:r>
      <w:proofErr w:type="spellStart"/>
      <w:r w:rsidR="00E86A11" w:rsidRPr="00C037A5">
        <w:rPr>
          <w:rFonts w:ascii="Times New Roman" w:hAnsi="Times New Roman" w:cs="Times New Roman"/>
          <w:sz w:val="28"/>
        </w:rPr>
        <w:t>neuroborreliose</w:t>
      </w:r>
      <w:proofErr w:type="spellEnd"/>
      <w:r w:rsidR="00E86A11" w:rsidRPr="00C037A5">
        <w:rPr>
          <w:rFonts w:ascii="Times New Roman" w:hAnsi="Times New Roman" w:cs="Times New Roman"/>
          <w:sz w:val="28"/>
        </w:rPr>
        <w:t xml:space="preserve"> não basta a serologia séri</w:t>
      </w:r>
      <w:r w:rsidR="009A7425">
        <w:rPr>
          <w:rFonts w:ascii="Times New Roman" w:hAnsi="Times New Roman" w:cs="Times New Roman"/>
          <w:sz w:val="28"/>
        </w:rPr>
        <w:t>ca positiva. D</w:t>
      </w:r>
      <w:r w:rsidR="00E86A11" w:rsidRPr="00C037A5">
        <w:rPr>
          <w:rFonts w:ascii="Times New Roman" w:hAnsi="Times New Roman" w:cs="Times New Roman"/>
          <w:sz w:val="28"/>
        </w:rPr>
        <w:t xml:space="preserve">ocumentou-se um aumento de </w:t>
      </w:r>
      <w:proofErr w:type="spellStart"/>
      <w:r w:rsidR="00E86A11" w:rsidRPr="00C037A5">
        <w:rPr>
          <w:rFonts w:ascii="Times New Roman" w:hAnsi="Times New Roman" w:cs="Times New Roman"/>
          <w:sz w:val="28"/>
        </w:rPr>
        <w:t>IgM</w:t>
      </w:r>
      <w:proofErr w:type="spellEnd"/>
      <w:r w:rsidR="0052063D">
        <w:rPr>
          <w:rFonts w:ascii="Times New Roman" w:hAnsi="Times New Roman" w:cs="Times New Roman"/>
          <w:sz w:val="28"/>
        </w:rPr>
        <w:t xml:space="preserve"> e de</w:t>
      </w:r>
      <w:r w:rsidR="00E86A11" w:rsidRPr="00C037A5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86A11" w:rsidRPr="00C037A5">
        <w:rPr>
          <w:rFonts w:ascii="Times New Roman" w:hAnsi="Times New Roman" w:cs="Times New Roman"/>
          <w:sz w:val="28"/>
        </w:rPr>
        <w:t>IgG</w:t>
      </w:r>
      <w:proofErr w:type="spellEnd"/>
      <w:r w:rsidR="00465956">
        <w:rPr>
          <w:rFonts w:ascii="Times New Roman" w:hAnsi="Times New Roman" w:cs="Times New Roman"/>
          <w:sz w:val="28"/>
        </w:rPr>
        <w:t>,</w:t>
      </w:r>
      <w:r w:rsidR="00E86A11" w:rsidRPr="00C037A5">
        <w:rPr>
          <w:rFonts w:ascii="Times New Roman" w:hAnsi="Times New Roman" w:cs="Times New Roman"/>
          <w:sz w:val="28"/>
        </w:rPr>
        <w:t xml:space="preserve"> </w:t>
      </w:r>
      <w:r w:rsidR="0052063D">
        <w:rPr>
          <w:rFonts w:ascii="Times New Roman" w:hAnsi="Times New Roman" w:cs="Times New Roman"/>
          <w:sz w:val="28"/>
        </w:rPr>
        <w:t xml:space="preserve">apontando </w:t>
      </w:r>
      <w:r w:rsidR="009A7425">
        <w:rPr>
          <w:rFonts w:ascii="Times New Roman" w:hAnsi="Times New Roman" w:cs="Times New Roman"/>
          <w:sz w:val="28"/>
        </w:rPr>
        <w:t>para uma instalação</w:t>
      </w:r>
      <w:r w:rsidR="00085928">
        <w:rPr>
          <w:rFonts w:ascii="Times New Roman" w:hAnsi="Times New Roman" w:cs="Times New Roman"/>
          <w:sz w:val="28"/>
        </w:rPr>
        <w:t xml:space="preserve"> </w:t>
      </w:r>
      <w:r w:rsidR="00E86A11" w:rsidRPr="00C037A5">
        <w:rPr>
          <w:rFonts w:ascii="Times New Roman" w:hAnsi="Times New Roman" w:cs="Times New Roman"/>
          <w:sz w:val="28"/>
        </w:rPr>
        <w:t xml:space="preserve">não aguda. A evidência de produção </w:t>
      </w:r>
      <w:proofErr w:type="spellStart"/>
      <w:r w:rsidR="00E86A11" w:rsidRPr="00C037A5">
        <w:rPr>
          <w:rFonts w:ascii="Times New Roman" w:hAnsi="Times New Roman" w:cs="Times New Roman"/>
          <w:sz w:val="28"/>
        </w:rPr>
        <w:t>intratecal</w:t>
      </w:r>
      <w:proofErr w:type="spellEnd"/>
      <w:r w:rsidR="00E86A11" w:rsidRPr="00C037A5">
        <w:rPr>
          <w:rFonts w:ascii="Times New Roman" w:hAnsi="Times New Roman" w:cs="Times New Roman"/>
          <w:sz w:val="28"/>
        </w:rPr>
        <w:t xml:space="preserve"> de anticorpos </w:t>
      </w:r>
      <w:proofErr w:type="spellStart"/>
      <w:r w:rsidR="0052063D">
        <w:rPr>
          <w:rFonts w:ascii="Times New Roman" w:hAnsi="Times New Roman" w:cs="Times New Roman"/>
          <w:sz w:val="28"/>
        </w:rPr>
        <w:t>IgG</w:t>
      </w:r>
      <w:proofErr w:type="spellEnd"/>
      <w:r w:rsidR="0052063D">
        <w:rPr>
          <w:rFonts w:ascii="Times New Roman" w:hAnsi="Times New Roman" w:cs="Times New Roman"/>
          <w:sz w:val="28"/>
        </w:rPr>
        <w:t xml:space="preserve"> </w:t>
      </w:r>
      <w:r w:rsidR="00E86A11" w:rsidRPr="00C037A5">
        <w:rPr>
          <w:rFonts w:ascii="Times New Roman" w:hAnsi="Times New Roman" w:cs="Times New Roman"/>
          <w:sz w:val="28"/>
        </w:rPr>
        <w:t xml:space="preserve">específicos contra </w:t>
      </w:r>
      <w:proofErr w:type="spellStart"/>
      <w:r w:rsidR="00E86A11" w:rsidRPr="00C037A5">
        <w:rPr>
          <w:rFonts w:ascii="Times New Roman" w:hAnsi="Times New Roman" w:cs="Times New Roman"/>
          <w:i/>
          <w:sz w:val="28"/>
        </w:rPr>
        <w:t>Borrelia</w:t>
      </w:r>
      <w:proofErr w:type="spellEnd"/>
      <w:r w:rsidR="00E86A11" w:rsidRPr="00C037A5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="00E86A11" w:rsidRPr="00C037A5">
        <w:rPr>
          <w:rFonts w:ascii="Times New Roman" w:hAnsi="Times New Roman" w:cs="Times New Roman"/>
          <w:sz w:val="28"/>
        </w:rPr>
        <w:t>spp</w:t>
      </w:r>
      <w:proofErr w:type="spellEnd"/>
      <w:r w:rsidR="00E86A11" w:rsidRPr="00C037A5">
        <w:rPr>
          <w:rFonts w:ascii="Times New Roman" w:hAnsi="Times New Roman" w:cs="Times New Roman"/>
          <w:sz w:val="28"/>
        </w:rPr>
        <w:t>, validada pelo Índic</w:t>
      </w:r>
      <w:r w:rsidR="00085928">
        <w:rPr>
          <w:rFonts w:ascii="Times New Roman" w:hAnsi="Times New Roman" w:cs="Times New Roman"/>
          <w:sz w:val="28"/>
        </w:rPr>
        <w:t xml:space="preserve">e de </w:t>
      </w:r>
      <w:proofErr w:type="spellStart"/>
      <w:r w:rsidR="00085928">
        <w:rPr>
          <w:rFonts w:ascii="Times New Roman" w:hAnsi="Times New Roman" w:cs="Times New Roman"/>
          <w:sz w:val="28"/>
        </w:rPr>
        <w:t>Reiber</w:t>
      </w:r>
      <w:proofErr w:type="spellEnd"/>
      <w:r w:rsidR="00085928">
        <w:rPr>
          <w:rFonts w:ascii="Times New Roman" w:hAnsi="Times New Roman" w:cs="Times New Roman"/>
          <w:sz w:val="28"/>
        </w:rPr>
        <w:t xml:space="preserve"> aumentado, demonstra</w:t>
      </w:r>
      <w:r w:rsidR="00E86A11" w:rsidRPr="00C037A5">
        <w:rPr>
          <w:rFonts w:ascii="Times New Roman" w:hAnsi="Times New Roman" w:cs="Times New Roman"/>
          <w:sz w:val="28"/>
        </w:rPr>
        <w:t xml:space="preserve"> uma resposta humoral em curso no sistema nervoso central (SNC). </w:t>
      </w:r>
    </w:p>
    <w:p w:rsidR="00383254" w:rsidRPr="00C037A5" w:rsidRDefault="00C037A5" w:rsidP="00C037A5">
      <w:pPr>
        <w:pStyle w:val="SemEspaamento"/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B735BF">
        <w:rPr>
          <w:rFonts w:ascii="Times New Roman" w:hAnsi="Times New Roman" w:cs="Times New Roman"/>
          <w:sz w:val="28"/>
        </w:rPr>
        <w:t xml:space="preserve">Relativamente ao </w:t>
      </w:r>
      <w:r w:rsidR="00E86A11" w:rsidRPr="00C037A5">
        <w:rPr>
          <w:rFonts w:ascii="Times New Roman" w:hAnsi="Times New Roman" w:cs="Times New Roman"/>
          <w:sz w:val="28"/>
        </w:rPr>
        <w:t xml:space="preserve">tratamento é </w:t>
      </w:r>
      <w:r w:rsidR="003A4D8A">
        <w:rPr>
          <w:rFonts w:ascii="Times New Roman" w:hAnsi="Times New Roman" w:cs="Times New Roman"/>
          <w:sz w:val="28"/>
        </w:rPr>
        <w:t>prática corrente a utilização das</w:t>
      </w:r>
      <w:r w:rsidR="00C902EB">
        <w:rPr>
          <w:rFonts w:ascii="Times New Roman" w:hAnsi="Times New Roman" w:cs="Times New Roman"/>
          <w:sz w:val="28"/>
        </w:rPr>
        <w:t xml:space="preserve"> </w:t>
      </w:r>
      <w:proofErr w:type="spellStart"/>
      <w:r w:rsidR="00C902EB">
        <w:rPr>
          <w:rFonts w:ascii="Times New Roman" w:hAnsi="Times New Roman" w:cs="Times New Roman"/>
          <w:sz w:val="28"/>
        </w:rPr>
        <w:t>cefalosporinas</w:t>
      </w:r>
      <w:proofErr w:type="spellEnd"/>
      <w:r w:rsidR="00C902EB">
        <w:rPr>
          <w:rFonts w:ascii="Times New Roman" w:hAnsi="Times New Roman" w:cs="Times New Roman"/>
          <w:sz w:val="28"/>
        </w:rPr>
        <w:t>, como</w:t>
      </w:r>
      <w:r w:rsidR="007809B3">
        <w:rPr>
          <w:rFonts w:ascii="Times New Roman" w:hAnsi="Times New Roman" w:cs="Times New Roman"/>
          <w:sz w:val="28"/>
        </w:rPr>
        <w:t xml:space="preserve"> a </w:t>
      </w:r>
      <w:proofErr w:type="spellStart"/>
      <w:r w:rsidR="007809B3">
        <w:rPr>
          <w:rFonts w:ascii="Times New Roman" w:hAnsi="Times New Roman" w:cs="Times New Roman"/>
          <w:sz w:val="28"/>
        </w:rPr>
        <w:t>cefixima</w:t>
      </w:r>
      <w:proofErr w:type="spellEnd"/>
      <w:r w:rsidR="00E86A11" w:rsidRPr="00C037A5">
        <w:rPr>
          <w:rFonts w:ascii="Times New Roman" w:hAnsi="Times New Roman" w:cs="Times New Roman"/>
          <w:sz w:val="28"/>
        </w:rPr>
        <w:t xml:space="preserve"> ou a </w:t>
      </w:r>
      <w:proofErr w:type="spellStart"/>
      <w:r w:rsidR="00E86A11" w:rsidRPr="00C037A5">
        <w:rPr>
          <w:rFonts w:ascii="Times New Roman" w:hAnsi="Times New Roman" w:cs="Times New Roman"/>
          <w:sz w:val="28"/>
        </w:rPr>
        <w:t>ceft</w:t>
      </w:r>
      <w:r w:rsidR="00B735BF">
        <w:rPr>
          <w:rFonts w:ascii="Times New Roman" w:hAnsi="Times New Roman" w:cs="Times New Roman"/>
          <w:sz w:val="28"/>
        </w:rPr>
        <w:t>riaxona</w:t>
      </w:r>
      <w:proofErr w:type="spellEnd"/>
      <w:r w:rsidR="00E86A11" w:rsidRPr="00C037A5">
        <w:rPr>
          <w:rFonts w:ascii="Times New Roman" w:hAnsi="Times New Roman" w:cs="Times New Roman"/>
          <w:sz w:val="28"/>
        </w:rPr>
        <w:t>. Embo</w:t>
      </w:r>
      <w:r w:rsidR="00C902EB">
        <w:rPr>
          <w:rFonts w:ascii="Times New Roman" w:hAnsi="Times New Roman" w:cs="Times New Roman"/>
          <w:sz w:val="28"/>
        </w:rPr>
        <w:t>ra haja dúvidas</w:t>
      </w:r>
      <w:r w:rsidR="00B735BF">
        <w:rPr>
          <w:rFonts w:ascii="Times New Roman" w:hAnsi="Times New Roman" w:cs="Times New Roman"/>
          <w:sz w:val="28"/>
        </w:rPr>
        <w:t xml:space="preserve"> sobre a</w:t>
      </w:r>
      <w:r w:rsidR="00E86A11" w:rsidRPr="00C037A5">
        <w:rPr>
          <w:rFonts w:ascii="Times New Roman" w:hAnsi="Times New Roman" w:cs="Times New Roman"/>
          <w:sz w:val="28"/>
        </w:rPr>
        <w:t xml:space="preserve"> sobrevivência residual de espiroqu</w:t>
      </w:r>
      <w:r w:rsidR="00B735BF">
        <w:rPr>
          <w:rFonts w:ascii="Times New Roman" w:hAnsi="Times New Roman" w:cs="Times New Roman"/>
          <w:sz w:val="28"/>
        </w:rPr>
        <w:t xml:space="preserve">etas, os esquemas </w:t>
      </w:r>
      <w:r w:rsidR="00E86A11" w:rsidRPr="00C037A5">
        <w:rPr>
          <w:rFonts w:ascii="Times New Roman" w:hAnsi="Times New Roman" w:cs="Times New Roman"/>
          <w:sz w:val="28"/>
        </w:rPr>
        <w:t>recom</w:t>
      </w:r>
      <w:r w:rsidR="003B5D75" w:rsidRPr="00C037A5">
        <w:rPr>
          <w:rFonts w:ascii="Times New Roman" w:hAnsi="Times New Roman" w:cs="Times New Roman"/>
          <w:sz w:val="28"/>
        </w:rPr>
        <w:t xml:space="preserve">endados </w:t>
      </w:r>
      <w:r w:rsidR="00B735BF">
        <w:rPr>
          <w:rFonts w:ascii="Times New Roman" w:hAnsi="Times New Roman" w:cs="Times New Roman"/>
          <w:sz w:val="28"/>
        </w:rPr>
        <w:lastRenderedPageBreak/>
        <w:t>no</w:t>
      </w:r>
      <w:r w:rsidR="00E86A11" w:rsidRPr="00C037A5">
        <w:rPr>
          <w:rFonts w:ascii="Times New Roman" w:hAnsi="Times New Roman" w:cs="Times New Roman"/>
          <w:sz w:val="28"/>
        </w:rPr>
        <w:t xml:space="preserve"> atingimento crónico do SNC situam-se entre os 14 e </w:t>
      </w:r>
      <w:r w:rsidR="003A4D8A">
        <w:rPr>
          <w:rFonts w:ascii="Times New Roman" w:hAnsi="Times New Roman" w:cs="Times New Roman"/>
          <w:sz w:val="28"/>
        </w:rPr>
        <w:t xml:space="preserve">os </w:t>
      </w:r>
      <w:r w:rsidR="00B735BF">
        <w:rPr>
          <w:rFonts w:ascii="Times New Roman" w:hAnsi="Times New Roman" w:cs="Times New Roman"/>
          <w:sz w:val="28"/>
        </w:rPr>
        <w:t>28 dias. Estudos recentes não revelam</w:t>
      </w:r>
      <w:r w:rsidR="00E86A11" w:rsidRPr="00C037A5">
        <w:rPr>
          <w:rFonts w:ascii="Times New Roman" w:hAnsi="Times New Roman" w:cs="Times New Roman"/>
          <w:sz w:val="28"/>
        </w:rPr>
        <w:t xml:space="preserve"> aument</w:t>
      </w:r>
      <w:r w:rsidR="007809B3">
        <w:rPr>
          <w:rFonts w:ascii="Times New Roman" w:hAnsi="Times New Roman" w:cs="Times New Roman"/>
          <w:sz w:val="28"/>
        </w:rPr>
        <w:t xml:space="preserve">o de </w:t>
      </w:r>
      <w:proofErr w:type="spellStart"/>
      <w:r w:rsidR="007809B3">
        <w:rPr>
          <w:rFonts w:ascii="Times New Roman" w:hAnsi="Times New Roman" w:cs="Times New Roman"/>
          <w:sz w:val="28"/>
        </w:rPr>
        <w:t>morbimortalidade</w:t>
      </w:r>
      <w:proofErr w:type="spellEnd"/>
      <w:r w:rsidR="007809B3">
        <w:rPr>
          <w:rFonts w:ascii="Times New Roman" w:hAnsi="Times New Roman" w:cs="Times New Roman"/>
          <w:sz w:val="28"/>
        </w:rPr>
        <w:t xml:space="preserve"> com a</w:t>
      </w:r>
      <w:r w:rsidR="00E86A11" w:rsidRPr="00C037A5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86A11" w:rsidRPr="00C037A5">
        <w:rPr>
          <w:rFonts w:ascii="Times New Roman" w:hAnsi="Times New Roman" w:cs="Times New Roman"/>
          <w:sz w:val="28"/>
        </w:rPr>
        <w:t>doxiciclina</w:t>
      </w:r>
      <w:proofErr w:type="spellEnd"/>
      <w:r w:rsidR="003818F0" w:rsidRPr="00C037A5">
        <w:rPr>
          <w:rFonts w:ascii="Times New Roman" w:hAnsi="Times New Roman" w:cs="Times New Roman"/>
          <w:sz w:val="28"/>
        </w:rPr>
        <w:t xml:space="preserve"> oral</w:t>
      </w:r>
      <w:r w:rsidR="00873515" w:rsidRPr="00C037A5">
        <w:rPr>
          <w:rFonts w:ascii="Times New Roman" w:hAnsi="Times New Roman" w:cs="Times New Roman"/>
          <w:sz w:val="28"/>
          <w:vertAlign w:val="superscript"/>
        </w:rPr>
        <w:t>8</w:t>
      </w:r>
      <w:r w:rsidR="00873515" w:rsidRPr="00C037A5">
        <w:rPr>
          <w:rFonts w:ascii="Times New Roman" w:hAnsi="Times New Roman" w:cs="Times New Roman"/>
          <w:sz w:val="28"/>
        </w:rPr>
        <w:t>.</w:t>
      </w:r>
      <w:r w:rsidR="00465956">
        <w:rPr>
          <w:rFonts w:ascii="Times New Roman" w:hAnsi="Times New Roman" w:cs="Times New Roman"/>
          <w:sz w:val="28"/>
        </w:rPr>
        <w:t xml:space="preserve"> </w:t>
      </w:r>
      <w:r w:rsidR="00B735BF">
        <w:rPr>
          <w:rFonts w:ascii="Times New Roman" w:hAnsi="Times New Roman" w:cs="Times New Roman"/>
          <w:sz w:val="28"/>
        </w:rPr>
        <w:t>Assim, pela rápida melhoria, por</w:t>
      </w:r>
      <w:r w:rsidR="009A7425">
        <w:rPr>
          <w:rFonts w:ascii="Times New Roman" w:hAnsi="Times New Roman" w:cs="Times New Roman"/>
          <w:sz w:val="28"/>
        </w:rPr>
        <w:t xml:space="preserve"> se encontrar em</w:t>
      </w:r>
      <w:r w:rsidR="00E86A11" w:rsidRPr="00C037A5">
        <w:rPr>
          <w:rFonts w:ascii="Times New Roman" w:hAnsi="Times New Roman" w:cs="Times New Roman"/>
          <w:sz w:val="28"/>
        </w:rPr>
        <w:t xml:space="preserve"> época académica de exames, e pelo conforto posológico, procedeu-se à mudança de antibioterapia, </w:t>
      </w:r>
      <w:r w:rsidR="00B735BF">
        <w:rPr>
          <w:rFonts w:ascii="Times New Roman" w:hAnsi="Times New Roman" w:cs="Times New Roman"/>
          <w:sz w:val="28"/>
        </w:rPr>
        <w:t>que completou em ambulatório</w:t>
      </w:r>
      <w:r w:rsidR="00E86A11" w:rsidRPr="00C037A5">
        <w:rPr>
          <w:rFonts w:ascii="Times New Roman" w:hAnsi="Times New Roman" w:cs="Times New Roman"/>
          <w:sz w:val="28"/>
        </w:rPr>
        <w:t>.</w:t>
      </w:r>
    </w:p>
    <w:p w:rsidR="00383254" w:rsidRPr="00C037A5" w:rsidRDefault="00C037A5" w:rsidP="00C037A5">
      <w:pPr>
        <w:pStyle w:val="SemEspaamento"/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9E5C85">
        <w:rPr>
          <w:rFonts w:ascii="Times New Roman" w:hAnsi="Times New Roman" w:cs="Times New Roman"/>
          <w:sz w:val="28"/>
        </w:rPr>
        <w:t>Findo o tratamento, a</w:t>
      </w:r>
      <w:r w:rsidR="00E86A11" w:rsidRPr="00C037A5">
        <w:rPr>
          <w:rFonts w:ascii="Times New Roman" w:hAnsi="Times New Roman" w:cs="Times New Roman"/>
          <w:sz w:val="28"/>
        </w:rPr>
        <w:t>lgun</w:t>
      </w:r>
      <w:r w:rsidR="00465956">
        <w:rPr>
          <w:rFonts w:ascii="Times New Roman" w:hAnsi="Times New Roman" w:cs="Times New Roman"/>
          <w:sz w:val="28"/>
        </w:rPr>
        <w:t>s doentes mantêm</w:t>
      </w:r>
      <w:r w:rsidR="00B735BF">
        <w:rPr>
          <w:rFonts w:ascii="Times New Roman" w:hAnsi="Times New Roman" w:cs="Times New Roman"/>
          <w:sz w:val="28"/>
        </w:rPr>
        <w:t xml:space="preserve"> sintomas </w:t>
      </w:r>
      <w:proofErr w:type="spellStart"/>
      <w:r w:rsidR="00E86A11" w:rsidRPr="00C037A5">
        <w:rPr>
          <w:rFonts w:ascii="Times New Roman" w:hAnsi="Times New Roman" w:cs="Times New Roman"/>
          <w:sz w:val="28"/>
        </w:rPr>
        <w:t>inespecíficos</w:t>
      </w:r>
      <w:proofErr w:type="spellEnd"/>
      <w:r w:rsidR="00E86A11" w:rsidRPr="00C037A5">
        <w:rPr>
          <w:rFonts w:ascii="Times New Roman" w:hAnsi="Times New Roman" w:cs="Times New Roman"/>
          <w:sz w:val="28"/>
        </w:rPr>
        <w:t xml:space="preserve"> (fadiga, parestesias, insónia, cefaleia</w:t>
      </w:r>
      <w:r w:rsidR="009A7425">
        <w:rPr>
          <w:rFonts w:ascii="Times New Roman" w:hAnsi="Times New Roman" w:cs="Times New Roman"/>
          <w:sz w:val="28"/>
        </w:rPr>
        <w:t xml:space="preserve">s, mialgias ou artralgias), o que tem levado </w:t>
      </w:r>
      <w:r w:rsidR="00E86A11" w:rsidRPr="00C037A5">
        <w:rPr>
          <w:rFonts w:ascii="Times New Roman" w:hAnsi="Times New Roman" w:cs="Times New Roman"/>
          <w:sz w:val="28"/>
        </w:rPr>
        <w:t>à especulação de uma síndrome de fadiga crónic</w:t>
      </w:r>
      <w:r w:rsidR="00696F0C" w:rsidRPr="00C037A5">
        <w:rPr>
          <w:rFonts w:ascii="Times New Roman" w:hAnsi="Times New Roman" w:cs="Times New Roman"/>
          <w:sz w:val="28"/>
        </w:rPr>
        <w:t>a</w:t>
      </w:r>
      <w:r w:rsidR="00B735BF">
        <w:rPr>
          <w:rFonts w:ascii="Times New Roman" w:hAnsi="Times New Roman" w:cs="Times New Roman"/>
          <w:sz w:val="28"/>
        </w:rPr>
        <w:t xml:space="preserve"> ou síndrome pós-doença de Lyme</w:t>
      </w:r>
      <w:r w:rsidR="00696F0C" w:rsidRPr="00C037A5">
        <w:rPr>
          <w:rFonts w:ascii="Times New Roman" w:hAnsi="Times New Roman" w:cs="Times New Roman"/>
          <w:sz w:val="28"/>
          <w:vertAlign w:val="superscript"/>
        </w:rPr>
        <w:t>9,10</w:t>
      </w:r>
      <w:r w:rsidR="009E5C85">
        <w:rPr>
          <w:rFonts w:ascii="Times New Roman" w:hAnsi="Times New Roman" w:cs="Times New Roman"/>
          <w:sz w:val="28"/>
        </w:rPr>
        <w:t>. M</w:t>
      </w:r>
      <w:r w:rsidR="00B735BF">
        <w:rPr>
          <w:rFonts w:ascii="Times New Roman" w:hAnsi="Times New Roman" w:cs="Times New Roman"/>
          <w:sz w:val="28"/>
        </w:rPr>
        <w:t>últiplos</w:t>
      </w:r>
      <w:r w:rsidR="00E86A11" w:rsidRPr="00C037A5">
        <w:rPr>
          <w:rFonts w:ascii="Times New Roman" w:hAnsi="Times New Roman" w:cs="Times New Roman"/>
          <w:sz w:val="28"/>
        </w:rPr>
        <w:t xml:space="preserve"> estudos </w:t>
      </w:r>
      <w:r w:rsidR="00465956">
        <w:rPr>
          <w:rFonts w:ascii="Times New Roman" w:hAnsi="Times New Roman" w:cs="Times New Roman"/>
          <w:sz w:val="28"/>
        </w:rPr>
        <w:t>efe</w:t>
      </w:r>
      <w:r w:rsidR="00B735BF">
        <w:rPr>
          <w:rFonts w:ascii="Times New Roman" w:hAnsi="Times New Roman" w:cs="Times New Roman"/>
          <w:sz w:val="28"/>
        </w:rPr>
        <w:t>tuados neste grupo</w:t>
      </w:r>
      <w:r w:rsidR="009E5C85">
        <w:rPr>
          <w:rFonts w:ascii="Times New Roman" w:hAnsi="Times New Roman" w:cs="Times New Roman"/>
          <w:sz w:val="28"/>
        </w:rPr>
        <w:t xml:space="preserve"> não apontam relevância n</w:t>
      </w:r>
      <w:r w:rsidR="00B735BF">
        <w:rPr>
          <w:rFonts w:ascii="Times New Roman" w:hAnsi="Times New Roman" w:cs="Times New Roman"/>
          <w:sz w:val="28"/>
        </w:rPr>
        <w:t>a duração da</w:t>
      </w:r>
      <w:r w:rsidR="009E5C85">
        <w:rPr>
          <w:rFonts w:ascii="Times New Roman" w:hAnsi="Times New Roman" w:cs="Times New Roman"/>
          <w:sz w:val="28"/>
        </w:rPr>
        <w:t xml:space="preserve"> antibioterapia </w:t>
      </w:r>
      <w:r w:rsidR="009A7425">
        <w:rPr>
          <w:rFonts w:ascii="Times New Roman" w:hAnsi="Times New Roman" w:cs="Times New Roman"/>
          <w:sz w:val="28"/>
        </w:rPr>
        <w:t>no</w:t>
      </w:r>
      <w:r w:rsidR="007809B3">
        <w:rPr>
          <w:rFonts w:ascii="Times New Roman" w:hAnsi="Times New Roman" w:cs="Times New Roman"/>
          <w:sz w:val="28"/>
        </w:rPr>
        <w:t xml:space="preserve"> seu</w:t>
      </w:r>
      <w:r w:rsidR="009A7425">
        <w:rPr>
          <w:rFonts w:ascii="Times New Roman" w:hAnsi="Times New Roman" w:cs="Times New Roman"/>
          <w:sz w:val="28"/>
        </w:rPr>
        <w:t xml:space="preserve"> </w:t>
      </w:r>
      <w:r w:rsidR="00E86A11" w:rsidRPr="00C037A5">
        <w:rPr>
          <w:rFonts w:ascii="Times New Roman" w:hAnsi="Times New Roman" w:cs="Times New Roman"/>
          <w:sz w:val="28"/>
        </w:rPr>
        <w:t>surgimento</w:t>
      </w:r>
      <w:r w:rsidR="00B735BF">
        <w:rPr>
          <w:rFonts w:ascii="Times New Roman" w:hAnsi="Times New Roman" w:cs="Times New Roman"/>
          <w:sz w:val="28"/>
        </w:rPr>
        <w:t xml:space="preserve"> ou </w:t>
      </w:r>
      <w:r w:rsidR="009E5C85">
        <w:rPr>
          <w:rFonts w:ascii="Times New Roman" w:hAnsi="Times New Roman" w:cs="Times New Roman"/>
          <w:sz w:val="28"/>
        </w:rPr>
        <w:t>persistência</w:t>
      </w:r>
      <w:r w:rsidR="00696F0C" w:rsidRPr="00C037A5">
        <w:rPr>
          <w:rFonts w:ascii="Times New Roman" w:hAnsi="Times New Roman" w:cs="Times New Roman"/>
          <w:sz w:val="28"/>
          <w:vertAlign w:val="superscript"/>
        </w:rPr>
        <w:t>10,11</w:t>
      </w:r>
      <w:r w:rsidR="00B735BF">
        <w:rPr>
          <w:rFonts w:ascii="Times New Roman" w:hAnsi="Times New Roman" w:cs="Times New Roman"/>
          <w:sz w:val="28"/>
        </w:rPr>
        <w:t>. Neste caso</w:t>
      </w:r>
      <w:r w:rsidR="00E86A11" w:rsidRPr="00C037A5">
        <w:rPr>
          <w:rFonts w:ascii="Times New Roman" w:hAnsi="Times New Roman" w:cs="Times New Roman"/>
          <w:sz w:val="28"/>
        </w:rPr>
        <w:t>, a resoluç</w:t>
      </w:r>
      <w:r w:rsidR="00465956">
        <w:rPr>
          <w:rFonts w:ascii="Times New Roman" w:hAnsi="Times New Roman" w:cs="Times New Roman"/>
          <w:sz w:val="28"/>
        </w:rPr>
        <w:t xml:space="preserve">ão da </w:t>
      </w:r>
      <w:r w:rsidR="006217D5">
        <w:rPr>
          <w:rFonts w:ascii="Times New Roman" w:hAnsi="Times New Roman" w:cs="Times New Roman"/>
          <w:sz w:val="28"/>
        </w:rPr>
        <w:t xml:space="preserve">astenia foi </w:t>
      </w:r>
      <w:r w:rsidR="00B735BF">
        <w:rPr>
          <w:rFonts w:ascii="Times New Roman" w:hAnsi="Times New Roman" w:cs="Times New Roman"/>
          <w:sz w:val="28"/>
        </w:rPr>
        <w:t>dos pontos mais salientados.</w:t>
      </w:r>
    </w:p>
    <w:p w:rsidR="00383254" w:rsidRPr="00C037A5" w:rsidRDefault="00E86A11" w:rsidP="00C037A5">
      <w:pPr>
        <w:pStyle w:val="SemEspaamento"/>
        <w:spacing w:line="360" w:lineRule="auto"/>
        <w:jc w:val="both"/>
        <w:rPr>
          <w:rFonts w:ascii="Times New Roman" w:hAnsi="Times New Roman" w:cs="Times New Roman"/>
          <w:sz w:val="28"/>
          <w:highlight w:val="white"/>
        </w:rPr>
      </w:pPr>
      <w:r w:rsidRPr="00C037A5">
        <w:rPr>
          <w:rFonts w:ascii="Times New Roman" w:hAnsi="Times New Roman" w:cs="Times New Roman"/>
          <w:sz w:val="28"/>
          <w:highlight w:val="white"/>
        </w:rPr>
        <w:tab/>
      </w:r>
      <w:r w:rsidR="00B735BF">
        <w:rPr>
          <w:rFonts w:ascii="Times New Roman" w:hAnsi="Times New Roman" w:cs="Times New Roman"/>
          <w:sz w:val="28"/>
          <w:highlight w:val="white"/>
        </w:rPr>
        <w:t>Concluindo</w:t>
      </w:r>
      <w:r w:rsidRPr="00C037A5">
        <w:rPr>
          <w:rFonts w:ascii="Times New Roman" w:hAnsi="Times New Roman" w:cs="Times New Roman"/>
          <w:sz w:val="28"/>
          <w:highlight w:val="white"/>
        </w:rPr>
        <w:t>, sendo Portugal um destino c</w:t>
      </w:r>
      <w:r w:rsidR="009E5C85">
        <w:rPr>
          <w:rFonts w:ascii="Times New Roman" w:hAnsi="Times New Roman" w:cs="Times New Roman"/>
          <w:sz w:val="28"/>
          <w:highlight w:val="white"/>
        </w:rPr>
        <w:t>ada vez mais frequente, com</w:t>
      </w:r>
      <w:r w:rsidRPr="00C037A5">
        <w:rPr>
          <w:rFonts w:ascii="Times New Roman" w:hAnsi="Times New Roman" w:cs="Times New Roman"/>
          <w:sz w:val="28"/>
          <w:highlight w:val="white"/>
        </w:rPr>
        <w:t xml:space="preserve"> resid</w:t>
      </w:r>
      <w:r w:rsidR="0090284E">
        <w:rPr>
          <w:rFonts w:ascii="Times New Roman" w:hAnsi="Times New Roman" w:cs="Times New Roman"/>
          <w:sz w:val="28"/>
          <w:highlight w:val="white"/>
        </w:rPr>
        <w:t>entes estrangeiros temporários</w:t>
      </w:r>
      <w:r w:rsidRPr="00C037A5">
        <w:rPr>
          <w:rFonts w:ascii="Times New Roman" w:hAnsi="Times New Roman" w:cs="Times New Roman"/>
          <w:sz w:val="28"/>
          <w:highlight w:val="white"/>
        </w:rPr>
        <w:t>, o conhecimento da epidemiologia de doenças</w:t>
      </w:r>
      <w:r w:rsidR="00C311F8" w:rsidRPr="00C037A5">
        <w:rPr>
          <w:rFonts w:ascii="Times New Roman" w:hAnsi="Times New Roman" w:cs="Times New Roman"/>
          <w:sz w:val="28"/>
          <w:highlight w:val="white"/>
        </w:rPr>
        <w:t xml:space="preserve"> infecciosas</w:t>
      </w:r>
      <w:r w:rsidRPr="00C037A5">
        <w:rPr>
          <w:rFonts w:ascii="Times New Roman" w:hAnsi="Times New Roman" w:cs="Times New Roman"/>
          <w:sz w:val="28"/>
          <w:highlight w:val="white"/>
        </w:rPr>
        <w:t xml:space="preserve"> típicas do viajante em espaço europeu não deve ser esquecido nos diagnósticos diferenciais em utentes que recorrem aos nossos serviços de saúde.</w:t>
      </w:r>
    </w:p>
    <w:p w:rsidR="00383254" w:rsidRDefault="00383254">
      <w:pPr>
        <w:pStyle w:val="Normal1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037A5" w:rsidRDefault="00E86A11">
      <w:pPr>
        <w:pStyle w:val="Normal1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CONFLITO DE INTERESSES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83254" w:rsidRPr="00C037A5" w:rsidRDefault="00E86A11" w:rsidP="00C037A5">
      <w:pPr>
        <w:pStyle w:val="Normal1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037A5">
        <w:rPr>
          <w:rFonts w:ascii="Times New Roman" w:eastAsia="Times New Roman" w:hAnsi="Times New Roman" w:cs="Times New Roman"/>
          <w:sz w:val="28"/>
          <w:szCs w:val="24"/>
        </w:rPr>
        <w:t xml:space="preserve">Os autores declaram não ter nenhum conflito de interesses relativamente ao presente artigo. </w:t>
      </w:r>
    </w:p>
    <w:p w:rsidR="00383254" w:rsidRDefault="00383254">
      <w:pPr>
        <w:pStyle w:val="Normal1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83254" w:rsidRDefault="00E86A11">
      <w:pPr>
        <w:pStyle w:val="Normal1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FONTES DE FINANCIAMENTO</w:t>
      </w:r>
    </w:p>
    <w:p w:rsidR="00383254" w:rsidRPr="00C037A5" w:rsidRDefault="00E86A11" w:rsidP="00C037A5">
      <w:pPr>
        <w:pStyle w:val="Normal1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</w:rPr>
      </w:pPr>
      <w:bookmarkStart w:id="1" w:name="_uwbpdopdm6uw" w:colFirst="0" w:colLast="0"/>
      <w:bookmarkEnd w:id="1"/>
      <w:r w:rsidRPr="00C037A5">
        <w:rPr>
          <w:rFonts w:ascii="Times New Roman" w:eastAsia="Times New Roman" w:hAnsi="Times New Roman" w:cs="Times New Roman"/>
          <w:sz w:val="28"/>
          <w:szCs w:val="24"/>
        </w:rPr>
        <w:t>Os autores declaram não ter recebido qualquer financiamento por fonte externa, para a realização deste artigo.</w:t>
      </w:r>
    </w:p>
    <w:p w:rsidR="00383254" w:rsidRDefault="00383254">
      <w:pPr>
        <w:pStyle w:val="Normal1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gjdgxs" w:colFirst="0" w:colLast="0"/>
      <w:bookmarkEnd w:id="2"/>
    </w:p>
    <w:p w:rsidR="00383254" w:rsidRDefault="00383254">
      <w:pPr>
        <w:pStyle w:val="Normal1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83254" w:rsidRDefault="00884CDE">
      <w:pPr>
        <w:pStyle w:val="Normal1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BIBLIOGRAFIA</w:t>
      </w:r>
    </w:p>
    <w:p w:rsidR="00696F0C" w:rsidRPr="00696F0C" w:rsidRDefault="00696F0C" w:rsidP="00696F0C">
      <w:pPr>
        <w:pStyle w:val="Normal1"/>
        <w:numPr>
          <w:ilvl w:val="0"/>
          <w:numId w:val="3"/>
        </w:numPr>
        <w:spacing w:after="0" w:line="276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96F0C">
        <w:rPr>
          <w:rFonts w:ascii="Times New Roman" w:eastAsia="Times New Roman" w:hAnsi="Times New Roman" w:cs="Times New Roman"/>
          <w:sz w:val="24"/>
          <w:szCs w:val="24"/>
          <w:lang w:val="en-US"/>
        </w:rPr>
        <w:t>Koedel</w:t>
      </w:r>
      <w:proofErr w:type="spellEnd"/>
      <w:r w:rsidRPr="00696F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U, </w:t>
      </w:r>
      <w:proofErr w:type="spellStart"/>
      <w:r w:rsidRPr="00696F0C">
        <w:rPr>
          <w:rFonts w:ascii="Times New Roman" w:eastAsia="Times New Roman" w:hAnsi="Times New Roman" w:cs="Times New Roman"/>
          <w:sz w:val="24"/>
          <w:szCs w:val="24"/>
          <w:lang w:val="en-US"/>
        </w:rPr>
        <w:t>Fingerle</w:t>
      </w:r>
      <w:proofErr w:type="spellEnd"/>
      <w:r w:rsidRPr="00696F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V, Pfister HW. Lyme </w:t>
      </w:r>
      <w:proofErr w:type="spellStart"/>
      <w:r w:rsidRPr="00696F0C">
        <w:rPr>
          <w:rFonts w:ascii="Times New Roman" w:eastAsia="Times New Roman" w:hAnsi="Times New Roman" w:cs="Times New Roman"/>
          <w:sz w:val="24"/>
          <w:szCs w:val="24"/>
          <w:lang w:val="en-US"/>
        </w:rPr>
        <w:t>neuroborreliosis</w:t>
      </w:r>
      <w:proofErr w:type="spellEnd"/>
      <w:r w:rsidRPr="00696F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 epidemiology, diagnosis and management. </w:t>
      </w:r>
      <w:proofErr w:type="spellStart"/>
      <w:r w:rsidRPr="00696F0C">
        <w:rPr>
          <w:rFonts w:ascii="Times New Roman" w:eastAsia="Times New Roman" w:hAnsi="Times New Roman" w:cs="Times New Roman"/>
          <w:sz w:val="24"/>
          <w:szCs w:val="24"/>
        </w:rPr>
        <w:t>Nat</w:t>
      </w:r>
      <w:proofErr w:type="spellEnd"/>
      <w:r w:rsidRPr="00696F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6F0C">
        <w:rPr>
          <w:rFonts w:ascii="Times New Roman" w:eastAsia="Times New Roman" w:hAnsi="Times New Roman" w:cs="Times New Roman"/>
          <w:sz w:val="24"/>
          <w:szCs w:val="24"/>
        </w:rPr>
        <w:t>Rev</w:t>
      </w:r>
      <w:proofErr w:type="spellEnd"/>
      <w:r w:rsidRPr="00696F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6F0C">
        <w:rPr>
          <w:rFonts w:ascii="Times New Roman" w:eastAsia="Times New Roman" w:hAnsi="Times New Roman" w:cs="Times New Roman"/>
          <w:sz w:val="24"/>
          <w:szCs w:val="24"/>
        </w:rPr>
        <w:t>Neurol</w:t>
      </w:r>
      <w:proofErr w:type="spellEnd"/>
      <w:r w:rsidRPr="00696F0C">
        <w:rPr>
          <w:rFonts w:ascii="Times New Roman" w:eastAsia="Times New Roman" w:hAnsi="Times New Roman" w:cs="Times New Roman"/>
          <w:sz w:val="24"/>
          <w:szCs w:val="24"/>
        </w:rPr>
        <w:t>. 2015;11:446-56.</w:t>
      </w:r>
    </w:p>
    <w:p w:rsidR="00696F0C" w:rsidRPr="00077CB2" w:rsidRDefault="00696F0C" w:rsidP="00696F0C">
      <w:pPr>
        <w:pStyle w:val="Normal1"/>
        <w:numPr>
          <w:ilvl w:val="0"/>
          <w:numId w:val="3"/>
        </w:numPr>
        <w:spacing w:after="0" w:line="276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6F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Rizzoli A, </w:t>
      </w:r>
      <w:proofErr w:type="spellStart"/>
      <w:r w:rsidRPr="00696F0C">
        <w:rPr>
          <w:rFonts w:ascii="Times New Roman" w:eastAsia="Times New Roman" w:hAnsi="Times New Roman" w:cs="Times New Roman"/>
          <w:sz w:val="24"/>
          <w:szCs w:val="24"/>
          <w:lang w:val="en-US"/>
        </w:rPr>
        <w:t>Hauffe</w:t>
      </w:r>
      <w:proofErr w:type="spellEnd"/>
      <w:r w:rsidRPr="00696F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HC, Carpi G, </w:t>
      </w:r>
      <w:proofErr w:type="spellStart"/>
      <w:r w:rsidRPr="00696F0C">
        <w:rPr>
          <w:rFonts w:ascii="Times New Roman" w:eastAsia="Times New Roman" w:hAnsi="Times New Roman" w:cs="Times New Roman"/>
          <w:sz w:val="24"/>
          <w:szCs w:val="24"/>
          <w:lang w:val="en-US"/>
        </w:rPr>
        <w:t>Vourc’h</w:t>
      </w:r>
      <w:proofErr w:type="spellEnd"/>
      <w:r w:rsidRPr="00696F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GI, </w:t>
      </w:r>
      <w:proofErr w:type="spellStart"/>
      <w:r w:rsidRPr="00696F0C">
        <w:rPr>
          <w:rFonts w:ascii="Times New Roman" w:eastAsia="Times New Roman" w:hAnsi="Times New Roman" w:cs="Times New Roman"/>
          <w:sz w:val="24"/>
          <w:szCs w:val="24"/>
          <w:lang w:val="en-US"/>
        </w:rPr>
        <w:t>Neteler</w:t>
      </w:r>
      <w:proofErr w:type="spellEnd"/>
      <w:r w:rsidRPr="00696F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M, </w:t>
      </w:r>
      <w:proofErr w:type="spellStart"/>
      <w:r w:rsidRPr="00696F0C">
        <w:rPr>
          <w:rFonts w:ascii="Times New Roman" w:eastAsia="Times New Roman" w:hAnsi="Times New Roman" w:cs="Times New Roman"/>
          <w:sz w:val="24"/>
          <w:szCs w:val="24"/>
          <w:lang w:val="en-US"/>
        </w:rPr>
        <w:t>Rosà</w:t>
      </w:r>
      <w:proofErr w:type="spellEnd"/>
      <w:r w:rsidRPr="00696F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R. Lyme borreliosis in Europe. </w:t>
      </w:r>
      <w:r w:rsidRPr="00077CB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Euro </w:t>
      </w:r>
      <w:proofErr w:type="spellStart"/>
      <w:r w:rsidRPr="00077CB2">
        <w:rPr>
          <w:rFonts w:ascii="Times New Roman" w:eastAsia="Times New Roman" w:hAnsi="Times New Roman" w:cs="Times New Roman"/>
          <w:sz w:val="24"/>
          <w:szCs w:val="24"/>
          <w:lang w:val="en-US"/>
        </w:rPr>
        <w:t>Surveill</w:t>
      </w:r>
      <w:proofErr w:type="spellEnd"/>
      <w:r w:rsidRPr="00077CB2">
        <w:rPr>
          <w:rFonts w:ascii="Times New Roman" w:eastAsia="Times New Roman" w:hAnsi="Times New Roman" w:cs="Times New Roman"/>
          <w:sz w:val="24"/>
          <w:szCs w:val="24"/>
          <w:lang w:val="en-US"/>
        </w:rPr>
        <w:t>. 2011</w:t>
      </w:r>
      <w:proofErr w:type="gramStart"/>
      <w:r w:rsidRPr="00077CB2">
        <w:rPr>
          <w:rFonts w:ascii="Times New Roman" w:eastAsia="Times New Roman" w:hAnsi="Times New Roman" w:cs="Times New Roman"/>
          <w:sz w:val="24"/>
          <w:szCs w:val="24"/>
          <w:lang w:val="en-US"/>
        </w:rPr>
        <w:t>;16</w:t>
      </w:r>
      <w:proofErr w:type="gramEnd"/>
      <w:r w:rsidRPr="00077CB2">
        <w:rPr>
          <w:rFonts w:ascii="Times New Roman" w:eastAsia="Times New Roman" w:hAnsi="Times New Roman" w:cs="Times New Roman"/>
          <w:sz w:val="24"/>
          <w:szCs w:val="24"/>
          <w:lang w:val="en-US"/>
        </w:rPr>
        <w:t>(27):</w:t>
      </w:r>
      <w:proofErr w:type="spellStart"/>
      <w:r w:rsidRPr="00077CB2">
        <w:rPr>
          <w:rFonts w:ascii="Times New Roman" w:eastAsia="Times New Roman" w:hAnsi="Times New Roman" w:cs="Times New Roman"/>
          <w:sz w:val="24"/>
          <w:szCs w:val="24"/>
          <w:lang w:val="en-US"/>
        </w:rPr>
        <w:t>pii</w:t>
      </w:r>
      <w:proofErr w:type="spellEnd"/>
      <w:r w:rsidRPr="00077CB2">
        <w:rPr>
          <w:rFonts w:ascii="Times New Roman" w:eastAsia="Times New Roman" w:hAnsi="Times New Roman" w:cs="Times New Roman"/>
          <w:sz w:val="24"/>
          <w:szCs w:val="24"/>
          <w:lang w:val="en-US"/>
        </w:rPr>
        <w:t>=19906.</w:t>
      </w:r>
    </w:p>
    <w:p w:rsidR="00696F0C" w:rsidRPr="00696F0C" w:rsidRDefault="00696F0C" w:rsidP="00696F0C">
      <w:pPr>
        <w:pStyle w:val="Normal1"/>
        <w:numPr>
          <w:ilvl w:val="0"/>
          <w:numId w:val="3"/>
        </w:numPr>
        <w:spacing w:line="276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696F0C">
        <w:rPr>
          <w:rFonts w:ascii="Times New Roman" w:eastAsia="Times New Roman" w:hAnsi="Times New Roman" w:cs="Times New Roman"/>
          <w:sz w:val="24"/>
          <w:szCs w:val="24"/>
          <w:lang w:val="en-US"/>
        </w:rPr>
        <w:t>Halperin</w:t>
      </w:r>
      <w:proofErr w:type="spellEnd"/>
      <w:r w:rsidRPr="00696F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JJ. Nervous system Lyme </w:t>
      </w:r>
      <w:r w:rsidR="00077CB2" w:rsidRPr="00696F0C">
        <w:rPr>
          <w:rFonts w:ascii="Times New Roman" w:eastAsia="Times New Roman" w:hAnsi="Times New Roman" w:cs="Times New Roman"/>
          <w:sz w:val="24"/>
          <w:szCs w:val="24"/>
          <w:lang w:val="en-US"/>
        </w:rPr>
        <w:t>disease</w:t>
      </w:r>
      <w:r w:rsidRPr="00696F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696F0C">
        <w:rPr>
          <w:rFonts w:ascii="Times New Roman" w:eastAsia="Times New Roman" w:hAnsi="Times New Roman" w:cs="Times New Roman"/>
          <w:sz w:val="24"/>
          <w:szCs w:val="24"/>
          <w:lang w:val="en-US"/>
        </w:rPr>
        <w:t>Handb</w:t>
      </w:r>
      <w:proofErr w:type="spellEnd"/>
      <w:r w:rsidRPr="00696F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96F0C">
        <w:rPr>
          <w:rFonts w:ascii="Times New Roman" w:eastAsia="Times New Roman" w:hAnsi="Times New Roman" w:cs="Times New Roman"/>
          <w:sz w:val="24"/>
          <w:szCs w:val="24"/>
          <w:lang w:val="en-US"/>
        </w:rPr>
        <w:t>Clin</w:t>
      </w:r>
      <w:proofErr w:type="spellEnd"/>
      <w:r w:rsidRPr="00696F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Neurol. 2014</w:t>
      </w:r>
      <w:proofErr w:type="gramStart"/>
      <w:r w:rsidRPr="00696F0C">
        <w:rPr>
          <w:rFonts w:ascii="Times New Roman" w:eastAsia="Times New Roman" w:hAnsi="Times New Roman" w:cs="Times New Roman"/>
          <w:sz w:val="24"/>
          <w:szCs w:val="24"/>
          <w:lang w:val="en-US"/>
        </w:rPr>
        <w:t>;99:1473</w:t>
      </w:r>
      <w:proofErr w:type="gramEnd"/>
      <w:r w:rsidRPr="00696F0C"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  <w:r w:rsidRPr="00696F0C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83.</w:t>
      </w:r>
    </w:p>
    <w:p w:rsidR="00696F0C" w:rsidRPr="00696F0C" w:rsidRDefault="00696F0C" w:rsidP="00696F0C">
      <w:pPr>
        <w:pStyle w:val="Normal1"/>
        <w:numPr>
          <w:ilvl w:val="0"/>
          <w:numId w:val="3"/>
        </w:numPr>
        <w:spacing w:line="276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696F0C">
        <w:rPr>
          <w:rFonts w:ascii="Times New Roman" w:eastAsia="Times New Roman" w:hAnsi="Times New Roman" w:cs="Times New Roman"/>
          <w:sz w:val="24"/>
          <w:szCs w:val="24"/>
          <w:lang w:val="en-US"/>
        </w:rPr>
        <w:t>Reik</w:t>
      </w:r>
      <w:proofErr w:type="spellEnd"/>
      <w:r w:rsidRPr="00696F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L, </w:t>
      </w:r>
      <w:proofErr w:type="spellStart"/>
      <w:r w:rsidRPr="00696F0C">
        <w:rPr>
          <w:rFonts w:ascii="Times New Roman" w:eastAsia="Times New Roman" w:hAnsi="Times New Roman" w:cs="Times New Roman"/>
          <w:sz w:val="24"/>
          <w:szCs w:val="24"/>
          <w:lang w:val="en-US"/>
        </w:rPr>
        <w:t>Streere</w:t>
      </w:r>
      <w:proofErr w:type="spellEnd"/>
      <w:r w:rsidRPr="00696F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AC, </w:t>
      </w:r>
      <w:proofErr w:type="spellStart"/>
      <w:r w:rsidRPr="00696F0C">
        <w:rPr>
          <w:rFonts w:ascii="Times New Roman" w:eastAsia="Times New Roman" w:hAnsi="Times New Roman" w:cs="Times New Roman"/>
          <w:sz w:val="24"/>
          <w:szCs w:val="24"/>
          <w:lang w:val="en-US"/>
        </w:rPr>
        <w:t>Bartenhagen</w:t>
      </w:r>
      <w:proofErr w:type="spellEnd"/>
      <w:r w:rsidRPr="00696F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NH, </w:t>
      </w:r>
      <w:proofErr w:type="spellStart"/>
      <w:r w:rsidRPr="00696F0C">
        <w:rPr>
          <w:rFonts w:ascii="Times New Roman" w:eastAsia="Times New Roman" w:hAnsi="Times New Roman" w:cs="Times New Roman"/>
          <w:sz w:val="24"/>
          <w:szCs w:val="24"/>
          <w:lang w:val="en-US"/>
        </w:rPr>
        <w:t>Shope</w:t>
      </w:r>
      <w:proofErr w:type="spellEnd"/>
      <w:r w:rsidRPr="00696F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RE, </w:t>
      </w:r>
      <w:proofErr w:type="spellStart"/>
      <w:r w:rsidRPr="00696F0C">
        <w:rPr>
          <w:rFonts w:ascii="Times New Roman" w:eastAsia="Times New Roman" w:hAnsi="Times New Roman" w:cs="Times New Roman"/>
          <w:sz w:val="24"/>
          <w:szCs w:val="24"/>
          <w:lang w:val="en-US"/>
        </w:rPr>
        <w:t>Malawista</w:t>
      </w:r>
      <w:proofErr w:type="spellEnd"/>
      <w:r w:rsidRPr="00696F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SE. Neurologic abnormalities of Lyme disease. Medicine. 1979</w:t>
      </w:r>
      <w:proofErr w:type="gramStart"/>
      <w:r w:rsidRPr="00696F0C">
        <w:rPr>
          <w:rFonts w:ascii="Times New Roman" w:eastAsia="Times New Roman" w:hAnsi="Times New Roman" w:cs="Times New Roman"/>
          <w:sz w:val="24"/>
          <w:szCs w:val="24"/>
          <w:lang w:val="en-US"/>
        </w:rPr>
        <w:t>;58:281</w:t>
      </w:r>
      <w:proofErr w:type="gramEnd"/>
      <w:r w:rsidRPr="00696F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-94. </w:t>
      </w:r>
    </w:p>
    <w:p w:rsidR="00696F0C" w:rsidRPr="00696F0C" w:rsidRDefault="00696F0C" w:rsidP="00696F0C">
      <w:pPr>
        <w:pStyle w:val="Normal1"/>
        <w:numPr>
          <w:ilvl w:val="0"/>
          <w:numId w:val="3"/>
        </w:numPr>
        <w:spacing w:after="0" w:line="276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696F0C">
        <w:rPr>
          <w:rFonts w:ascii="Times New Roman" w:eastAsia="Times New Roman" w:hAnsi="Times New Roman" w:cs="Times New Roman"/>
          <w:sz w:val="24"/>
          <w:szCs w:val="24"/>
          <w:lang w:val="en-US"/>
        </w:rPr>
        <w:t>Mygland</w:t>
      </w:r>
      <w:proofErr w:type="spellEnd"/>
      <w:r w:rsidRPr="00696F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A, </w:t>
      </w:r>
      <w:proofErr w:type="spellStart"/>
      <w:r w:rsidRPr="00696F0C">
        <w:rPr>
          <w:rFonts w:ascii="Times New Roman" w:eastAsia="Times New Roman" w:hAnsi="Times New Roman" w:cs="Times New Roman"/>
          <w:sz w:val="24"/>
          <w:szCs w:val="24"/>
          <w:lang w:val="en-US"/>
        </w:rPr>
        <w:t>Ljøstad</w:t>
      </w:r>
      <w:proofErr w:type="spellEnd"/>
      <w:r w:rsidRPr="00696F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U, </w:t>
      </w:r>
      <w:proofErr w:type="spellStart"/>
      <w:r w:rsidRPr="00696F0C">
        <w:rPr>
          <w:rFonts w:ascii="Times New Roman" w:eastAsia="Times New Roman" w:hAnsi="Times New Roman" w:cs="Times New Roman"/>
          <w:sz w:val="24"/>
          <w:szCs w:val="24"/>
          <w:lang w:val="en-US"/>
        </w:rPr>
        <w:t>Fingerle</w:t>
      </w:r>
      <w:proofErr w:type="spellEnd"/>
      <w:r w:rsidRPr="00696F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V, </w:t>
      </w:r>
      <w:proofErr w:type="spellStart"/>
      <w:r w:rsidRPr="00696F0C">
        <w:rPr>
          <w:rFonts w:ascii="Times New Roman" w:eastAsia="Times New Roman" w:hAnsi="Times New Roman" w:cs="Times New Roman"/>
          <w:sz w:val="24"/>
          <w:szCs w:val="24"/>
          <w:lang w:val="en-US"/>
        </w:rPr>
        <w:t>Rupprecht</w:t>
      </w:r>
      <w:proofErr w:type="spellEnd"/>
      <w:r w:rsidRPr="00696F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T, </w:t>
      </w:r>
      <w:proofErr w:type="spellStart"/>
      <w:r w:rsidRPr="00696F0C">
        <w:rPr>
          <w:rFonts w:ascii="Times New Roman" w:eastAsia="Times New Roman" w:hAnsi="Times New Roman" w:cs="Times New Roman"/>
          <w:sz w:val="24"/>
          <w:szCs w:val="24"/>
          <w:lang w:val="en-US"/>
        </w:rPr>
        <w:t>Schmutzhard</w:t>
      </w:r>
      <w:proofErr w:type="spellEnd"/>
      <w:r w:rsidRPr="00696F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E, Steiner I, et al. EFNS guidelines on the diagnosis and management of European Lyme </w:t>
      </w:r>
      <w:proofErr w:type="spellStart"/>
      <w:r w:rsidRPr="00696F0C">
        <w:rPr>
          <w:rFonts w:ascii="Times New Roman" w:eastAsia="Times New Roman" w:hAnsi="Times New Roman" w:cs="Times New Roman"/>
          <w:sz w:val="24"/>
          <w:szCs w:val="24"/>
          <w:lang w:val="en-US"/>
        </w:rPr>
        <w:t>neuroborreliosis</w:t>
      </w:r>
      <w:proofErr w:type="spellEnd"/>
      <w:r w:rsidRPr="00696F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696F0C">
        <w:rPr>
          <w:rFonts w:ascii="Times New Roman" w:eastAsia="Times New Roman" w:hAnsi="Times New Roman" w:cs="Times New Roman"/>
          <w:sz w:val="24"/>
          <w:szCs w:val="24"/>
          <w:lang w:val="en-US"/>
        </w:rPr>
        <w:t>Eur</w:t>
      </w:r>
      <w:proofErr w:type="spellEnd"/>
      <w:r w:rsidRPr="00696F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J Neurol. 2010</w:t>
      </w:r>
      <w:proofErr w:type="gramStart"/>
      <w:r w:rsidRPr="00696F0C">
        <w:rPr>
          <w:rFonts w:ascii="Times New Roman" w:eastAsia="Times New Roman" w:hAnsi="Times New Roman" w:cs="Times New Roman"/>
          <w:sz w:val="24"/>
          <w:szCs w:val="24"/>
          <w:lang w:val="en-US"/>
        </w:rPr>
        <w:t>;17:8</w:t>
      </w:r>
      <w:proofErr w:type="gramEnd"/>
      <w:r w:rsidRPr="00696F0C">
        <w:rPr>
          <w:rFonts w:ascii="Times New Roman" w:eastAsia="Times New Roman" w:hAnsi="Times New Roman" w:cs="Times New Roman"/>
          <w:sz w:val="24"/>
          <w:szCs w:val="24"/>
          <w:lang w:val="en-US"/>
        </w:rPr>
        <w:t>-16.</w:t>
      </w:r>
    </w:p>
    <w:p w:rsidR="00696F0C" w:rsidRPr="00696F0C" w:rsidRDefault="00696F0C" w:rsidP="00696F0C">
      <w:pPr>
        <w:pStyle w:val="Normal1"/>
        <w:numPr>
          <w:ilvl w:val="0"/>
          <w:numId w:val="3"/>
        </w:numPr>
        <w:spacing w:line="276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96F0C">
        <w:rPr>
          <w:rFonts w:ascii="Times New Roman" w:eastAsia="Times New Roman" w:hAnsi="Times New Roman" w:cs="Times New Roman"/>
          <w:sz w:val="24"/>
          <w:szCs w:val="24"/>
          <w:lang w:val="en-US"/>
        </w:rPr>
        <w:t>Wormser</w:t>
      </w:r>
      <w:proofErr w:type="spellEnd"/>
      <w:r w:rsidRPr="00696F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et al. The Clinical Assessment, Treatment, and Prevention of Lyme </w:t>
      </w:r>
      <w:proofErr w:type="gramStart"/>
      <w:r w:rsidRPr="00696F0C">
        <w:rPr>
          <w:rFonts w:ascii="Times New Roman" w:eastAsia="Times New Roman" w:hAnsi="Times New Roman" w:cs="Times New Roman"/>
          <w:sz w:val="24"/>
          <w:szCs w:val="24"/>
          <w:lang w:val="en-US"/>
        </w:rPr>
        <w:t>Disease</w:t>
      </w:r>
      <w:proofErr w:type="gramEnd"/>
      <w:r w:rsidRPr="00696F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Human Granulocytic Anaplasmosis, and Babesiosis: Clinical Practice Guidelines by the Infectious Diseases Society of America. </w:t>
      </w:r>
      <w:r w:rsidRPr="00696F0C">
        <w:rPr>
          <w:rFonts w:ascii="Times New Roman" w:eastAsia="Times New Roman" w:hAnsi="Times New Roman" w:cs="Times New Roman"/>
          <w:sz w:val="24"/>
          <w:szCs w:val="24"/>
        </w:rPr>
        <w:t xml:space="preserve">IDSA </w:t>
      </w:r>
      <w:proofErr w:type="spellStart"/>
      <w:r w:rsidRPr="00696F0C">
        <w:rPr>
          <w:rFonts w:ascii="Times New Roman" w:eastAsia="Times New Roman" w:hAnsi="Times New Roman" w:cs="Times New Roman"/>
          <w:sz w:val="24"/>
          <w:szCs w:val="24"/>
        </w:rPr>
        <w:t>Guidelines</w:t>
      </w:r>
      <w:proofErr w:type="spellEnd"/>
      <w:r w:rsidRPr="00696F0C">
        <w:rPr>
          <w:rFonts w:ascii="Times New Roman" w:eastAsia="Times New Roman" w:hAnsi="Times New Roman" w:cs="Times New Roman"/>
          <w:sz w:val="24"/>
          <w:szCs w:val="24"/>
        </w:rPr>
        <w:t>. CID 2006:43</w:t>
      </w:r>
    </w:p>
    <w:p w:rsidR="00696F0C" w:rsidRPr="00696F0C" w:rsidRDefault="00696F0C" w:rsidP="00696F0C">
      <w:pPr>
        <w:pStyle w:val="Normal1"/>
        <w:numPr>
          <w:ilvl w:val="0"/>
          <w:numId w:val="3"/>
        </w:numPr>
        <w:spacing w:line="276" w:lineRule="auto"/>
        <w:ind w:hanging="360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val="en-US"/>
        </w:rPr>
      </w:pPr>
      <w:proofErr w:type="spellStart"/>
      <w:r w:rsidRPr="00696F0C">
        <w:rPr>
          <w:rFonts w:ascii="Times New Roman" w:eastAsia="Times New Roman" w:hAnsi="Times New Roman" w:cs="Times New Roman"/>
          <w:color w:val="111111"/>
          <w:sz w:val="24"/>
          <w:szCs w:val="24"/>
          <w:lang w:val="en-US"/>
        </w:rPr>
        <w:t>Logar</w:t>
      </w:r>
      <w:proofErr w:type="spellEnd"/>
      <w:r w:rsidRPr="00696F0C">
        <w:rPr>
          <w:rFonts w:ascii="Times New Roman" w:eastAsia="Times New Roman" w:hAnsi="Times New Roman" w:cs="Times New Roman"/>
          <w:color w:val="111111"/>
          <w:sz w:val="24"/>
          <w:szCs w:val="24"/>
          <w:lang w:val="en-US"/>
        </w:rPr>
        <w:t xml:space="preserve"> M, </w:t>
      </w:r>
      <w:proofErr w:type="spellStart"/>
      <w:r w:rsidRPr="00696F0C">
        <w:rPr>
          <w:rFonts w:ascii="Times New Roman" w:eastAsia="Times New Roman" w:hAnsi="Times New Roman" w:cs="Times New Roman"/>
          <w:color w:val="111111"/>
          <w:sz w:val="24"/>
          <w:szCs w:val="24"/>
          <w:lang w:val="en-US"/>
        </w:rPr>
        <w:t>Ruzić-Sabljić</w:t>
      </w:r>
      <w:proofErr w:type="spellEnd"/>
      <w:r w:rsidRPr="00696F0C">
        <w:rPr>
          <w:rFonts w:ascii="Times New Roman" w:eastAsia="Times New Roman" w:hAnsi="Times New Roman" w:cs="Times New Roman"/>
          <w:color w:val="111111"/>
          <w:sz w:val="24"/>
          <w:szCs w:val="24"/>
          <w:lang w:val="en-US"/>
        </w:rPr>
        <w:t xml:space="preserve"> E, </w:t>
      </w:r>
      <w:proofErr w:type="spellStart"/>
      <w:r w:rsidRPr="00696F0C">
        <w:rPr>
          <w:rFonts w:ascii="Times New Roman" w:eastAsia="Times New Roman" w:hAnsi="Times New Roman" w:cs="Times New Roman"/>
          <w:color w:val="111111"/>
          <w:sz w:val="24"/>
          <w:szCs w:val="24"/>
          <w:lang w:val="en-US"/>
        </w:rPr>
        <w:t>Maraspin</w:t>
      </w:r>
      <w:proofErr w:type="spellEnd"/>
      <w:r w:rsidRPr="00696F0C">
        <w:rPr>
          <w:rFonts w:ascii="Times New Roman" w:eastAsia="Times New Roman" w:hAnsi="Times New Roman" w:cs="Times New Roman"/>
          <w:color w:val="111111"/>
          <w:sz w:val="24"/>
          <w:szCs w:val="24"/>
          <w:lang w:val="en-US"/>
        </w:rPr>
        <w:t xml:space="preserve"> V, </w:t>
      </w:r>
      <w:proofErr w:type="spellStart"/>
      <w:r w:rsidRPr="00696F0C">
        <w:rPr>
          <w:rFonts w:ascii="Times New Roman" w:eastAsia="Times New Roman" w:hAnsi="Times New Roman" w:cs="Times New Roman"/>
          <w:color w:val="111111"/>
          <w:sz w:val="24"/>
          <w:szCs w:val="24"/>
          <w:lang w:val="en-US"/>
        </w:rPr>
        <w:t>Lotric-Furlan</w:t>
      </w:r>
      <w:proofErr w:type="spellEnd"/>
      <w:r w:rsidRPr="00696F0C">
        <w:rPr>
          <w:rFonts w:ascii="Times New Roman" w:eastAsia="Times New Roman" w:hAnsi="Times New Roman" w:cs="Times New Roman"/>
          <w:color w:val="111111"/>
          <w:sz w:val="24"/>
          <w:szCs w:val="24"/>
          <w:lang w:val="en-US"/>
        </w:rPr>
        <w:t xml:space="preserve"> S, </w:t>
      </w:r>
      <w:proofErr w:type="spellStart"/>
      <w:r w:rsidRPr="00696F0C">
        <w:rPr>
          <w:rFonts w:ascii="Times New Roman" w:eastAsia="Times New Roman" w:hAnsi="Times New Roman" w:cs="Times New Roman"/>
          <w:color w:val="111111"/>
          <w:sz w:val="24"/>
          <w:szCs w:val="24"/>
          <w:lang w:val="en-US"/>
        </w:rPr>
        <w:t>Cimperman</w:t>
      </w:r>
      <w:proofErr w:type="spellEnd"/>
      <w:r w:rsidRPr="00696F0C">
        <w:rPr>
          <w:rFonts w:ascii="Times New Roman" w:eastAsia="Times New Roman" w:hAnsi="Times New Roman" w:cs="Times New Roman"/>
          <w:color w:val="111111"/>
          <w:sz w:val="24"/>
          <w:szCs w:val="24"/>
          <w:lang w:val="en-US"/>
        </w:rPr>
        <w:t xml:space="preserve"> J, </w:t>
      </w:r>
      <w:proofErr w:type="spellStart"/>
      <w:r w:rsidRPr="00696F0C">
        <w:rPr>
          <w:rFonts w:ascii="Times New Roman" w:eastAsia="Times New Roman" w:hAnsi="Times New Roman" w:cs="Times New Roman"/>
          <w:color w:val="111111"/>
          <w:sz w:val="24"/>
          <w:szCs w:val="24"/>
          <w:lang w:val="en-US"/>
        </w:rPr>
        <w:t>Jurca</w:t>
      </w:r>
      <w:proofErr w:type="spellEnd"/>
      <w:r w:rsidRPr="00696F0C">
        <w:rPr>
          <w:rFonts w:ascii="Times New Roman" w:eastAsia="Times New Roman" w:hAnsi="Times New Roman" w:cs="Times New Roman"/>
          <w:color w:val="111111"/>
          <w:sz w:val="24"/>
          <w:szCs w:val="24"/>
          <w:lang w:val="en-US"/>
        </w:rPr>
        <w:t xml:space="preserve"> T, et al. Comparison of erythema </w:t>
      </w:r>
      <w:proofErr w:type="spellStart"/>
      <w:r w:rsidRPr="00696F0C">
        <w:rPr>
          <w:rFonts w:ascii="Times New Roman" w:eastAsia="Times New Roman" w:hAnsi="Times New Roman" w:cs="Times New Roman"/>
          <w:color w:val="111111"/>
          <w:sz w:val="24"/>
          <w:szCs w:val="24"/>
          <w:lang w:val="en-US"/>
        </w:rPr>
        <w:t>migrans</w:t>
      </w:r>
      <w:proofErr w:type="spellEnd"/>
      <w:r w:rsidRPr="00696F0C">
        <w:rPr>
          <w:rFonts w:ascii="Times New Roman" w:eastAsia="Times New Roman" w:hAnsi="Times New Roman" w:cs="Times New Roman"/>
          <w:color w:val="111111"/>
          <w:sz w:val="24"/>
          <w:szCs w:val="24"/>
          <w:lang w:val="en-US"/>
        </w:rPr>
        <w:t xml:space="preserve"> caused by </w:t>
      </w:r>
      <w:proofErr w:type="spellStart"/>
      <w:r w:rsidRPr="00696F0C">
        <w:rPr>
          <w:rFonts w:ascii="Times New Roman" w:eastAsia="Times New Roman" w:hAnsi="Times New Roman" w:cs="Times New Roman"/>
          <w:color w:val="111111"/>
          <w:sz w:val="24"/>
          <w:szCs w:val="24"/>
          <w:lang w:val="en-US"/>
        </w:rPr>
        <w:t>Borrelia</w:t>
      </w:r>
      <w:proofErr w:type="spellEnd"/>
      <w:r w:rsidRPr="00696F0C">
        <w:rPr>
          <w:rFonts w:ascii="Times New Roman" w:eastAsia="Times New Roman" w:hAnsi="Times New Roman" w:cs="Times New Roman"/>
          <w:color w:val="111111"/>
          <w:sz w:val="24"/>
          <w:szCs w:val="24"/>
          <w:lang w:val="en-US"/>
        </w:rPr>
        <w:t xml:space="preserve"> </w:t>
      </w:r>
      <w:proofErr w:type="spellStart"/>
      <w:r w:rsidRPr="00696F0C">
        <w:rPr>
          <w:rFonts w:ascii="Times New Roman" w:eastAsia="Times New Roman" w:hAnsi="Times New Roman" w:cs="Times New Roman"/>
          <w:color w:val="111111"/>
          <w:sz w:val="24"/>
          <w:szCs w:val="24"/>
          <w:lang w:val="en-US"/>
        </w:rPr>
        <w:t>afzelii</w:t>
      </w:r>
      <w:proofErr w:type="spellEnd"/>
      <w:r w:rsidRPr="00696F0C">
        <w:rPr>
          <w:rFonts w:ascii="Times New Roman" w:eastAsia="Times New Roman" w:hAnsi="Times New Roman" w:cs="Times New Roman"/>
          <w:color w:val="111111"/>
          <w:sz w:val="24"/>
          <w:szCs w:val="24"/>
          <w:lang w:val="en-US"/>
        </w:rPr>
        <w:t xml:space="preserve"> and </w:t>
      </w:r>
      <w:proofErr w:type="spellStart"/>
      <w:r w:rsidRPr="00696F0C">
        <w:rPr>
          <w:rFonts w:ascii="Times New Roman" w:eastAsia="Times New Roman" w:hAnsi="Times New Roman" w:cs="Times New Roman"/>
          <w:color w:val="111111"/>
          <w:sz w:val="24"/>
          <w:szCs w:val="24"/>
          <w:lang w:val="en-US"/>
        </w:rPr>
        <w:t>Borrelia</w:t>
      </w:r>
      <w:proofErr w:type="spellEnd"/>
      <w:r w:rsidRPr="00696F0C">
        <w:rPr>
          <w:rFonts w:ascii="Times New Roman" w:eastAsia="Times New Roman" w:hAnsi="Times New Roman" w:cs="Times New Roman"/>
          <w:color w:val="111111"/>
          <w:sz w:val="24"/>
          <w:szCs w:val="24"/>
          <w:lang w:val="en-US"/>
        </w:rPr>
        <w:t xml:space="preserve"> </w:t>
      </w:r>
      <w:proofErr w:type="spellStart"/>
      <w:r w:rsidRPr="00696F0C">
        <w:rPr>
          <w:rFonts w:ascii="Times New Roman" w:eastAsia="Times New Roman" w:hAnsi="Times New Roman" w:cs="Times New Roman"/>
          <w:color w:val="111111"/>
          <w:sz w:val="24"/>
          <w:szCs w:val="24"/>
          <w:lang w:val="en-US"/>
        </w:rPr>
        <w:t>garinii</w:t>
      </w:r>
      <w:proofErr w:type="spellEnd"/>
      <w:r w:rsidRPr="00696F0C">
        <w:rPr>
          <w:rFonts w:ascii="Times New Roman" w:eastAsia="Times New Roman" w:hAnsi="Times New Roman" w:cs="Times New Roman"/>
          <w:color w:val="111111"/>
          <w:sz w:val="24"/>
          <w:szCs w:val="24"/>
          <w:lang w:val="en-US"/>
        </w:rPr>
        <w:t>. Infection. 2004 Feb;32(1):15–9</w:t>
      </w:r>
    </w:p>
    <w:p w:rsidR="00696F0C" w:rsidRPr="00696F0C" w:rsidRDefault="00696F0C" w:rsidP="00696F0C">
      <w:pPr>
        <w:pStyle w:val="Normal1"/>
        <w:numPr>
          <w:ilvl w:val="0"/>
          <w:numId w:val="3"/>
        </w:numPr>
        <w:spacing w:after="0" w:line="276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696F0C">
        <w:rPr>
          <w:rFonts w:ascii="Times New Roman" w:eastAsia="Times New Roman" w:hAnsi="Times New Roman" w:cs="Times New Roman"/>
          <w:sz w:val="24"/>
          <w:szCs w:val="24"/>
          <w:lang w:val="en-US"/>
        </w:rPr>
        <w:t>Ljøstad</w:t>
      </w:r>
      <w:proofErr w:type="spellEnd"/>
      <w:r w:rsidRPr="00696F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U, </w:t>
      </w:r>
      <w:proofErr w:type="spellStart"/>
      <w:r w:rsidRPr="00696F0C">
        <w:rPr>
          <w:rFonts w:ascii="Times New Roman" w:eastAsia="Times New Roman" w:hAnsi="Times New Roman" w:cs="Times New Roman"/>
          <w:sz w:val="24"/>
          <w:szCs w:val="24"/>
          <w:lang w:val="en-US"/>
        </w:rPr>
        <w:t>Skigvoll</w:t>
      </w:r>
      <w:proofErr w:type="spellEnd"/>
      <w:r w:rsidRPr="00696F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E, </w:t>
      </w:r>
      <w:proofErr w:type="spellStart"/>
      <w:r w:rsidRPr="00696F0C">
        <w:rPr>
          <w:rFonts w:ascii="Times New Roman" w:eastAsia="Times New Roman" w:hAnsi="Times New Roman" w:cs="Times New Roman"/>
          <w:sz w:val="24"/>
          <w:szCs w:val="24"/>
          <w:lang w:val="en-US"/>
        </w:rPr>
        <w:t>Eikeland</w:t>
      </w:r>
      <w:proofErr w:type="spellEnd"/>
      <w:r w:rsidRPr="00696F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R, Midgard R, </w:t>
      </w:r>
      <w:proofErr w:type="spellStart"/>
      <w:r w:rsidRPr="00696F0C">
        <w:rPr>
          <w:rFonts w:ascii="Times New Roman" w:eastAsia="Times New Roman" w:hAnsi="Times New Roman" w:cs="Times New Roman"/>
          <w:sz w:val="24"/>
          <w:szCs w:val="24"/>
          <w:lang w:val="en-US"/>
        </w:rPr>
        <w:t>Skarpaas</w:t>
      </w:r>
      <w:proofErr w:type="spellEnd"/>
      <w:r w:rsidRPr="00696F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T, Berg A, et al. Oral doxycycline versus intravenous ceftriaxone for European Lyme </w:t>
      </w:r>
      <w:proofErr w:type="spellStart"/>
      <w:r w:rsidRPr="00696F0C">
        <w:rPr>
          <w:rFonts w:ascii="Times New Roman" w:eastAsia="Times New Roman" w:hAnsi="Times New Roman" w:cs="Times New Roman"/>
          <w:sz w:val="24"/>
          <w:szCs w:val="24"/>
          <w:lang w:val="en-US"/>
        </w:rPr>
        <w:t>neuroborreliosis</w:t>
      </w:r>
      <w:proofErr w:type="spellEnd"/>
      <w:r w:rsidRPr="00696F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; a </w:t>
      </w:r>
      <w:proofErr w:type="spellStart"/>
      <w:r w:rsidRPr="00696F0C">
        <w:rPr>
          <w:rFonts w:ascii="Times New Roman" w:eastAsia="Times New Roman" w:hAnsi="Times New Roman" w:cs="Times New Roman"/>
          <w:sz w:val="24"/>
          <w:szCs w:val="24"/>
          <w:lang w:val="en-US"/>
        </w:rPr>
        <w:t>multicentre</w:t>
      </w:r>
      <w:proofErr w:type="spellEnd"/>
      <w:r w:rsidRPr="00696F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non-inferiority, double-blind, </w:t>
      </w:r>
      <w:proofErr w:type="spellStart"/>
      <w:r w:rsidRPr="00696F0C">
        <w:rPr>
          <w:rFonts w:ascii="Times New Roman" w:eastAsia="Times New Roman" w:hAnsi="Times New Roman" w:cs="Times New Roman"/>
          <w:sz w:val="24"/>
          <w:szCs w:val="24"/>
          <w:lang w:val="en-US"/>
        </w:rPr>
        <w:t>randomised</w:t>
      </w:r>
      <w:proofErr w:type="spellEnd"/>
      <w:r w:rsidRPr="00696F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trial. </w:t>
      </w:r>
      <w:r w:rsidR="00C96508">
        <w:rPr>
          <w:rFonts w:ascii="Times New Roman" w:eastAsia="Times New Roman" w:hAnsi="Times New Roman" w:cs="Times New Roman"/>
          <w:sz w:val="24"/>
          <w:szCs w:val="24"/>
          <w:lang w:val="en-US"/>
        </w:rPr>
        <w:t>Lancet Neurol. 2008</w:t>
      </w:r>
      <w:proofErr w:type="gramStart"/>
      <w:r w:rsidR="00C96508">
        <w:rPr>
          <w:rFonts w:ascii="Times New Roman" w:eastAsia="Times New Roman" w:hAnsi="Times New Roman" w:cs="Times New Roman"/>
          <w:sz w:val="24"/>
          <w:szCs w:val="24"/>
          <w:lang w:val="en-US"/>
        </w:rPr>
        <w:t>;7:690</w:t>
      </w:r>
      <w:r w:rsidRPr="00696F0C">
        <w:rPr>
          <w:rFonts w:ascii="Times New Roman" w:eastAsia="Times New Roman" w:hAnsi="Times New Roman" w:cs="Times New Roman"/>
          <w:sz w:val="24"/>
          <w:szCs w:val="24"/>
          <w:lang w:val="en-US"/>
        </w:rPr>
        <w:t>5</w:t>
      </w:r>
      <w:proofErr w:type="gramEnd"/>
      <w:r w:rsidRPr="00696F0C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696F0C" w:rsidRPr="00696F0C" w:rsidRDefault="00696F0C" w:rsidP="00696F0C">
      <w:pPr>
        <w:pStyle w:val="Normal1"/>
        <w:numPr>
          <w:ilvl w:val="0"/>
          <w:numId w:val="3"/>
        </w:numPr>
        <w:spacing w:line="276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6F0C">
        <w:rPr>
          <w:rFonts w:ascii="Times New Roman" w:eastAsia="Times New Roman" w:hAnsi="Times New Roman" w:cs="Times New Roman"/>
          <w:sz w:val="24"/>
          <w:szCs w:val="24"/>
          <w:lang w:val="en-US"/>
        </w:rPr>
        <w:t>Nemeth, J., et al</w:t>
      </w:r>
      <w:r w:rsidRPr="00077CB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., </w:t>
      </w:r>
      <w:r w:rsidRPr="00077CB2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Update of the Swiss guidelines on post-treatment Lyme disease syndrome</w:t>
      </w:r>
      <w:r w:rsidRPr="00696F0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.</w:t>
      </w:r>
      <w:r w:rsidRPr="00696F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96F0C">
        <w:rPr>
          <w:rFonts w:ascii="Times New Roman" w:eastAsia="Times New Roman" w:hAnsi="Times New Roman" w:cs="Times New Roman"/>
          <w:sz w:val="24"/>
          <w:szCs w:val="24"/>
        </w:rPr>
        <w:t>Swiss</w:t>
      </w:r>
      <w:proofErr w:type="spellEnd"/>
      <w:r w:rsidRPr="00696F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6F0C">
        <w:rPr>
          <w:rFonts w:ascii="Times New Roman" w:eastAsia="Times New Roman" w:hAnsi="Times New Roman" w:cs="Times New Roman"/>
          <w:sz w:val="24"/>
          <w:szCs w:val="24"/>
        </w:rPr>
        <w:t>Med</w:t>
      </w:r>
      <w:proofErr w:type="spellEnd"/>
      <w:r w:rsidRPr="00696F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6F0C">
        <w:rPr>
          <w:rFonts w:ascii="Times New Roman" w:eastAsia="Times New Roman" w:hAnsi="Times New Roman" w:cs="Times New Roman"/>
          <w:sz w:val="24"/>
          <w:szCs w:val="24"/>
        </w:rPr>
        <w:t>Wkly</w:t>
      </w:r>
      <w:proofErr w:type="spellEnd"/>
      <w:r w:rsidRPr="00696F0C">
        <w:rPr>
          <w:rFonts w:ascii="Times New Roman" w:eastAsia="Times New Roman" w:hAnsi="Times New Roman" w:cs="Times New Roman"/>
          <w:sz w:val="24"/>
          <w:szCs w:val="24"/>
        </w:rPr>
        <w:t xml:space="preserve">, 2016. </w:t>
      </w:r>
      <w:r w:rsidRPr="00696F0C">
        <w:rPr>
          <w:rFonts w:ascii="Times New Roman" w:eastAsia="Times New Roman" w:hAnsi="Times New Roman" w:cs="Times New Roman"/>
          <w:bCs/>
          <w:sz w:val="24"/>
          <w:szCs w:val="24"/>
        </w:rPr>
        <w:t>146</w:t>
      </w:r>
      <w:r w:rsidRPr="00696F0C">
        <w:rPr>
          <w:rFonts w:ascii="Times New Roman" w:eastAsia="Times New Roman" w:hAnsi="Times New Roman" w:cs="Times New Roman"/>
          <w:sz w:val="24"/>
          <w:szCs w:val="24"/>
        </w:rPr>
        <w:t>: p. w14353.</w:t>
      </w:r>
    </w:p>
    <w:p w:rsidR="00696F0C" w:rsidRPr="00696F0C" w:rsidRDefault="00696F0C" w:rsidP="00696F0C">
      <w:pPr>
        <w:pStyle w:val="Normal1"/>
        <w:numPr>
          <w:ilvl w:val="0"/>
          <w:numId w:val="3"/>
        </w:numPr>
        <w:spacing w:line="276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6F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Fallon BA, </w:t>
      </w:r>
      <w:proofErr w:type="spellStart"/>
      <w:r w:rsidRPr="00696F0C">
        <w:rPr>
          <w:rFonts w:ascii="Times New Roman" w:eastAsia="Times New Roman" w:hAnsi="Times New Roman" w:cs="Times New Roman"/>
          <w:sz w:val="24"/>
          <w:szCs w:val="24"/>
          <w:lang w:val="en-US"/>
        </w:rPr>
        <w:t>Keilp</w:t>
      </w:r>
      <w:proofErr w:type="spellEnd"/>
      <w:r w:rsidRPr="00696F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JG, </w:t>
      </w:r>
      <w:proofErr w:type="spellStart"/>
      <w:r w:rsidRPr="00696F0C">
        <w:rPr>
          <w:rFonts w:ascii="Times New Roman" w:eastAsia="Times New Roman" w:hAnsi="Times New Roman" w:cs="Times New Roman"/>
          <w:sz w:val="24"/>
          <w:szCs w:val="24"/>
          <w:lang w:val="en-US"/>
        </w:rPr>
        <w:t>Corbera</w:t>
      </w:r>
      <w:proofErr w:type="spellEnd"/>
      <w:r w:rsidRPr="00696F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KM, et al. A randomized placebo-controlled trial of repeated IV antibiotic therapy for Lyme encephalopathy. </w:t>
      </w:r>
      <w:proofErr w:type="spellStart"/>
      <w:r w:rsidRPr="00696F0C">
        <w:rPr>
          <w:rFonts w:ascii="Times New Roman" w:eastAsia="Times New Roman" w:hAnsi="Times New Roman" w:cs="Times New Roman"/>
          <w:sz w:val="24"/>
          <w:szCs w:val="24"/>
        </w:rPr>
        <w:t>Neurology</w:t>
      </w:r>
      <w:proofErr w:type="spellEnd"/>
      <w:r w:rsidRPr="00696F0C">
        <w:rPr>
          <w:rFonts w:ascii="Times New Roman" w:eastAsia="Times New Roman" w:hAnsi="Times New Roman" w:cs="Times New Roman"/>
          <w:sz w:val="24"/>
          <w:szCs w:val="24"/>
        </w:rPr>
        <w:t xml:space="preserve"> 2008; 70: 992–</w:t>
      </w:r>
      <w:proofErr w:type="gramStart"/>
      <w:r w:rsidRPr="00696F0C">
        <w:rPr>
          <w:rFonts w:ascii="Times New Roman" w:eastAsia="Times New Roman" w:hAnsi="Times New Roman" w:cs="Times New Roman"/>
          <w:sz w:val="24"/>
          <w:szCs w:val="24"/>
        </w:rPr>
        <w:t>1003.</w:t>
      </w:r>
      <w:proofErr w:type="gramEnd"/>
    </w:p>
    <w:p w:rsidR="00696F0C" w:rsidRPr="00696F0C" w:rsidRDefault="00696F0C" w:rsidP="00696F0C">
      <w:pPr>
        <w:pStyle w:val="Normal1"/>
        <w:numPr>
          <w:ilvl w:val="0"/>
          <w:numId w:val="3"/>
        </w:numPr>
        <w:spacing w:line="276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6F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Krupp LB, Hyman LG, </w:t>
      </w:r>
      <w:proofErr w:type="spellStart"/>
      <w:r w:rsidRPr="00696F0C">
        <w:rPr>
          <w:rFonts w:ascii="Times New Roman" w:eastAsia="Times New Roman" w:hAnsi="Times New Roman" w:cs="Times New Roman"/>
          <w:sz w:val="24"/>
          <w:szCs w:val="24"/>
          <w:lang w:val="en-US"/>
        </w:rPr>
        <w:t>Grimson</w:t>
      </w:r>
      <w:proofErr w:type="spellEnd"/>
      <w:r w:rsidRPr="00696F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R, et al. Study and treatment of post Lyme disease (STOP-LD): a randomized double masked clinical trial. Neurology 2003; 60: 1923–1930</w:t>
      </w:r>
    </w:p>
    <w:p w:rsidR="003B5D75" w:rsidRPr="00696F0C" w:rsidRDefault="003B5D75" w:rsidP="00696F0C">
      <w:pPr>
        <w:pStyle w:val="Normal1"/>
        <w:spacing w:after="0" w:line="276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sectPr w:rsidR="003B5D75" w:rsidRPr="00696F0C" w:rsidSect="00383254">
      <w:pgSz w:w="11906" w:h="16838"/>
      <w:pgMar w:top="1417" w:right="1701" w:bottom="1417" w:left="1701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E06AB4"/>
    <w:multiLevelType w:val="multilevel"/>
    <w:tmpl w:val="A57058CE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" w15:restartNumberingAfterBreak="0">
    <w:nsid w:val="65D32E82"/>
    <w:multiLevelType w:val="multilevel"/>
    <w:tmpl w:val="DD769660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" w15:restartNumberingAfterBreak="0">
    <w:nsid w:val="735C5C36"/>
    <w:multiLevelType w:val="multilevel"/>
    <w:tmpl w:val="6B0E92CA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383254"/>
    <w:rsid w:val="00003F14"/>
    <w:rsid w:val="00023400"/>
    <w:rsid w:val="00065075"/>
    <w:rsid w:val="00077CB2"/>
    <w:rsid w:val="00085928"/>
    <w:rsid w:val="000F7920"/>
    <w:rsid w:val="00117661"/>
    <w:rsid w:val="00156AE9"/>
    <w:rsid w:val="00157FD6"/>
    <w:rsid w:val="00173E55"/>
    <w:rsid w:val="0019182C"/>
    <w:rsid w:val="001A2178"/>
    <w:rsid w:val="00217787"/>
    <w:rsid w:val="002A7E90"/>
    <w:rsid w:val="002B25F4"/>
    <w:rsid w:val="002E7DE1"/>
    <w:rsid w:val="003355CD"/>
    <w:rsid w:val="00345831"/>
    <w:rsid w:val="003552CD"/>
    <w:rsid w:val="00370BEB"/>
    <w:rsid w:val="003818F0"/>
    <w:rsid w:val="00383254"/>
    <w:rsid w:val="003A4D8A"/>
    <w:rsid w:val="003B37B0"/>
    <w:rsid w:val="003B5D75"/>
    <w:rsid w:val="00465956"/>
    <w:rsid w:val="004B5E46"/>
    <w:rsid w:val="004D7E77"/>
    <w:rsid w:val="004E1E42"/>
    <w:rsid w:val="004F17FF"/>
    <w:rsid w:val="00511E88"/>
    <w:rsid w:val="0052063D"/>
    <w:rsid w:val="005B677F"/>
    <w:rsid w:val="00606326"/>
    <w:rsid w:val="006217D5"/>
    <w:rsid w:val="00696F0C"/>
    <w:rsid w:val="00703983"/>
    <w:rsid w:val="007741AD"/>
    <w:rsid w:val="007809B3"/>
    <w:rsid w:val="007B386E"/>
    <w:rsid w:val="007F7E94"/>
    <w:rsid w:val="00834FAD"/>
    <w:rsid w:val="008459F0"/>
    <w:rsid w:val="008504DB"/>
    <w:rsid w:val="00873515"/>
    <w:rsid w:val="00884CDE"/>
    <w:rsid w:val="00886358"/>
    <w:rsid w:val="00886414"/>
    <w:rsid w:val="008D34FF"/>
    <w:rsid w:val="008D541C"/>
    <w:rsid w:val="008F0C88"/>
    <w:rsid w:val="0090284E"/>
    <w:rsid w:val="00921758"/>
    <w:rsid w:val="009A7425"/>
    <w:rsid w:val="009E5C85"/>
    <w:rsid w:val="00A51ED1"/>
    <w:rsid w:val="00A6429A"/>
    <w:rsid w:val="00A7459A"/>
    <w:rsid w:val="00B6179F"/>
    <w:rsid w:val="00B72094"/>
    <w:rsid w:val="00B735BF"/>
    <w:rsid w:val="00BB76D7"/>
    <w:rsid w:val="00BC276F"/>
    <w:rsid w:val="00BC7370"/>
    <w:rsid w:val="00BF3984"/>
    <w:rsid w:val="00C037A5"/>
    <w:rsid w:val="00C311F8"/>
    <w:rsid w:val="00C902EB"/>
    <w:rsid w:val="00C96508"/>
    <w:rsid w:val="00CA1800"/>
    <w:rsid w:val="00D62859"/>
    <w:rsid w:val="00D80F44"/>
    <w:rsid w:val="00DF7B28"/>
    <w:rsid w:val="00E15572"/>
    <w:rsid w:val="00E16878"/>
    <w:rsid w:val="00E86A11"/>
    <w:rsid w:val="00EC6016"/>
    <w:rsid w:val="00EE69CE"/>
    <w:rsid w:val="00F16FCC"/>
    <w:rsid w:val="00F92F65"/>
    <w:rsid w:val="00FA4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5372A88-930C-4391-93CB-5B7EAFC84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pt-PT" w:eastAsia="pt-PT" w:bidi="ar-SA"/>
      </w:rPr>
    </w:rPrDefault>
    <w:pPrDefault>
      <w:pPr>
        <w:widowControl w:val="0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2859"/>
  </w:style>
  <w:style w:type="paragraph" w:styleId="Cabealho1">
    <w:name w:val="heading 1"/>
    <w:basedOn w:val="Normal1"/>
    <w:next w:val="Normal1"/>
    <w:rsid w:val="00383254"/>
    <w:pPr>
      <w:spacing w:before="100" w:after="100"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Cabealho2">
    <w:name w:val="heading 2"/>
    <w:basedOn w:val="Normal1"/>
    <w:next w:val="Normal1"/>
    <w:rsid w:val="00383254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Cabealho3">
    <w:name w:val="heading 3"/>
    <w:basedOn w:val="Normal1"/>
    <w:next w:val="Normal1"/>
    <w:rsid w:val="00383254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Cabealho4">
    <w:name w:val="heading 4"/>
    <w:basedOn w:val="Normal1"/>
    <w:next w:val="Normal1"/>
    <w:rsid w:val="00383254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Cabealho5">
    <w:name w:val="heading 5"/>
    <w:basedOn w:val="Normal1"/>
    <w:next w:val="Normal1"/>
    <w:rsid w:val="00383254"/>
    <w:pPr>
      <w:keepNext/>
      <w:keepLines/>
      <w:spacing w:before="220" w:after="40"/>
      <w:contextualSpacing/>
      <w:outlineLvl w:val="4"/>
    </w:pPr>
    <w:rPr>
      <w:b/>
    </w:rPr>
  </w:style>
  <w:style w:type="paragraph" w:styleId="Cabealho6">
    <w:name w:val="heading 6"/>
    <w:basedOn w:val="Normal1"/>
    <w:next w:val="Normal1"/>
    <w:rsid w:val="00383254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383254"/>
  </w:style>
  <w:style w:type="table" w:customStyle="1" w:styleId="TableNormal">
    <w:name w:val="Table Normal"/>
    <w:rsid w:val="0038325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383254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383254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383254"/>
    <w:tblPr>
      <w:tblStyleRowBandSize w:val="1"/>
      <w:tblStyleColBandSize w:val="1"/>
    </w:tblPr>
  </w:style>
  <w:style w:type="table" w:customStyle="1" w:styleId="a0">
    <w:basedOn w:val="TableNormal"/>
    <w:rsid w:val="00383254"/>
    <w:tblPr>
      <w:tblStyleRowBandSize w:val="1"/>
      <w:tblStyleColBandSize w:val="1"/>
    </w:tblPr>
  </w:style>
  <w:style w:type="paragraph" w:styleId="PargrafodaLista">
    <w:name w:val="List Paragraph"/>
    <w:basedOn w:val="Normal"/>
    <w:uiPriority w:val="34"/>
    <w:qFormat/>
    <w:rsid w:val="00A6429A"/>
    <w:pPr>
      <w:ind w:left="720"/>
      <w:contextualSpacing/>
    </w:pPr>
  </w:style>
  <w:style w:type="character" w:customStyle="1" w:styleId="apple-converted-space">
    <w:name w:val="apple-converted-space"/>
    <w:basedOn w:val="Tipodeletrapredefinidodopargrafo"/>
    <w:rsid w:val="00217787"/>
  </w:style>
  <w:style w:type="paragraph" w:styleId="SemEspaamento">
    <w:name w:val="No Spacing"/>
    <w:uiPriority w:val="1"/>
    <w:qFormat/>
    <w:rsid w:val="00C037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83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B2FA34-80B2-4792-8FA4-BAD6124B3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8</Pages>
  <Words>1665</Words>
  <Characters>9981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Miguel Araújo Abreu</dc:creator>
  <cp:lastModifiedBy>Internamento Infecciologia Médicos</cp:lastModifiedBy>
  <cp:revision>15</cp:revision>
  <cp:lastPrinted>2017-11-13T20:26:00Z</cp:lastPrinted>
  <dcterms:created xsi:type="dcterms:W3CDTF">2017-11-07T19:01:00Z</dcterms:created>
  <dcterms:modified xsi:type="dcterms:W3CDTF">2017-11-13T20:31:00Z</dcterms:modified>
</cp:coreProperties>
</file>