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70"/>
        <w:tblW w:w="12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74" w:type="dxa"/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81"/>
        <w:gridCol w:w="1559"/>
        <w:gridCol w:w="20"/>
        <w:gridCol w:w="1681"/>
        <w:gridCol w:w="10"/>
        <w:gridCol w:w="1691"/>
        <w:gridCol w:w="1701"/>
        <w:gridCol w:w="1701"/>
        <w:gridCol w:w="1581"/>
      </w:tblGrid>
      <w:tr w:rsidR="00C60B3E" w:rsidRPr="003F6DDD" w14:paraId="3FE347A7" w14:textId="77777777" w:rsidTr="00C60B3E">
        <w:trPr>
          <w:trHeight w:val="288"/>
        </w:trPr>
        <w:tc>
          <w:tcPr>
            <w:tcW w:w="1222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8E5C4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D5BFF">
              <w:rPr>
                <w:b/>
                <w:color w:val="auto"/>
              </w:rPr>
              <w:t xml:space="preserve">Efeito da </w:t>
            </w:r>
            <w:r>
              <w:rPr>
                <w:b/>
                <w:color w:val="auto"/>
              </w:rPr>
              <w:t xml:space="preserve">alta precoce para </w:t>
            </w:r>
            <w:r w:rsidRPr="008D5BFF">
              <w:rPr>
                <w:b/>
                <w:color w:val="auto"/>
              </w:rPr>
              <w:t xml:space="preserve">hospitalização domiciliária em doentes </w:t>
            </w:r>
            <w:r>
              <w:rPr>
                <w:b/>
                <w:color w:val="auto"/>
              </w:rPr>
              <w:t>em recuperação após cirurgia</w:t>
            </w:r>
          </w:p>
        </w:tc>
      </w:tr>
      <w:tr w:rsidR="00C60B3E" w:rsidRPr="003F6DDD" w14:paraId="13E54A99" w14:textId="77777777" w:rsidTr="00C60B3E">
        <w:trPr>
          <w:trHeight w:val="420"/>
        </w:trPr>
        <w:tc>
          <w:tcPr>
            <w:tcW w:w="1222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9508" w14:textId="77777777" w:rsidR="00C60B3E" w:rsidRPr="00CA5A45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Doente ou população: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doentes em recuperação após cirurgia, que precisariam de cuidados em internamento hospitalar</w:t>
            </w:r>
          </w:p>
          <w:p w14:paraId="01A212B3" w14:textId="77777777" w:rsidR="00C60B3E" w:rsidRPr="00CA5A45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Contexto: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Austrália, Reino Unido, Suécia</w:t>
            </w:r>
          </w:p>
          <w:p w14:paraId="41B418BF" w14:textId="77777777" w:rsidR="00C60B3E" w:rsidRPr="00CA5A45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Intervenção: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hospitalização domiciliária</w:t>
            </w:r>
          </w:p>
          <w:p w14:paraId="35262850" w14:textId="77777777" w:rsidR="00C60B3E" w:rsidRPr="00CA5A45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Comparação: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tratamento habitual</w:t>
            </w:r>
          </w:p>
        </w:tc>
      </w:tr>
      <w:tr w:rsidR="00C60B3E" w:rsidRPr="003F6DDD" w14:paraId="2656187E" w14:textId="77777777" w:rsidTr="00C60B3E">
        <w:trPr>
          <w:trHeight w:val="520"/>
        </w:trPr>
        <w:tc>
          <w:tcPr>
            <w:tcW w:w="22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98A3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Resultados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82E0" w14:textId="77777777" w:rsidR="00C60B3E" w:rsidRPr="003F6DDD" w:rsidRDefault="00C60B3E" w:rsidP="00C60B3E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Riscos comparativos ilustrativos</w:t>
            </w:r>
            <w:r w:rsidRPr="003F6DDD">
              <w:rPr>
                <w:b/>
                <w:color w:val="auto"/>
              </w:rPr>
              <w:t>* (IC 95%)</w:t>
            </w:r>
          </w:p>
        </w:tc>
        <w:tc>
          <w:tcPr>
            <w:tcW w:w="1701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A729" w14:textId="77777777" w:rsidR="00C60B3E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Efeito relativo</w:t>
            </w:r>
          </w:p>
          <w:p w14:paraId="1BE1BD4B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(IC 95%)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A137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Número de participantes (</w:t>
            </w:r>
            <w:r>
              <w:rPr>
                <w:b/>
                <w:color w:val="auto"/>
              </w:rPr>
              <w:t>ensaios</w:t>
            </w:r>
            <w:r w:rsidRPr="003F6DDD">
              <w:rPr>
                <w:b/>
                <w:color w:val="auto"/>
              </w:rPr>
              <w:t>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92F3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Qualidade da evidência (GRADE)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3132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Comentários</w:t>
            </w:r>
          </w:p>
        </w:tc>
      </w:tr>
      <w:tr w:rsidR="00C60B3E" w:rsidRPr="003F6DDD" w14:paraId="3F7663B5" w14:textId="77777777" w:rsidTr="00C60B3E">
        <w:trPr>
          <w:trHeight w:val="1771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5EA2" w14:textId="77777777" w:rsidR="00C60B3E" w:rsidRPr="003F6DDD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43EB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Ausência de alta precoce para </w:t>
            </w:r>
            <w:r w:rsidRPr="008D5BFF">
              <w:rPr>
                <w:b/>
                <w:color w:val="auto"/>
              </w:rPr>
              <w:t xml:space="preserve">hospitalização domiciliária </w:t>
            </w:r>
            <w:r>
              <w:rPr>
                <w:b/>
                <w:color w:val="auto"/>
              </w:rPr>
              <w:t>(r</w:t>
            </w:r>
            <w:r w:rsidRPr="003F6DDD">
              <w:rPr>
                <w:b/>
                <w:color w:val="auto"/>
              </w:rPr>
              <w:t xml:space="preserve">isco </w:t>
            </w:r>
            <w:r>
              <w:rPr>
                <w:b/>
                <w:color w:val="auto"/>
              </w:rPr>
              <w:t>assumido)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6AC2" w14:textId="77777777" w:rsidR="00C60B3E" w:rsidRPr="003F6DDD" w:rsidRDefault="00C60B3E" w:rsidP="00C60B3E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Alta precoce para </w:t>
            </w:r>
            <w:r w:rsidRPr="008D5BFF">
              <w:rPr>
                <w:b/>
                <w:color w:val="auto"/>
              </w:rPr>
              <w:t xml:space="preserve">hospitalização domiciliária </w:t>
            </w:r>
            <w:r>
              <w:rPr>
                <w:b/>
                <w:color w:val="auto"/>
              </w:rPr>
              <w:t>(r</w:t>
            </w:r>
            <w:r w:rsidRPr="003F6DDD">
              <w:rPr>
                <w:b/>
                <w:color w:val="auto"/>
              </w:rPr>
              <w:t xml:space="preserve">isco </w:t>
            </w:r>
            <w:r>
              <w:rPr>
                <w:b/>
                <w:color w:val="auto"/>
              </w:rPr>
              <w:t>correspondente)</w:t>
            </w:r>
          </w:p>
        </w:tc>
        <w:tc>
          <w:tcPr>
            <w:tcW w:w="1701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6CE3" w14:textId="77777777" w:rsidR="00C60B3E" w:rsidRPr="003F6DDD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4D8E" w14:textId="77777777" w:rsidR="00C60B3E" w:rsidRPr="003F6DDD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1BA0" w14:textId="77777777" w:rsidR="00C60B3E" w:rsidRPr="003F6DDD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9733" w14:textId="77777777" w:rsidR="00C60B3E" w:rsidRPr="003F6DDD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C60B3E" w:rsidRPr="003F6DDD" w14:paraId="4E455BE9" w14:textId="77777777" w:rsidTr="00C60B3E">
        <w:trPr>
          <w:trHeight w:val="20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EAF9" w14:textId="77777777" w:rsidR="00C60B3E" w:rsidRPr="00CD4714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9A1AFC">
              <w:rPr>
                <w:color w:val="auto"/>
              </w:rPr>
              <w:t>Mortalidade</w:t>
            </w:r>
            <w:r w:rsidRPr="00CD4714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3296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 xml:space="preserve">Diferença reduzida ou ausente 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A66B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2F83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856 (3)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89DC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Baixa</w:t>
            </w:r>
            <w:r w:rsidRPr="009A1AFC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8B86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60B3E" w:rsidRPr="003F6DDD" w14:paraId="5A8A7763" w14:textId="77777777" w:rsidTr="00C60B3E">
        <w:trPr>
          <w:trHeight w:val="303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D761" w14:textId="77777777" w:rsidR="00C60B3E" w:rsidRPr="00CD4714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9A1AFC">
              <w:rPr>
                <w:color w:val="auto"/>
              </w:rPr>
              <w:t xml:space="preserve">Reinternamento hospitalar 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FF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Diferença reduzida ou ausente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A78D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8791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1229 (5)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9A20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Baixa</w:t>
            </w:r>
            <w:r w:rsidRPr="009A1AFC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65F0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60B3E" w:rsidRPr="003F6DDD" w14:paraId="73817FCA" w14:textId="77777777" w:rsidTr="00C60B3E">
        <w:trPr>
          <w:trHeight w:val="20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EA95" w14:textId="77777777" w:rsidR="00C60B3E" w:rsidRPr="00CD4714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9A1AFC">
              <w:rPr>
                <w:color w:val="auto"/>
              </w:rPr>
              <w:t>Institucionalização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12E6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Dados não reportados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C0F1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D105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5CD8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-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B4DD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60B3E" w:rsidRPr="003F6DDD" w14:paraId="178549A6" w14:textId="77777777" w:rsidTr="00C60B3E">
        <w:trPr>
          <w:trHeight w:val="20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4BBD" w14:textId="77777777" w:rsidR="00C60B3E" w:rsidRPr="00CD4714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9A1AFC">
              <w:rPr>
                <w:color w:val="auto"/>
              </w:rPr>
              <w:t>Satisfação do doente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661A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 xml:space="preserve">Alta precoce para hospitalização domiciliária pode melhorar ligeiramente a satisfação com </w:t>
            </w:r>
            <w:r>
              <w:rPr>
                <w:color w:val="auto"/>
              </w:rPr>
              <w:t xml:space="preserve">os </w:t>
            </w:r>
            <w:r w:rsidRPr="009A1AFC">
              <w:rPr>
                <w:color w:val="auto"/>
              </w:rPr>
              <w:t>cuidados de saúde rece</w:t>
            </w:r>
            <w:bookmarkStart w:id="0" w:name="_GoBack"/>
            <w:bookmarkEnd w:id="0"/>
            <w:r w:rsidRPr="009A1AFC">
              <w:rPr>
                <w:color w:val="auto"/>
              </w:rPr>
              <w:t>bidos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E87C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AC65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1229 (5)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863E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Baixa</w:t>
            </w:r>
            <w:r w:rsidRPr="009A1AFC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D36A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60B3E" w:rsidRPr="003F6DDD" w14:paraId="0206F8A2" w14:textId="77777777" w:rsidTr="00C60B3E">
        <w:trPr>
          <w:trHeight w:val="2783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2B5C" w14:textId="77777777" w:rsidR="00C60B3E" w:rsidRPr="00CD4714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9A1AFC">
              <w:rPr>
                <w:color w:val="auto"/>
              </w:rPr>
              <w:lastRenderedPageBreak/>
              <w:t>Duração do internamento hospitalar (doentes a recuperar de cirurgia ortopédica)</w:t>
            </w:r>
          </w:p>
        </w:tc>
        <w:tc>
          <w:tcPr>
            <w:tcW w:w="15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6241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Duração média de internamento variou de 11.9 a 41.9 dias</w:t>
            </w:r>
          </w:p>
        </w:tc>
        <w:tc>
          <w:tcPr>
            <w:tcW w:w="1691" w:type="dxa"/>
            <w:gridSpan w:val="2"/>
          </w:tcPr>
          <w:p w14:paraId="24813EF1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Duração média de internamento foi de -4.44 dias (95% IC -6.37 a -2.51)</w:t>
            </w:r>
          </w:p>
        </w:tc>
        <w:tc>
          <w:tcPr>
            <w:tcW w:w="1691" w:type="dxa"/>
          </w:tcPr>
          <w:p w14:paraId="0D58698A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DM -4.44 ( -6.37 a -2.51)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7946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411 (4)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375C" w14:textId="77777777" w:rsidR="00C60B3E" w:rsidRPr="009A1AFC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A1AFC">
              <w:rPr>
                <w:color w:val="auto"/>
              </w:rPr>
              <w:t>Moderada</w:t>
            </w:r>
            <w:r w:rsidRPr="009A1AFC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8D2" w14:textId="77777777" w:rsidR="00C60B3E" w:rsidRPr="00CD4714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C60B3E" w:rsidRPr="003F6DDD" w14:paraId="1ADBBBF0" w14:textId="77777777" w:rsidTr="00C60B3E"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183F" w14:textId="77777777" w:rsidR="00C60B3E" w:rsidRPr="003921D9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 w:rsidRPr="003921D9">
              <w:rPr>
                <w:color w:val="auto"/>
              </w:rPr>
              <w:t>Custo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07F9" w14:textId="77777777" w:rsidR="00C60B3E" w:rsidRPr="003921D9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921D9">
              <w:rPr>
                <w:color w:val="auto"/>
              </w:rPr>
              <w:t>Evidência insuficiente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B931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6F8F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CD4714">
              <w:rPr>
                <w:color w:val="auto"/>
              </w:rPr>
              <w:t>1129 (5)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83DC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3921D9">
              <w:rPr>
                <w:color w:val="auto"/>
              </w:rPr>
              <w:t>Muito baixa</w:t>
            </w:r>
            <w:r w:rsidRPr="003921D9">
              <w:rPr>
                <w:color w:val="auto"/>
                <w:vertAlign w:val="superscript"/>
              </w:rPr>
              <w:t>3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70A2" w14:textId="77777777" w:rsidR="00C60B3E" w:rsidRPr="00CD4714" w:rsidRDefault="00C60B3E" w:rsidP="00C60B3E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C60B3E" w:rsidRPr="003F6DDD" w14:paraId="53D2CEE4" w14:textId="77777777" w:rsidTr="00C60B3E">
        <w:trPr>
          <w:trHeight w:val="420"/>
        </w:trPr>
        <w:tc>
          <w:tcPr>
            <w:tcW w:w="1222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ABCB" w14:textId="77777777" w:rsidR="00C60B3E" w:rsidRPr="00E46107" w:rsidRDefault="00C60B3E" w:rsidP="00C60B3E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E46107">
              <w:rPr>
                <w:color w:val="auto"/>
              </w:rPr>
              <w:t>*</w:t>
            </w:r>
            <w:r w:rsidRPr="00FE1205">
              <w:rPr>
                <w:b/>
                <w:color w:val="auto"/>
              </w:rPr>
              <w:t>O risco no grupo com intervenção</w:t>
            </w:r>
            <w:r w:rsidRPr="00E46107">
              <w:rPr>
                <w:color w:val="auto"/>
              </w:rPr>
              <w:t xml:space="preserve"> (e o seu IC a 95%) é baseado no risco assumido e no </w:t>
            </w:r>
            <w:r w:rsidRPr="00FE1205">
              <w:rPr>
                <w:b/>
                <w:color w:val="auto"/>
              </w:rPr>
              <w:t>efeito relativo</w:t>
            </w:r>
            <w:r w:rsidRPr="00E46107">
              <w:rPr>
                <w:color w:val="auto"/>
              </w:rPr>
              <w:t xml:space="preserve"> da i</w:t>
            </w:r>
            <w:r>
              <w:rPr>
                <w:color w:val="auto"/>
              </w:rPr>
              <w:t>ntervenção (e do seu IC a 95%).</w:t>
            </w:r>
          </w:p>
          <w:p w14:paraId="0C5C8123" w14:textId="77777777" w:rsidR="00C60B3E" w:rsidRPr="00E66F8D" w:rsidRDefault="00C60B3E" w:rsidP="00C60B3E">
            <w:pPr>
              <w:widowControl w:val="0"/>
              <w:spacing w:line="240" w:lineRule="auto"/>
              <w:jc w:val="both"/>
              <w:rPr>
                <w:i/>
                <w:color w:val="auto"/>
                <w:sz w:val="18"/>
              </w:rPr>
            </w:pPr>
            <w:r w:rsidRPr="00CA5A45">
              <w:rPr>
                <w:b/>
                <w:color w:val="auto"/>
              </w:rPr>
              <w:t>IC:</w:t>
            </w:r>
            <w:r w:rsidRPr="00CA5A45">
              <w:rPr>
                <w:color w:val="auto"/>
              </w:rPr>
              <w:t xml:space="preserve"> Intervalo de confiança;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DM</w:t>
            </w:r>
            <w:r>
              <w:rPr>
                <w:color w:val="auto"/>
              </w:rPr>
              <w:t xml:space="preserve">: Diferença média; </w:t>
            </w:r>
            <w:r w:rsidRPr="003921D9">
              <w:rPr>
                <w:b/>
                <w:color w:val="auto"/>
              </w:rPr>
              <w:t>RR</w:t>
            </w:r>
            <w:r>
              <w:rPr>
                <w:color w:val="auto"/>
              </w:rPr>
              <w:t>: Risco relativo</w:t>
            </w:r>
          </w:p>
        </w:tc>
      </w:tr>
      <w:tr w:rsidR="00C60B3E" w:rsidRPr="003F6DDD" w14:paraId="67E31369" w14:textId="77777777" w:rsidTr="00C60B3E">
        <w:trPr>
          <w:trHeight w:val="420"/>
        </w:trPr>
        <w:tc>
          <w:tcPr>
            <w:tcW w:w="1222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DCFD" w14:textId="77777777" w:rsidR="00C60B3E" w:rsidRPr="0055288A" w:rsidRDefault="00C60B3E" w:rsidP="00C60B3E">
            <w:pPr>
              <w:widowControl w:val="0"/>
              <w:spacing w:line="240" w:lineRule="auto"/>
              <w:jc w:val="both"/>
              <w:rPr>
                <w:b/>
                <w:color w:val="auto"/>
              </w:rPr>
            </w:pPr>
            <w:r w:rsidRPr="0055288A">
              <w:rPr>
                <w:b/>
                <w:color w:val="auto"/>
              </w:rPr>
              <w:t>Grupo de Trabalho GRADE (níveis de evidência)</w:t>
            </w:r>
          </w:p>
          <w:p w14:paraId="1AC5BFC9" w14:textId="77777777" w:rsidR="00C60B3E" w:rsidRPr="00FE1205" w:rsidRDefault="00C60B3E" w:rsidP="00C60B3E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alta:</w:t>
            </w:r>
            <w:r w:rsidRPr="00FE1205">
              <w:rPr>
                <w:color w:val="auto"/>
              </w:rPr>
              <w:t xml:space="preserve"> Temos muita confiança de que o verdadeiro efeito seja semelhante ao da estimativa do efeito.</w:t>
            </w:r>
          </w:p>
          <w:p w14:paraId="2F5B4EBF" w14:textId="77777777" w:rsidR="00C60B3E" w:rsidRPr="00FE1205" w:rsidRDefault="00C60B3E" w:rsidP="00C60B3E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moderada:</w:t>
            </w:r>
            <w:r w:rsidRPr="00FE1205">
              <w:rPr>
                <w:color w:val="auto"/>
              </w:rPr>
              <w:t xml:space="preserve"> Temos confiança moderada na estimativa do efeito: o verdadeiro efeito é provavelmente semelhante à estimativa do efeito, mas existe a possibilidade de ser substancialmente diferente.</w:t>
            </w:r>
          </w:p>
          <w:p w14:paraId="5CE8CF39" w14:textId="77777777" w:rsidR="00C60B3E" w:rsidRPr="00FE1205" w:rsidRDefault="00C60B3E" w:rsidP="00C60B3E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baixa:</w:t>
            </w:r>
            <w:r w:rsidRPr="00FE1205">
              <w:rPr>
                <w:color w:val="auto"/>
              </w:rPr>
              <w:t xml:space="preserve"> A nossa confiança na estimativa do efeito é limitada: o verdadeiro efeito pode ser substancialmente diferente da estimativa do efeito.</w:t>
            </w:r>
          </w:p>
          <w:p w14:paraId="6A62B5BD" w14:textId="77777777" w:rsidR="00C60B3E" w:rsidRPr="00CA5A45" w:rsidRDefault="00C60B3E" w:rsidP="00C60B3E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muito baixa:</w:t>
            </w:r>
            <w:r w:rsidRPr="00FE1205">
              <w:rPr>
                <w:color w:val="auto"/>
              </w:rPr>
              <w:t xml:space="preserve"> Temos muito pouca confiança na estimativa do efeito: o verdadeiro efeito é provavelmente substancialmente diferente da estimativa do efeito.</w:t>
            </w:r>
          </w:p>
        </w:tc>
      </w:tr>
      <w:tr w:rsidR="00C60B3E" w:rsidRPr="003F6DDD" w14:paraId="481064E9" w14:textId="77777777" w:rsidTr="00C60B3E">
        <w:trPr>
          <w:trHeight w:val="420"/>
        </w:trPr>
        <w:tc>
          <w:tcPr>
            <w:tcW w:w="1222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97BD" w14:textId="77777777" w:rsidR="00C60B3E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– Redução de 2 ponto por imprecisão devido a IC alargado</w:t>
            </w:r>
          </w:p>
          <w:p w14:paraId="1A05D30D" w14:textId="77777777" w:rsidR="00C60B3E" w:rsidRDefault="00C60B3E" w:rsidP="00C60B3E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 – Redução de 1 pontos por imprecisão devido a IC alargado</w:t>
            </w:r>
          </w:p>
          <w:p w14:paraId="6C7E65B3" w14:textId="77777777" w:rsidR="00C60B3E" w:rsidRPr="00CA5A45" w:rsidRDefault="00C60B3E" w:rsidP="00C60B3E">
            <w:pPr>
              <w:widowControl w:val="0"/>
              <w:spacing w:line="240" w:lineRule="auto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3 – Redução de 3 pontos por inconsistência e imprecisão</w:t>
            </w:r>
          </w:p>
        </w:tc>
      </w:tr>
    </w:tbl>
    <w:p w14:paraId="4C3D614D" w14:textId="1BA200B1" w:rsidR="00AD23DB" w:rsidRDefault="00AD23DB" w:rsidP="007C13B0">
      <w:pPr>
        <w:widowControl w:val="0"/>
        <w:spacing w:line="240" w:lineRule="auto"/>
        <w:jc w:val="both"/>
      </w:pPr>
    </w:p>
    <w:p w14:paraId="310158A6" w14:textId="1BB2A3AF" w:rsidR="00C60B3E" w:rsidRDefault="00C60B3E" w:rsidP="007C13B0">
      <w:pPr>
        <w:widowControl w:val="0"/>
        <w:spacing w:line="240" w:lineRule="auto"/>
        <w:jc w:val="both"/>
      </w:pPr>
    </w:p>
    <w:p w14:paraId="2F3E4013" w14:textId="022CE808" w:rsidR="00C60B3E" w:rsidRDefault="00C60B3E" w:rsidP="007C13B0">
      <w:pPr>
        <w:widowControl w:val="0"/>
        <w:spacing w:line="240" w:lineRule="auto"/>
        <w:jc w:val="both"/>
      </w:pPr>
    </w:p>
    <w:p w14:paraId="0FCE2731" w14:textId="72C243B0" w:rsidR="00C60B3E" w:rsidRDefault="00C60B3E" w:rsidP="007C13B0">
      <w:pPr>
        <w:widowControl w:val="0"/>
        <w:spacing w:line="240" w:lineRule="auto"/>
        <w:jc w:val="both"/>
      </w:pPr>
    </w:p>
    <w:p w14:paraId="21ABB352" w14:textId="530B1858" w:rsidR="00C60B3E" w:rsidRDefault="00C60B3E" w:rsidP="007C13B0">
      <w:pPr>
        <w:widowControl w:val="0"/>
        <w:spacing w:line="240" w:lineRule="auto"/>
        <w:jc w:val="both"/>
      </w:pPr>
    </w:p>
    <w:p w14:paraId="6BB1D3B7" w14:textId="2013F4F7" w:rsidR="00C60B3E" w:rsidRDefault="00C60B3E" w:rsidP="007C13B0">
      <w:pPr>
        <w:widowControl w:val="0"/>
        <w:spacing w:line="240" w:lineRule="auto"/>
        <w:jc w:val="both"/>
      </w:pPr>
    </w:p>
    <w:p w14:paraId="38A96758" w14:textId="55EE7CF9" w:rsidR="00C60B3E" w:rsidRDefault="00C60B3E" w:rsidP="007C13B0">
      <w:pPr>
        <w:widowControl w:val="0"/>
        <w:spacing w:line="240" w:lineRule="auto"/>
        <w:jc w:val="both"/>
      </w:pPr>
    </w:p>
    <w:p w14:paraId="393D4CC6" w14:textId="77777777" w:rsidR="00C60B3E" w:rsidRDefault="00C60B3E" w:rsidP="007C13B0">
      <w:pPr>
        <w:widowControl w:val="0"/>
        <w:spacing w:line="240" w:lineRule="auto"/>
        <w:jc w:val="both"/>
      </w:pPr>
    </w:p>
    <w:p w14:paraId="0CD1CD5F" w14:textId="77777777" w:rsidR="00AD23DB" w:rsidRDefault="00AD23DB"/>
    <w:p w14:paraId="67C05F3F" w14:textId="77777777" w:rsidR="00AD23DB" w:rsidRDefault="00AD23DB">
      <w:pPr>
        <w:jc w:val="both"/>
      </w:pPr>
    </w:p>
    <w:sectPr w:rsidR="00AD23DB" w:rsidSect="00C60B3E">
      <w:head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9BE28" w14:textId="77777777" w:rsidR="006F63DC" w:rsidRDefault="006F63DC" w:rsidP="00C60B3E">
      <w:pPr>
        <w:spacing w:line="240" w:lineRule="auto"/>
      </w:pPr>
      <w:r>
        <w:separator/>
      </w:r>
    </w:p>
  </w:endnote>
  <w:endnote w:type="continuationSeparator" w:id="0">
    <w:p w14:paraId="6D5E53ED" w14:textId="77777777" w:rsidR="006F63DC" w:rsidRDefault="006F63DC" w:rsidP="00C60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90F3" w14:textId="77777777" w:rsidR="006F63DC" w:rsidRDefault="006F63DC" w:rsidP="00C60B3E">
      <w:pPr>
        <w:spacing w:line="240" w:lineRule="auto"/>
      </w:pPr>
      <w:r>
        <w:separator/>
      </w:r>
    </w:p>
  </w:footnote>
  <w:footnote w:type="continuationSeparator" w:id="0">
    <w:p w14:paraId="5C017715" w14:textId="77777777" w:rsidR="006F63DC" w:rsidRDefault="006F63DC" w:rsidP="00C60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94AD" w14:textId="27F83BEF" w:rsidR="00C60B3E" w:rsidRDefault="00C60B3E">
    <w:pPr>
      <w:pStyle w:val="Header"/>
    </w:pPr>
  </w:p>
  <w:p w14:paraId="7CB1C75D" w14:textId="77777777" w:rsidR="00C60B3E" w:rsidRDefault="00C60B3E" w:rsidP="00C60B3E"/>
  <w:p w14:paraId="5A2A3E1E" w14:textId="4B3A3538" w:rsidR="00C60B3E" w:rsidRDefault="00C60B3E" w:rsidP="00C60B3E">
    <w:r>
      <w:t>Tabela 3 - Sumário de resultados nos doentes após cirurgia, adaptado da versão original.</w:t>
    </w:r>
  </w:p>
  <w:p w14:paraId="219DE795" w14:textId="77777777" w:rsidR="00C60B3E" w:rsidRDefault="00C60B3E" w:rsidP="00C60B3E"/>
  <w:p w14:paraId="791FF5EB" w14:textId="77777777" w:rsidR="00C60B3E" w:rsidRDefault="00C6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F6B"/>
    <w:multiLevelType w:val="multilevel"/>
    <w:tmpl w:val="474818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 w15:restartNumberingAfterBreak="0">
    <w:nsid w:val="287556CE"/>
    <w:multiLevelType w:val="multilevel"/>
    <w:tmpl w:val="DFA433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E503C4C"/>
    <w:multiLevelType w:val="multilevel"/>
    <w:tmpl w:val="F2869E4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4E36424F"/>
    <w:multiLevelType w:val="hybridMultilevel"/>
    <w:tmpl w:val="8FDA2264"/>
    <w:lvl w:ilvl="0" w:tplc="ABE03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B"/>
    <w:rsid w:val="00034023"/>
    <w:rsid w:val="001228CE"/>
    <w:rsid w:val="002176E4"/>
    <w:rsid w:val="00244D1A"/>
    <w:rsid w:val="00267648"/>
    <w:rsid w:val="00267984"/>
    <w:rsid w:val="002C7790"/>
    <w:rsid w:val="00347581"/>
    <w:rsid w:val="003921D9"/>
    <w:rsid w:val="003A10DD"/>
    <w:rsid w:val="003B31F1"/>
    <w:rsid w:val="003B589B"/>
    <w:rsid w:val="003B5CAB"/>
    <w:rsid w:val="003F6DDD"/>
    <w:rsid w:val="004322D9"/>
    <w:rsid w:val="00520A08"/>
    <w:rsid w:val="005A351E"/>
    <w:rsid w:val="006243DB"/>
    <w:rsid w:val="006E2C20"/>
    <w:rsid w:val="006F1588"/>
    <w:rsid w:val="006F2C57"/>
    <w:rsid w:val="006F63DC"/>
    <w:rsid w:val="00737566"/>
    <w:rsid w:val="0074317E"/>
    <w:rsid w:val="007706D8"/>
    <w:rsid w:val="007C13B0"/>
    <w:rsid w:val="007F1B58"/>
    <w:rsid w:val="008351AB"/>
    <w:rsid w:val="00882043"/>
    <w:rsid w:val="008D2348"/>
    <w:rsid w:val="008D5BFF"/>
    <w:rsid w:val="0097422E"/>
    <w:rsid w:val="009A1793"/>
    <w:rsid w:val="009A1AFC"/>
    <w:rsid w:val="00AB398B"/>
    <w:rsid w:val="00AD23DB"/>
    <w:rsid w:val="00AD400D"/>
    <w:rsid w:val="00AF70C0"/>
    <w:rsid w:val="00AF7622"/>
    <w:rsid w:val="00BA1405"/>
    <w:rsid w:val="00C44A4F"/>
    <w:rsid w:val="00C60B3E"/>
    <w:rsid w:val="00CA5A45"/>
    <w:rsid w:val="00CD4714"/>
    <w:rsid w:val="00CF335E"/>
    <w:rsid w:val="00D14930"/>
    <w:rsid w:val="00D85EC3"/>
    <w:rsid w:val="00E30F17"/>
    <w:rsid w:val="00E66F8D"/>
    <w:rsid w:val="00EA6C91"/>
    <w:rsid w:val="00EE7FD0"/>
    <w:rsid w:val="00F34504"/>
    <w:rsid w:val="00FC2D9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58"/>
  <w15:docId w15:val="{C504C20A-65CE-42EF-B5D3-DA79361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10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0DD"/>
  </w:style>
  <w:style w:type="paragraph" w:styleId="Header">
    <w:name w:val="header"/>
    <w:basedOn w:val="Normal"/>
    <w:link w:val="HeaderChar"/>
    <w:uiPriority w:val="99"/>
    <w:unhideWhenUsed/>
    <w:rsid w:val="00C60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3E"/>
  </w:style>
  <w:style w:type="paragraph" w:styleId="Footer">
    <w:name w:val="footer"/>
    <w:basedOn w:val="Normal"/>
    <w:link w:val="FooterChar"/>
    <w:uiPriority w:val="99"/>
    <w:unhideWhenUsed/>
    <w:rsid w:val="00C60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78BF-0883-45D5-81C3-007E0B9D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Baptista</dc:creator>
  <cp:lastModifiedBy>Mariana Alves</cp:lastModifiedBy>
  <cp:revision>3</cp:revision>
  <cp:lastPrinted>2017-05-01T13:10:00Z</cp:lastPrinted>
  <dcterms:created xsi:type="dcterms:W3CDTF">2017-08-16T21:14:00Z</dcterms:created>
  <dcterms:modified xsi:type="dcterms:W3CDTF">2017-09-06T19:23:00Z</dcterms:modified>
</cp:coreProperties>
</file>