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EEE" w:rsidRDefault="00F45EEE" w:rsidP="00236976">
      <w:pPr>
        <w:spacing w:after="0"/>
        <w:outlineLvl w:val="0"/>
        <w:rPr>
          <w:rFonts w:ascii="Arial" w:hAnsi="Arial" w:cs="Arial"/>
          <w:color w:val="222222"/>
          <w:sz w:val="19"/>
          <w:szCs w:val="19"/>
          <w:shd w:val="clear" w:color="auto" w:fill="FFFFFF"/>
          <w:lang w:val="en-US"/>
        </w:rPr>
      </w:pPr>
      <w:r w:rsidRPr="000D7D25">
        <w:rPr>
          <w:rStyle w:val="apple-converted-space"/>
          <w:rFonts w:ascii="Arial" w:hAnsi="Arial" w:cs="Arial"/>
          <w:color w:val="222222"/>
          <w:sz w:val="19"/>
          <w:szCs w:val="19"/>
          <w:shd w:val="clear" w:color="auto" w:fill="FFFFFF"/>
          <w:lang w:val="en-US"/>
        </w:rPr>
        <w:t>ARTIGO</w:t>
      </w:r>
      <w:r>
        <w:rPr>
          <w:rStyle w:val="apple-converted-space"/>
          <w:rFonts w:ascii="Arial" w:hAnsi="Arial" w:cs="Arial"/>
          <w:color w:val="222222"/>
          <w:sz w:val="19"/>
          <w:szCs w:val="19"/>
          <w:shd w:val="clear" w:color="auto" w:fill="FFFFFF"/>
          <w:lang w:val="en-US"/>
        </w:rPr>
        <w:t>:</w:t>
      </w:r>
      <w:r w:rsidRPr="000D7D25">
        <w:rPr>
          <w:rStyle w:val="apple-converted-space"/>
          <w:rFonts w:ascii="Arial" w:hAnsi="Arial" w:cs="Arial"/>
          <w:color w:val="222222"/>
          <w:sz w:val="19"/>
          <w:szCs w:val="19"/>
          <w:shd w:val="clear" w:color="auto" w:fill="FFFFFF"/>
          <w:lang w:val="en-US"/>
        </w:rPr>
        <w:t xml:space="preserve"> </w:t>
      </w:r>
      <w:r w:rsidRPr="000D7D25">
        <w:rPr>
          <w:rFonts w:ascii="Arial" w:hAnsi="Arial" w:cs="Arial"/>
          <w:color w:val="222222"/>
          <w:sz w:val="19"/>
          <w:szCs w:val="19"/>
          <w:shd w:val="clear" w:color="auto" w:fill="FFFFFF"/>
          <w:lang w:val="en-US"/>
        </w:rPr>
        <w:t>"THE CALCIUM/PHOSPHORUS HOMEOSTASIS IN CHRONIC KIDNEY DISEASE: FROM CLINICAL EPIDEMIOLOGY TO PATHOPHYSIOLOGY"</w:t>
      </w:r>
    </w:p>
    <w:p w:rsidR="00F45EEE" w:rsidRDefault="00F45EEE" w:rsidP="00236976">
      <w:pPr>
        <w:spacing w:after="0"/>
        <w:outlineLvl w:val="0"/>
        <w:rPr>
          <w:rFonts w:ascii="Arial" w:hAnsi="Arial" w:cs="Arial"/>
          <w:color w:val="222222"/>
          <w:sz w:val="19"/>
          <w:szCs w:val="19"/>
          <w:shd w:val="clear" w:color="auto" w:fill="FFFFFF"/>
          <w:lang w:val="en-US"/>
        </w:rPr>
      </w:pPr>
    </w:p>
    <w:p w:rsidR="00F45EEE" w:rsidRPr="002E3F82" w:rsidRDefault="00F45EEE" w:rsidP="00236976">
      <w:pPr>
        <w:spacing w:after="0"/>
        <w:outlineLvl w:val="0"/>
        <w:rPr>
          <w:lang w:val="en-GB"/>
        </w:rPr>
      </w:pPr>
      <w:r>
        <w:rPr>
          <w:lang w:val="en-GB"/>
        </w:rPr>
        <w:t>COMMENT</w:t>
      </w:r>
      <w:r w:rsidRPr="002E3F82">
        <w:rPr>
          <w:lang w:val="en-GB"/>
        </w:rPr>
        <w:t>s to the REFEREES</w:t>
      </w:r>
    </w:p>
    <w:p w:rsidR="00F45EEE" w:rsidRPr="002E3F82" w:rsidRDefault="00F45EEE" w:rsidP="00236976">
      <w:pPr>
        <w:spacing w:after="0"/>
        <w:outlineLvl w:val="0"/>
        <w:rPr>
          <w:rFonts w:ascii="Arial" w:hAnsi="Arial" w:cs="Arial"/>
          <w:color w:val="222222"/>
          <w:sz w:val="19"/>
          <w:szCs w:val="19"/>
          <w:shd w:val="clear" w:color="auto" w:fill="FFFFFF"/>
          <w:lang w:val="en-GB"/>
        </w:rPr>
      </w:pPr>
    </w:p>
    <w:p w:rsidR="00F45EEE" w:rsidRPr="002E3F82" w:rsidRDefault="00F45EEE" w:rsidP="00236976">
      <w:pPr>
        <w:spacing w:after="0"/>
        <w:outlineLvl w:val="0"/>
        <w:rPr>
          <w:rFonts w:ascii="Arial" w:hAnsi="Arial" w:cs="Arial"/>
          <w:color w:val="222222"/>
          <w:sz w:val="19"/>
          <w:szCs w:val="19"/>
          <w:shd w:val="clear" w:color="auto" w:fill="FFFFFF"/>
          <w:lang w:val="en-GB"/>
        </w:rPr>
      </w:pPr>
    </w:p>
    <w:p w:rsidR="00F45EEE" w:rsidRPr="002E3F82" w:rsidRDefault="00F45EEE" w:rsidP="006B446F">
      <w:pPr>
        <w:pStyle w:val="Textosimples"/>
        <w:rPr>
          <w:lang w:val="en-GB"/>
        </w:rPr>
      </w:pPr>
      <w:r>
        <w:rPr>
          <w:lang w:val="en-GB"/>
        </w:rPr>
        <w:t>COMMENT</w:t>
      </w:r>
      <w:r w:rsidRPr="002E3F82">
        <w:rPr>
          <w:lang w:val="en-GB"/>
        </w:rPr>
        <w:t>:</w:t>
      </w:r>
    </w:p>
    <w:p w:rsidR="00F45EEE" w:rsidRPr="002E3F82" w:rsidRDefault="00F45EEE" w:rsidP="006B446F">
      <w:pPr>
        <w:pStyle w:val="Textosimples"/>
        <w:rPr>
          <w:lang w:val="en-GB"/>
        </w:rPr>
      </w:pPr>
    </w:p>
    <w:p w:rsidR="00F45EEE" w:rsidRDefault="00F45EEE" w:rsidP="006B446F">
      <w:pPr>
        <w:pStyle w:val="Textosimples"/>
      </w:pPr>
      <w:r>
        <w:t xml:space="preserve">- </w:t>
      </w:r>
      <w:proofErr w:type="gramStart"/>
      <w:r>
        <w:t>embora</w:t>
      </w:r>
      <w:proofErr w:type="gramEnd"/>
      <w:r>
        <w:t xml:space="preserve"> citem um estudo de 2015, as referências não são muito actuais.</w:t>
      </w:r>
    </w:p>
    <w:p w:rsidR="00F45EEE" w:rsidRPr="00631234" w:rsidRDefault="00F45EEE" w:rsidP="006B446F">
      <w:pPr>
        <w:pStyle w:val="Textosimples"/>
      </w:pPr>
      <w:proofErr w:type="spellStart"/>
      <w:r w:rsidRPr="006B446F">
        <w:rPr>
          <w:lang w:val="en-US"/>
        </w:rPr>
        <w:t>Por</w:t>
      </w:r>
      <w:proofErr w:type="spellEnd"/>
      <w:r w:rsidRPr="006B446F">
        <w:rPr>
          <w:lang w:val="en-US"/>
        </w:rPr>
        <w:t xml:space="preserve"> ex. </w:t>
      </w:r>
      <w:proofErr w:type="spellStart"/>
      <w:r w:rsidRPr="006B446F">
        <w:rPr>
          <w:lang w:val="en-US"/>
        </w:rPr>
        <w:t>não</w:t>
      </w:r>
      <w:proofErr w:type="spellEnd"/>
      <w:r w:rsidRPr="006B446F">
        <w:rPr>
          <w:lang w:val="en-US"/>
        </w:rPr>
        <w:t xml:space="preserve"> </w:t>
      </w:r>
      <w:proofErr w:type="spellStart"/>
      <w:r w:rsidRPr="006B446F">
        <w:rPr>
          <w:lang w:val="en-US"/>
        </w:rPr>
        <w:t>citam</w:t>
      </w:r>
      <w:proofErr w:type="spellEnd"/>
      <w:r w:rsidRPr="006B446F">
        <w:rPr>
          <w:lang w:val="en-US"/>
        </w:rPr>
        <w:t xml:space="preserve"> um </w:t>
      </w:r>
      <w:proofErr w:type="spellStart"/>
      <w:r w:rsidRPr="006B446F">
        <w:rPr>
          <w:lang w:val="en-US"/>
        </w:rPr>
        <w:t>estudo</w:t>
      </w:r>
      <w:proofErr w:type="spellEnd"/>
      <w:r w:rsidRPr="006B446F">
        <w:rPr>
          <w:lang w:val="en-US"/>
        </w:rPr>
        <w:t xml:space="preserve"> </w:t>
      </w:r>
      <w:proofErr w:type="gramStart"/>
      <w:r w:rsidRPr="006B446F">
        <w:rPr>
          <w:lang w:val="en-US"/>
        </w:rPr>
        <w:t>The</w:t>
      </w:r>
      <w:proofErr w:type="gramEnd"/>
      <w:r w:rsidRPr="006B446F">
        <w:rPr>
          <w:lang w:val="en-US"/>
        </w:rPr>
        <w:t xml:space="preserve"> challenge of controlling phosphorus in chronic kidney </w:t>
      </w:r>
      <w:proofErr w:type="spellStart"/>
      <w:r w:rsidRPr="006B446F">
        <w:rPr>
          <w:lang w:val="en-US"/>
        </w:rPr>
        <w:t>disease.Cannata-Andía</w:t>
      </w:r>
      <w:proofErr w:type="spellEnd"/>
      <w:r w:rsidRPr="006B446F">
        <w:rPr>
          <w:lang w:val="en-US"/>
        </w:rPr>
        <w:t xml:space="preserve"> JB, Martin KJ. </w:t>
      </w:r>
      <w:proofErr w:type="spellStart"/>
      <w:r w:rsidRPr="00631234">
        <w:t>Nephrol</w:t>
      </w:r>
      <w:proofErr w:type="spellEnd"/>
      <w:r w:rsidRPr="00631234">
        <w:t xml:space="preserve"> Dial </w:t>
      </w:r>
      <w:proofErr w:type="spellStart"/>
      <w:r w:rsidRPr="00631234">
        <w:t>Transplant</w:t>
      </w:r>
      <w:proofErr w:type="spellEnd"/>
      <w:r w:rsidRPr="00631234">
        <w:t>. 2016 Apr;31(4):541-7.</w:t>
      </w:r>
    </w:p>
    <w:p w:rsidR="00F45EEE" w:rsidRDefault="00F45EEE" w:rsidP="006B446F">
      <w:pPr>
        <w:pStyle w:val="Textosimples"/>
      </w:pPr>
    </w:p>
    <w:p w:rsidR="00F45EEE" w:rsidRDefault="00F45EEE" w:rsidP="006B446F">
      <w:pPr>
        <w:pStyle w:val="Textosimples"/>
      </w:pPr>
    </w:p>
    <w:p w:rsidR="00F45EEE" w:rsidRPr="00631234" w:rsidRDefault="00F45EEE" w:rsidP="006B446F">
      <w:pPr>
        <w:pStyle w:val="Textosimples"/>
      </w:pPr>
      <w:r>
        <w:t>ANSWER</w:t>
      </w:r>
    </w:p>
    <w:p w:rsidR="00F45EEE" w:rsidRPr="00236976" w:rsidRDefault="00F45EEE" w:rsidP="00DE7787">
      <w:pPr>
        <w:pStyle w:val="Textosimples"/>
        <w:outlineLvl w:val="0"/>
      </w:pPr>
      <w:r w:rsidRPr="00236976">
        <w:t xml:space="preserve">Na bibliografia foi incluído o artigo acima referido e foram adicionadas </w:t>
      </w:r>
      <w:proofErr w:type="gramStart"/>
      <w:r w:rsidRPr="00236976">
        <w:t>as</w:t>
      </w:r>
      <w:proofErr w:type="gramEnd"/>
      <w:r w:rsidRPr="00236976">
        <w:t xml:space="preserve"> seguintes referências: </w:t>
      </w:r>
    </w:p>
    <w:p w:rsidR="00F45EEE" w:rsidRPr="00236976" w:rsidRDefault="00F45EEE" w:rsidP="00DE7787">
      <w:pPr>
        <w:pStyle w:val="Textosimples"/>
        <w:outlineLvl w:val="0"/>
      </w:pPr>
    </w:p>
    <w:p w:rsidR="00F45EEE" w:rsidRPr="00236976" w:rsidRDefault="00F45EEE" w:rsidP="00D3333A">
      <w:pPr>
        <w:pStyle w:val="Textosimples"/>
      </w:pPr>
    </w:p>
    <w:p w:rsidR="00F45EEE" w:rsidRPr="00236976" w:rsidRDefault="00F45EEE" w:rsidP="00D3333A">
      <w:pPr>
        <w:pStyle w:val="Textosimples"/>
        <w:rPr>
          <w:lang w:val="en-US"/>
        </w:rPr>
      </w:pPr>
      <w:proofErr w:type="spellStart"/>
      <w:r w:rsidRPr="00236976">
        <w:rPr>
          <w:lang w:val="en-US"/>
        </w:rPr>
        <w:t>Tatsumi</w:t>
      </w:r>
      <w:proofErr w:type="spellEnd"/>
      <w:r w:rsidRPr="00236976">
        <w:rPr>
          <w:lang w:val="en-US"/>
        </w:rPr>
        <w:t xml:space="preserve"> S, </w:t>
      </w:r>
      <w:proofErr w:type="spellStart"/>
      <w:r w:rsidRPr="00236976">
        <w:rPr>
          <w:lang w:val="en-US"/>
        </w:rPr>
        <w:t>Miyagawa</w:t>
      </w:r>
      <w:proofErr w:type="spellEnd"/>
      <w:r w:rsidRPr="00236976">
        <w:rPr>
          <w:lang w:val="en-US"/>
        </w:rPr>
        <w:t xml:space="preserve"> A, Kaneko I, </w:t>
      </w:r>
      <w:proofErr w:type="spellStart"/>
      <w:r w:rsidRPr="00236976">
        <w:rPr>
          <w:lang w:val="en-US"/>
        </w:rPr>
        <w:t>Shiozaki</w:t>
      </w:r>
      <w:proofErr w:type="spellEnd"/>
      <w:r w:rsidRPr="00236976">
        <w:rPr>
          <w:lang w:val="en-US"/>
        </w:rPr>
        <w:t xml:space="preserve"> Y, </w:t>
      </w:r>
      <w:proofErr w:type="spellStart"/>
      <w:r w:rsidRPr="00236976">
        <w:rPr>
          <w:lang w:val="en-US"/>
        </w:rPr>
        <w:t>Segawa</w:t>
      </w:r>
      <w:proofErr w:type="spellEnd"/>
      <w:r w:rsidRPr="00236976">
        <w:rPr>
          <w:lang w:val="en-US"/>
        </w:rPr>
        <w:t xml:space="preserve"> H, Miyamoto K</w:t>
      </w:r>
      <w:r>
        <w:rPr>
          <w:lang w:val="en-US"/>
        </w:rPr>
        <w:t xml:space="preserve">. </w:t>
      </w:r>
      <w:r w:rsidRPr="00236976">
        <w:rPr>
          <w:lang w:val="en-US"/>
        </w:rPr>
        <w:t xml:space="preserve">Regulation of renal phosphate handling: inter-organ communication in health and disease. </w:t>
      </w:r>
      <w:proofErr w:type="gramStart"/>
      <w:r w:rsidRPr="00236976">
        <w:rPr>
          <w:lang w:val="en-US"/>
        </w:rPr>
        <w:t xml:space="preserve">J </w:t>
      </w:r>
      <w:r>
        <w:rPr>
          <w:lang w:val="en-US"/>
        </w:rPr>
        <w:t xml:space="preserve">Bone Miner </w:t>
      </w:r>
      <w:proofErr w:type="spellStart"/>
      <w:r>
        <w:rPr>
          <w:lang w:val="en-US"/>
        </w:rPr>
        <w:t>Metab</w:t>
      </w:r>
      <w:proofErr w:type="spellEnd"/>
      <w:r>
        <w:rPr>
          <w:lang w:val="en-US"/>
        </w:rPr>
        <w:t>.</w:t>
      </w:r>
      <w:proofErr w:type="gramEnd"/>
      <w:r>
        <w:rPr>
          <w:lang w:val="en-US"/>
        </w:rPr>
        <w:t xml:space="preserve"> 2016</w:t>
      </w:r>
      <w:proofErr w:type="gramStart"/>
      <w:r>
        <w:rPr>
          <w:lang w:val="en-US"/>
        </w:rPr>
        <w:t>;34</w:t>
      </w:r>
      <w:proofErr w:type="gramEnd"/>
      <w:r>
        <w:rPr>
          <w:lang w:val="en-US"/>
        </w:rPr>
        <w:t>(1)</w:t>
      </w:r>
      <w:r w:rsidRPr="00236976">
        <w:rPr>
          <w:lang w:val="en-US"/>
        </w:rPr>
        <w:t xml:space="preserve">:1-10. </w:t>
      </w:r>
    </w:p>
    <w:p w:rsidR="00F45EEE" w:rsidRPr="00236976" w:rsidRDefault="00F45EEE" w:rsidP="00D3333A">
      <w:pPr>
        <w:pStyle w:val="Textosimples"/>
        <w:rPr>
          <w:lang w:val="en-US"/>
        </w:rPr>
      </w:pPr>
    </w:p>
    <w:p w:rsidR="00F45EEE" w:rsidRDefault="00F45EEE" w:rsidP="00D3333A">
      <w:pPr>
        <w:pStyle w:val="Textosimples"/>
        <w:rPr>
          <w:lang w:val="en-US"/>
        </w:rPr>
      </w:pPr>
      <w:r w:rsidRPr="00236976">
        <w:rPr>
          <w:lang w:val="en-US"/>
        </w:rPr>
        <w:t xml:space="preserve">Blaine J, </w:t>
      </w:r>
      <w:proofErr w:type="spellStart"/>
      <w:r w:rsidRPr="00236976">
        <w:rPr>
          <w:lang w:val="en-US"/>
        </w:rPr>
        <w:t>Chonchol</w:t>
      </w:r>
      <w:proofErr w:type="spellEnd"/>
      <w:r w:rsidRPr="00236976">
        <w:rPr>
          <w:lang w:val="en-US"/>
        </w:rPr>
        <w:t xml:space="preserve"> M, Levi M</w:t>
      </w:r>
      <w:r>
        <w:rPr>
          <w:lang w:val="en-US"/>
        </w:rPr>
        <w:t>.</w:t>
      </w:r>
      <w:r w:rsidRPr="00922FA1">
        <w:rPr>
          <w:lang w:val="en-US"/>
        </w:rPr>
        <w:t xml:space="preserve"> </w:t>
      </w:r>
      <w:r w:rsidRPr="00236976">
        <w:rPr>
          <w:lang w:val="en-US"/>
        </w:rPr>
        <w:t xml:space="preserve">Renal control of calcium, phosphate, and magnesium homeostasis. </w:t>
      </w:r>
      <w:proofErr w:type="spellStart"/>
      <w:r w:rsidRPr="00236976">
        <w:rPr>
          <w:lang w:val="en-US"/>
        </w:rPr>
        <w:t>Clin</w:t>
      </w:r>
      <w:proofErr w:type="spellEnd"/>
      <w:r w:rsidRPr="00236976">
        <w:rPr>
          <w:lang w:val="en-US"/>
        </w:rPr>
        <w:t xml:space="preserve"> J Am </w:t>
      </w:r>
      <w:proofErr w:type="spellStart"/>
      <w:r w:rsidRPr="00236976">
        <w:rPr>
          <w:lang w:val="en-US"/>
        </w:rPr>
        <w:t>Soc</w:t>
      </w:r>
      <w:proofErr w:type="spellEnd"/>
      <w:r w:rsidRPr="00236976">
        <w:rPr>
          <w:lang w:val="en-US"/>
        </w:rPr>
        <w:t xml:space="preserve"> </w:t>
      </w:r>
      <w:proofErr w:type="spellStart"/>
      <w:r w:rsidRPr="00236976">
        <w:rPr>
          <w:lang w:val="en-US"/>
        </w:rPr>
        <w:t>Nephrol</w:t>
      </w:r>
      <w:proofErr w:type="spellEnd"/>
      <w:r w:rsidRPr="00236976">
        <w:rPr>
          <w:lang w:val="en-US"/>
        </w:rPr>
        <w:t>. 2015</w:t>
      </w:r>
      <w:proofErr w:type="gramStart"/>
      <w:r w:rsidRPr="00236976">
        <w:rPr>
          <w:lang w:val="en-US"/>
        </w:rPr>
        <w:t>;10</w:t>
      </w:r>
      <w:proofErr w:type="gramEnd"/>
      <w:r w:rsidRPr="00236976">
        <w:rPr>
          <w:lang w:val="en-US"/>
        </w:rPr>
        <w:t xml:space="preserve">(7):1257-72. </w:t>
      </w:r>
    </w:p>
    <w:p w:rsidR="00F45EEE" w:rsidRPr="00236976" w:rsidRDefault="00F45EEE" w:rsidP="00D3333A">
      <w:pPr>
        <w:pStyle w:val="Textosimples"/>
        <w:rPr>
          <w:lang w:val="en-US"/>
        </w:rPr>
      </w:pPr>
    </w:p>
    <w:p w:rsidR="00F45EEE" w:rsidRDefault="00F45EEE" w:rsidP="00DE7787">
      <w:pPr>
        <w:pStyle w:val="Textosimples"/>
        <w:rPr>
          <w:lang w:val="en-US"/>
        </w:rPr>
      </w:pPr>
      <w:proofErr w:type="spellStart"/>
      <w:r w:rsidRPr="00236976">
        <w:rPr>
          <w:lang w:val="en-GB"/>
        </w:rPr>
        <w:t>Drüeke</w:t>
      </w:r>
      <w:proofErr w:type="spellEnd"/>
      <w:r w:rsidRPr="00236976">
        <w:rPr>
          <w:lang w:val="en-GB"/>
        </w:rPr>
        <w:t xml:space="preserve"> TB, Massy ZA.</w:t>
      </w:r>
      <w:r w:rsidRPr="00236976">
        <w:rPr>
          <w:lang w:val="en-US"/>
        </w:rPr>
        <w:t xml:space="preserve"> Changing bone patterns with progression of chronic kidney disease. Kidney Int.</w:t>
      </w:r>
      <w:r>
        <w:rPr>
          <w:lang w:val="en-US"/>
        </w:rPr>
        <w:t xml:space="preserve"> </w:t>
      </w:r>
      <w:r w:rsidRPr="00236976">
        <w:rPr>
          <w:lang w:val="en-US"/>
        </w:rPr>
        <w:t>2016</w:t>
      </w:r>
      <w:proofErr w:type="gramStart"/>
      <w:r w:rsidRPr="00236976">
        <w:rPr>
          <w:lang w:val="en-US"/>
        </w:rPr>
        <w:t>;89</w:t>
      </w:r>
      <w:proofErr w:type="gramEnd"/>
      <w:r w:rsidRPr="00236976">
        <w:rPr>
          <w:lang w:val="en-US"/>
        </w:rPr>
        <w:t xml:space="preserve">(2):289-302. </w:t>
      </w:r>
    </w:p>
    <w:p w:rsidR="00F45EEE" w:rsidRPr="00236976" w:rsidRDefault="00F45EEE" w:rsidP="00DE7787">
      <w:pPr>
        <w:pStyle w:val="Textosimples"/>
        <w:rPr>
          <w:lang w:val="en-GB"/>
        </w:rPr>
      </w:pPr>
    </w:p>
    <w:p w:rsidR="00F45EEE" w:rsidRPr="00236976" w:rsidRDefault="00F45EEE" w:rsidP="00D3333A">
      <w:pPr>
        <w:pStyle w:val="Textosimples"/>
        <w:rPr>
          <w:lang w:val="en-US"/>
        </w:rPr>
      </w:pPr>
      <w:r w:rsidRPr="00236976">
        <w:rPr>
          <w:lang w:val="en-US"/>
        </w:rPr>
        <w:t xml:space="preserve">Ritter CS, </w:t>
      </w:r>
      <w:proofErr w:type="spellStart"/>
      <w:r w:rsidRPr="00236976">
        <w:rPr>
          <w:lang w:val="en-US"/>
        </w:rPr>
        <w:t>Slatopolsky</w:t>
      </w:r>
      <w:proofErr w:type="spellEnd"/>
      <w:r w:rsidRPr="00236976">
        <w:rPr>
          <w:lang w:val="en-US"/>
        </w:rPr>
        <w:t xml:space="preserve"> E</w:t>
      </w:r>
      <w:r>
        <w:rPr>
          <w:lang w:val="en-US"/>
        </w:rPr>
        <w:t xml:space="preserve">. </w:t>
      </w:r>
      <w:r w:rsidRPr="00236976">
        <w:rPr>
          <w:lang w:val="en-US"/>
        </w:rPr>
        <w:t>Phosphate Toxicity in CKD: The Killer among Us.</w:t>
      </w:r>
      <w:r>
        <w:rPr>
          <w:lang w:val="en-US"/>
        </w:rPr>
        <w:t xml:space="preserve"> </w:t>
      </w:r>
      <w:proofErr w:type="spellStart"/>
      <w:r w:rsidRPr="00236976">
        <w:rPr>
          <w:lang w:val="en-US"/>
        </w:rPr>
        <w:t>Clin</w:t>
      </w:r>
      <w:proofErr w:type="spellEnd"/>
      <w:r w:rsidRPr="00236976">
        <w:rPr>
          <w:lang w:val="en-US"/>
        </w:rPr>
        <w:t xml:space="preserve"> J Am </w:t>
      </w:r>
      <w:proofErr w:type="spellStart"/>
      <w:r w:rsidRPr="00236976">
        <w:rPr>
          <w:lang w:val="en-US"/>
        </w:rPr>
        <w:t>Soc</w:t>
      </w:r>
      <w:proofErr w:type="spellEnd"/>
      <w:r w:rsidRPr="00236976">
        <w:rPr>
          <w:lang w:val="en-US"/>
        </w:rPr>
        <w:t xml:space="preserve"> </w:t>
      </w:r>
      <w:proofErr w:type="spellStart"/>
      <w:r w:rsidRPr="00236976">
        <w:rPr>
          <w:lang w:val="en-US"/>
        </w:rPr>
        <w:t>Nephrol</w:t>
      </w:r>
      <w:proofErr w:type="spellEnd"/>
      <w:r w:rsidRPr="00236976">
        <w:rPr>
          <w:lang w:val="en-US"/>
        </w:rPr>
        <w:t>. 2016</w:t>
      </w:r>
      <w:proofErr w:type="gramStart"/>
      <w:r w:rsidRPr="00236976">
        <w:rPr>
          <w:lang w:val="en-US"/>
        </w:rPr>
        <w:t>;11</w:t>
      </w:r>
      <w:proofErr w:type="gramEnd"/>
      <w:r w:rsidRPr="00236976">
        <w:rPr>
          <w:lang w:val="en-US"/>
        </w:rPr>
        <w:t xml:space="preserve">(6):1088-100. </w:t>
      </w:r>
    </w:p>
    <w:p w:rsidR="00F45EEE" w:rsidRPr="00236976" w:rsidRDefault="00F45EEE" w:rsidP="00DE7787">
      <w:pPr>
        <w:pStyle w:val="Textosimples"/>
        <w:rPr>
          <w:lang w:val="en-US"/>
        </w:rPr>
      </w:pPr>
    </w:p>
    <w:p w:rsidR="00F45EEE" w:rsidRPr="00236976" w:rsidRDefault="00F45EEE" w:rsidP="00D3333A">
      <w:pPr>
        <w:pStyle w:val="Textosimples"/>
        <w:rPr>
          <w:lang w:val="en-US"/>
        </w:rPr>
      </w:pPr>
      <w:proofErr w:type="spellStart"/>
      <w:r w:rsidRPr="002E3F82">
        <w:rPr>
          <w:lang w:val="en-US"/>
        </w:rPr>
        <w:t>Vervloet</w:t>
      </w:r>
      <w:proofErr w:type="spellEnd"/>
      <w:r w:rsidRPr="002E3F82">
        <w:rPr>
          <w:lang w:val="en-US"/>
        </w:rPr>
        <w:t xml:space="preserve"> MG, Massy ZA, Brandenburg VM, </w:t>
      </w:r>
      <w:proofErr w:type="spellStart"/>
      <w:r w:rsidRPr="002E3F82">
        <w:rPr>
          <w:lang w:val="en-US"/>
        </w:rPr>
        <w:t>Mazzaferro</w:t>
      </w:r>
      <w:proofErr w:type="spellEnd"/>
      <w:r w:rsidRPr="002E3F82">
        <w:rPr>
          <w:lang w:val="en-US"/>
        </w:rPr>
        <w:t xml:space="preserve"> S, </w:t>
      </w:r>
      <w:proofErr w:type="spellStart"/>
      <w:r w:rsidRPr="002E3F82">
        <w:rPr>
          <w:lang w:val="en-US"/>
        </w:rPr>
        <w:t>Cozzolino</w:t>
      </w:r>
      <w:proofErr w:type="spellEnd"/>
      <w:r w:rsidRPr="002E3F82">
        <w:rPr>
          <w:lang w:val="en-US"/>
        </w:rPr>
        <w:t xml:space="preserve"> M, </w:t>
      </w:r>
      <w:proofErr w:type="spellStart"/>
      <w:r w:rsidRPr="002E3F82">
        <w:rPr>
          <w:lang w:val="en-US"/>
        </w:rPr>
        <w:t>Ureña</w:t>
      </w:r>
      <w:proofErr w:type="spellEnd"/>
      <w:r w:rsidRPr="002E3F82">
        <w:rPr>
          <w:lang w:val="en-US"/>
        </w:rPr>
        <w:t xml:space="preserve">-Torres P, et al. </w:t>
      </w:r>
      <w:r w:rsidRPr="00236976">
        <w:rPr>
          <w:lang w:val="en-US"/>
        </w:rPr>
        <w:t>Bone: a new endocrine organ at the heart of chronic kidney disease and mineral and bone disorders.</w:t>
      </w:r>
      <w:r>
        <w:rPr>
          <w:lang w:val="en-US"/>
        </w:rPr>
        <w:t xml:space="preserve"> </w:t>
      </w:r>
      <w:proofErr w:type="gramStart"/>
      <w:r w:rsidRPr="00922FA1">
        <w:rPr>
          <w:lang w:val="en-US"/>
        </w:rPr>
        <w:t xml:space="preserve">Lancet Diabetes </w:t>
      </w:r>
      <w:proofErr w:type="spellStart"/>
      <w:r w:rsidRPr="00922FA1">
        <w:rPr>
          <w:lang w:val="en-US"/>
        </w:rPr>
        <w:t>Endocrinol</w:t>
      </w:r>
      <w:proofErr w:type="spellEnd"/>
      <w:r w:rsidRPr="00922FA1">
        <w:rPr>
          <w:lang w:val="en-US"/>
        </w:rPr>
        <w:t>.</w:t>
      </w:r>
      <w:proofErr w:type="gramEnd"/>
      <w:r w:rsidRPr="00922FA1">
        <w:rPr>
          <w:lang w:val="en-US"/>
        </w:rPr>
        <w:t xml:space="preserve"> </w:t>
      </w:r>
      <w:r w:rsidRPr="00236976">
        <w:rPr>
          <w:lang w:val="en-US"/>
        </w:rPr>
        <w:t>2014</w:t>
      </w:r>
      <w:proofErr w:type="gramStart"/>
      <w:r w:rsidRPr="00236976">
        <w:rPr>
          <w:lang w:val="en-US"/>
        </w:rPr>
        <w:t>;2</w:t>
      </w:r>
      <w:proofErr w:type="gramEnd"/>
      <w:r w:rsidRPr="00236976">
        <w:rPr>
          <w:lang w:val="en-US"/>
        </w:rPr>
        <w:t xml:space="preserve">(5):427-36. </w:t>
      </w:r>
    </w:p>
    <w:p w:rsidR="00F45EEE" w:rsidRPr="00236976" w:rsidRDefault="00F45EEE" w:rsidP="00DE7787">
      <w:pPr>
        <w:pStyle w:val="Textosimples"/>
        <w:rPr>
          <w:lang w:val="en-US"/>
        </w:rPr>
      </w:pPr>
    </w:p>
    <w:p w:rsidR="00F45EEE" w:rsidRPr="00236976" w:rsidRDefault="00F45EEE" w:rsidP="00D3333A">
      <w:pPr>
        <w:pStyle w:val="Textosimples"/>
        <w:rPr>
          <w:lang w:val="en-GB"/>
        </w:rPr>
      </w:pPr>
      <w:proofErr w:type="spellStart"/>
      <w:r w:rsidRPr="00922FA1">
        <w:rPr>
          <w:lang w:val="en-US"/>
        </w:rPr>
        <w:t>Evenepoel</w:t>
      </w:r>
      <w:proofErr w:type="spellEnd"/>
      <w:r w:rsidRPr="00922FA1">
        <w:rPr>
          <w:lang w:val="en-US"/>
        </w:rPr>
        <w:t xml:space="preserve"> P, Rodriguez M, </w:t>
      </w:r>
      <w:proofErr w:type="spellStart"/>
      <w:r w:rsidRPr="00922FA1">
        <w:rPr>
          <w:lang w:val="en-US"/>
        </w:rPr>
        <w:t>Ketteler</w:t>
      </w:r>
      <w:proofErr w:type="spellEnd"/>
      <w:r w:rsidRPr="00922FA1">
        <w:rPr>
          <w:lang w:val="en-US"/>
        </w:rPr>
        <w:t xml:space="preserve"> M. </w:t>
      </w:r>
      <w:r w:rsidRPr="00236976">
        <w:rPr>
          <w:lang w:val="en-US"/>
        </w:rPr>
        <w:t>Laboratory abnormalities in CKD-MBD: markers, predictors, or mediators of disease?</w:t>
      </w:r>
      <w:r>
        <w:rPr>
          <w:lang w:val="en-US"/>
        </w:rPr>
        <w:t xml:space="preserve"> </w:t>
      </w:r>
      <w:proofErr w:type="spellStart"/>
      <w:r>
        <w:rPr>
          <w:lang w:val="en-US"/>
        </w:rPr>
        <w:t>Semin</w:t>
      </w:r>
      <w:proofErr w:type="spellEnd"/>
      <w:r>
        <w:rPr>
          <w:lang w:val="en-US"/>
        </w:rPr>
        <w:t xml:space="preserve"> </w:t>
      </w:r>
      <w:proofErr w:type="spellStart"/>
      <w:r>
        <w:rPr>
          <w:lang w:val="en-US"/>
        </w:rPr>
        <w:t>Nephrol</w:t>
      </w:r>
      <w:proofErr w:type="spellEnd"/>
      <w:r>
        <w:rPr>
          <w:lang w:val="en-US"/>
        </w:rPr>
        <w:t>. 2014</w:t>
      </w:r>
      <w:proofErr w:type="gramStart"/>
      <w:r w:rsidRPr="00236976">
        <w:rPr>
          <w:lang w:val="en-US"/>
        </w:rPr>
        <w:t>;34</w:t>
      </w:r>
      <w:proofErr w:type="gramEnd"/>
      <w:r w:rsidRPr="00236976">
        <w:rPr>
          <w:lang w:val="en-US"/>
        </w:rPr>
        <w:t xml:space="preserve">(2):151-63. </w:t>
      </w:r>
    </w:p>
    <w:p w:rsidR="00F45EEE" w:rsidRPr="00236976" w:rsidRDefault="00F45EEE" w:rsidP="00DE7787">
      <w:pPr>
        <w:pStyle w:val="Textosimples"/>
        <w:rPr>
          <w:lang w:val="en-US"/>
        </w:rPr>
      </w:pPr>
    </w:p>
    <w:p w:rsidR="00F45EEE" w:rsidRPr="00236976" w:rsidRDefault="00F45EEE" w:rsidP="00D3333A">
      <w:pPr>
        <w:pStyle w:val="Textosimples"/>
        <w:rPr>
          <w:lang w:val="en-US"/>
        </w:rPr>
      </w:pPr>
      <w:proofErr w:type="spellStart"/>
      <w:r w:rsidRPr="00236976">
        <w:rPr>
          <w:lang w:val="en-US"/>
        </w:rPr>
        <w:t>Bellasi</w:t>
      </w:r>
      <w:proofErr w:type="spellEnd"/>
      <w:r w:rsidRPr="00236976">
        <w:rPr>
          <w:lang w:val="en-US"/>
        </w:rPr>
        <w:t xml:space="preserve"> A</w:t>
      </w:r>
      <w:r>
        <w:rPr>
          <w:lang w:val="en-US"/>
        </w:rPr>
        <w:t xml:space="preserve">. </w:t>
      </w:r>
      <w:r w:rsidRPr="00236976">
        <w:rPr>
          <w:lang w:val="en-US"/>
        </w:rPr>
        <w:t xml:space="preserve">Pro: Should phosphate binders be used in chronic kidney disease stage 3-4? </w:t>
      </w:r>
      <w:proofErr w:type="spellStart"/>
      <w:proofErr w:type="gramStart"/>
      <w:r w:rsidRPr="00236976">
        <w:rPr>
          <w:lang w:val="en-US"/>
        </w:rPr>
        <w:t>Nephrol</w:t>
      </w:r>
      <w:proofErr w:type="spellEnd"/>
      <w:r w:rsidRPr="00236976">
        <w:rPr>
          <w:lang w:val="en-US"/>
        </w:rPr>
        <w:t xml:space="preserve"> Dial Transplant.</w:t>
      </w:r>
      <w:proofErr w:type="gramEnd"/>
      <w:r w:rsidRPr="00236976">
        <w:rPr>
          <w:lang w:val="en-US"/>
        </w:rPr>
        <w:t xml:space="preserve"> 2016</w:t>
      </w:r>
      <w:proofErr w:type="gramStart"/>
      <w:r w:rsidRPr="00236976">
        <w:rPr>
          <w:lang w:val="en-US"/>
        </w:rPr>
        <w:t>;31</w:t>
      </w:r>
      <w:proofErr w:type="gramEnd"/>
      <w:r w:rsidRPr="00236976">
        <w:rPr>
          <w:lang w:val="en-US"/>
        </w:rPr>
        <w:t>(2):184-8</w:t>
      </w:r>
      <w:r>
        <w:rPr>
          <w:lang w:val="en-US"/>
        </w:rPr>
        <w:t>.</w:t>
      </w:r>
      <w:r w:rsidRPr="00236976">
        <w:rPr>
          <w:lang w:val="en-US"/>
        </w:rPr>
        <w:t xml:space="preserve"> </w:t>
      </w:r>
    </w:p>
    <w:p w:rsidR="00F45EEE" w:rsidRPr="00236976" w:rsidRDefault="00F45EEE" w:rsidP="00DE7787">
      <w:pPr>
        <w:pStyle w:val="Textosimples"/>
        <w:rPr>
          <w:lang w:val="en-US"/>
        </w:rPr>
      </w:pPr>
    </w:p>
    <w:p w:rsidR="00F45EEE" w:rsidRPr="00236976" w:rsidRDefault="00F45EEE" w:rsidP="00D3333A">
      <w:pPr>
        <w:pStyle w:val="Textosimples"/>
        <w:rPr>
          <w:lang w:val="en-US"/>
        </w:rPr>
      </w:pPr>
      <w:r w:rsidRPr="00236976">
        <w:rPr>
          <w:lang w:val="en-US"/>
        </w:rPr>
        <w:t>Wolf M.</w:t>
      </w:r>
      <w:r>
        <w:rPr>
          <w:lang w:val="en-US"/>
        </w:rPr>
        <w:t xml:space="preserve"> </w:t>
      </w:r>
      <w:r w:rsidRPr="00236976">
        <w:rPr>
          <w:lang w:val="en-US"/>
        </w:rPr>
        <w:t>Mineral (Mal</w:t>
      </w:r>
      <w:proofErr w:type="gramStart"/>
      <w:r w:rsidRPr="00236976">
        <w:rPr>
          <w:lang w:val="en-US"/>
        </w:rPr>
        <w:t>)Adaptation</w:t>
      </w:r>
      <w:proofErr w:type="gramEnd"/>
      <w:r w:rsidRPr="00236976">
        <w:rPr>
          <w:lang w:val="en-US"/>
        </w:rPr>
        <w:t xml:space="preserve"> to Kidney Disease.</w:t>
      </w:r>
      <w:r>
        <w:rPr>
          <w:lang w:val="en-US"/>
        </w:rPr>
        <w:t xml:space="preserve"> </w:t>
      </w:r>
      <w:proofErr w:type="spellStart"/>
      <w:r w:rsidRPr="00236976">
        <w:rPr>
          <w:lang w:val="en-US"/>
        </w:rPr>
        <w:t>Clin</w:t>
      </w:r>
      <w:proofErr w:type="spellEnd"/>
      <w:r w:rsidRPr="00236976">
        <w:rPr>
          <w:lang w:val="en-US"/>
        </w:rPr>
        <w:t xml:space="preserve"> J Am </w:t>
      </w:r>
      <w:proofErr w:type="spellStart"/>
      <w:r w:rsidRPr="00236976">
        <w:rPr>
          <w:lang w:val="en-US"/>
        </w:rPr>
        <w:t>Soc</w:t>
      </w:r>
      <w:proofErr w:type="spellEnd"/>
      <w:r w:rsidRPr="00236976">
        <w:rPr>
          <w:lang w:val="en-US"/>
        </w:rPr>
        <w:t xml:space="preserve"> </w:t>
      </w:r>
      <w:proofErr w:type="spellStart"/>
      <w:r w:rsidRPr="00236976">
        <w:rPr>
          <w:lang w:val="en-US"/>
        </w:rPr>
        <w:t>Nephrol</w:t>
      </w:r>
      <w:proofErr w:type="spellEnd"/>
      <w:r w:rsidRPr="00236976">
        <w:rPr>
          <w:lang w:val="en-US"/>
        </w:rPr>
        <w:t>. 2015</w:t>
      </w:r>
      <w:proofErr w:type="gramStart"/>
      <w:r w:rsidRPr="00236976">
        <w:rPr>
          <w:lang w:val="en-US"/>
        </w:rPr>
        <w:t>;10</w:t>
      </w:r>
      <w:proofErr w:type="gramEnd"/>
      <w:r w:rsidRPr="00236976">
        <w:rPr>
          <w:lang w:val="en-US"/>
        </w:rPr>
        <w:t xml:space="preserve">(10):1875-85. </w:t>
      </w:r>
    </w:p>
    <w:p w:rsidR="00F45EEE" w:rsidRPr="00236976" w:rsidRDefault="00F45EEE" w:rsidP="00DE7787">
      <w:pPr>
        <w:pStyle w:val="Textosimples"/>
        <w:rPr>
          <w:lang w:val="en-US"/>
        </w:rPr>
      </w:pPr>
    </w:p>
    <w:p w:rsidR="00F45EEE" w:rsidRDefault="00F45EEE" w:rsidP="00AC5493">
      <w:pPr>
        <w:pStyle w:val="Textosimples"/>
        <w:rPr>
          <w:lang w:val="en-US"/>
        </w:rPr>
      </w:pPr>
      <w:proofErr w:type="spellStart"/>
      <w:r w:rsidRPr="00236976">
        <w:rPr>
          <w:lang w:val="en-US"/>
        </w:rPr>
        <w:t>Dhayat</w:t>
      </w:r>
      <w:proofErr w:type="spellEnd"/>
      <w:r w:rsidRPr="00236976">
        <w:rPr>
          <w:lang w:val="en-US"/>
        </w:rPr>
        <w:t xml:space="preserve"> NA, Ackermann D, </w:t>
      </w:r>
      <w:proofErr w:type="spellStart"/>
      <w:r w:rsidRPr="00236976">
        <w:rPr>
          <w:lang w:val="en-US"/>
        </w:rPr>
        <w:t>Pruijm</w:t>
      </w:r>
      <w:proofErr w:type="spellEnd"/>
      <w:r w:rsidRPr="00236976">
        <w:rPr>
          <w:lang w:val="en-US"/>
        </w:rPr>
        <w:t xml:space="preserve"> M, Ponte B, </w:t>
      </w:r>
      <w:proofErr w:type="spellStart"/>
      <w:r w:rsidRPr="00236976">
        <w:rPr>
          <w:lang w:val="en-US"/>
        </w:rPr>
        <w:t>Ehret</w:t>
      </w:r>
      <w:proofErr w:type="spellEnd"/>
      <w:r w:rsidRPr="00236976">
        <w:rPr>
          <w:lang w:val="en-US"/>
        </w:rPr>
        <w:t xml:space="preserve"> G, </w:t>
      </w:r>
      <w:proofErr w:type="spellStart"/>
      <w:r w:rsidRPr="00236976">
        <w:rPr>
          <w:lang w:val="en-US"/>
        </w:rPr>
        <w:t>Guessous</w:t>
      </w:r>
      <w:proofErr w:type="spellEnd"/>
      <w:r w:rsidRPr="00236976">
        <w:rPr>
          <w:lang w:val="en-US"/>
        </w:rPr>
        <w:t xml:space="preserve"> I, </w:t>
      </w:r>
      <w:r>
        <w:rPr>
          <w:lang w:val="en-US"/>
        </w:rPr>
        <w:t xml:space="preserve">et al. </w:t>
      </w:r>
      <w:r w:rsidRPr="00236976">
        <w:rPr>
          <w:lang w:val="en-US"/>
        </w:rPr>
        <w:t>Fibroblast growth factor 23 and markers of mineral metabolism in individuals with preserved renal function.</w:t>
      </w:r>
      <w:r>
        <w:rPr>
          <w:lang w:val="en-US"/>
        </w:rPr>
        <w:t xml:space="preserve"> </w:t>
      </w:r>
      <w:r w:rsidRPr="00236976">
        <w:rPr>
          <w:lang w:val="en-US"/>
        </w:rPr>
        <w:t>Kidney Int. 2016</w:t>
      </w:r>
      <w:proofErr w:type="gramStart"/>
      <w:r w:rsidRPr="00236976">
        <w:rPr>
          <w:lang w:val="en-US"/>
        </w:rPr>
        <w:t>;90</w:t>
      </w:r>
      <w:proofErr w:type="gramEnd"/>
      <w:r w:rsidRPr="00236976">
        <w:rPr>
          <w:lang w:val="en-US"/>
        </w:rPr>
        <w:t>(3):648-57.</w:t>
      </w:r>
    </w:p>
    <w:p w:rsidR="00F45EEE" w:rsidRPr="00236976" w:rsidRDefault="00F45EEE" w:rsidP="00AC5493">
      <w:pPr>
        <w:pStyle w:val="Textosimples"/>
        <w:rPr>
          <w:lang w:val="en-US"/>
        </w:rPr>
      </w:pPr>
      <w:r w:rsidRPr="00236976">
        <w:rPr>
          <w:lang w:val="en-US"/>
        </w:rPr>
        <w:t xml:space="preserve"> </w:t>
      </w:r>
    </w:p>
    <w:p w:rsidR="00F45EEE" w:rsidRPr="00236976" w:rsidRDefault="00F45EEE" w:rsidP="00D3333A">
      <w:pPr>
        <w:pStyle w:val="Textosimples"/>
        <w:rPr>
          <w:lang w:val="en-US"/>
        </w:rPr>
      </w:pPr>
      <w:proofErr w:type="spellStart"/>
      <w:r w:rsidRPr="00236976">
        <w:rPr>
          <w:lang w:val="en-US"/>
        </w:rPr>
        <w:t>Erben</w:t>
      </w:r>
      <w:proofErr w:type="spellEnd"/>
      <w:r w:rsidRPr="00236976">
        <w:rPr>
          <w:lang w:val="en-US"/>
        </w:rPr>
        <w:t xml:space="preserve"> RG</w:t>
      </w:r>
      <w:r>
        <w:rPr>
          <w:lang w:val="en-US"/>
        </w:rPr>
        <w:t xml:space="preserve">, </w:t>
      </w:r>
      <w:proofErr w:type="spellStart"/>
      <w:r w:rsidRPr="00236976">
        <w:rPr>
          <w:lang w:val="en-US"/>
        </w:rPr>
        <w:t>Andrukhova</w:t>
      </w:r>
      <w:proofErr w:type="spellEnd"/>
      <w:r>
        <w:rPr>
          <w:lang w:val="en-US"/>
        </w:rPr>
        <w:t xml:space="preserve"> O. </w:t>
      </w:r>
      <w:r w:rsidRPr="00236976">
        <w:rPr>
          <w:lang w:val="en-US"/>
        </w:rPr>
        <w:t>FGF23-Klotho signaling axis in the kidney</w:t>
      </w:r>
      <w:r>
        <w:rPr>
          <w:lang w:val="en-US"/>
        </w:rPr>
        <w:t>.</w:t>
      </w:r>
      <w:r w:rsidRPr="00236976">
        <w:rPr>
          <w:lang w:val="en-US"/>
        </w:rPr>
        <w:t xml:space="preserve"> </w:t>
      </w:r>
      <w:proofErr w:type="gramStart"/>
      <w:r w:rsidRPr="00236976">
        <w:rPr>
          <w:lang w:val="en-US"/>
        </w:rPr>
        <w:t>Bone 2016</w:t>
      </w:r>
      <w:r>
        <w:rPr>
          <w:lang w:val="en-US"/>
        </w:rPr>
        <w:t>;</w:t>
      </w:r>
      <w:r w:rsidRPr="00236976">
        <w:rPr>
          <w:lang w:val="en-US"/>
        </w:rPr>
        <w:t xml:space="preserve"> http://dx.doi.org/10.1016/j.bone.2016.09.010</w:t>
      </w:r>
      <w:r>
        <w:rPr>
          <w:lang w:val="en-US"/>
        </w:rPr>
        <w:t>.</w:t>
      </w:r>
      <w:proofErr w:type="gramEnd"/>
    </w:p>
    <w:p w:rsidR="00F45EEE" w:rsidRPr="00236976" w:rsidRDefault="00F45EEE" w:rsidP="008D6D56">
      <w:pPr>
        <w:pStyle w:val="Textosimples"/>
        <w:rPr>
          <w:lang w:val="en-US"/>
        </w:rPr>
      </w:pPr>
    </w:p>
    <w:p w:rsidR="00F45EEE" w:rsidRPr="00236976" w:rsidRDefault="00F45EEE" w:rsidP="008D6D56">
      <w:pPr>
        <w:pStyle w:val="Textosimples"/>
        <w:rPr>
          <w:lang w:val="en-US"/>
        </w:rPr>
      </w:pPr>
      <w:proofErr w:type="gramStart"/>
      <w:r w:rsidRPr="002E3F82">
        <w:rPr>
          <w:lang w:val="en-GB"/>
        </w:rPr>
        <w:t>Kuro-o M, Moe OW.</w:t>
      </w:r>
      <w:proofErr w:type="gramEnd"/>
      <w:r w:rsidRPr="002E3F82">
        <w:rPr>
          <w:lang w:val="en-GB"/>
        </w:rPr>
        <w:t xml:space="preserve"> </w:t>
      </w:r>
      <w:proofErr w:type="gramStart"/>
      <w:r w:rsidRPr="00236976">
        <w:rPr>
          <w:lang w:val="en-US"/>
        </w:rPr>
        <w:t>FGF23-αKlotho as a paradigm for a kidney-bone network</w:t>
      </w:r>
      <w:r>
        <w:rPr>
          <w:lang w:val="en-US"/>
        </w:rPr>
        <w:t>.</w:t>
      </w:r>
      <w:proofErr w:type="gramEnd"/>
      <w:r>
        <w:rPr>
          <w:lang w:val="en-US"/>
        </w:rPr>
        <w:t xml:space="preserve"> Bone </w:t>
      </w:r>
      <w:r w:rsidRPr="00236976">
        <w:rPr>
          <w:lang w:val="en-US"/>
        </w:rPr>
        <w:t>2016</w:t>
      </w:r>
      <w:proofErr w:type="gramStart"/>
      <w:r>
        <w:rPr>
          <w:lang w:val="en-US"/>
        </w:rPr>
        <w:t>;</w:t>
      </w:r>
      <w:proofErr w:type="gramEnd"/>
      <w:r w:rsidR="005D7788">
        <w:fldChar w:fldCharType="begin"/>
      </w:r>
      <w:r w:rsidR="005D7788" w:rsidRPr="00123F49">
        <w:rPr>
          <w:lang w:val="en-US"/>
        </w:rPr>
        <w:instrText xml:space="preserve"> HYPERLINK "http://dx.doi.org/10.1016/" </w:instrText>
      </w:r>
      <w:r w:rsidR="005D7788">
        <w:fldChar w:fldCharType="separate"/>
      </w:r>
      <w:r w:rsidRPr="00236976">
        <w:rPr>
          <w:rStyle w:val="Hiperligao"/>
          <w:color w:val="auto"/>
          <w:lang w:val="en-US"/>
        </w:rPr>
        <w:t>http://dx.doi.org/10.1016/</w:t>
      </w:r>
      <w:r w:rsidR="005D7788">
        <w:rPr>
          <w:rStyle w:val="Hiperligao"/>
          <w:color w:val="auto"/>
          <w:lang w:val="en-US"/>
        </w:rPr>
        <w:fldChar w:fldCharType="end"/>
      </w:r>
      <w:r w:rsidRPr="00236976">
        <w:rPr>
          <w:lang w:val="en-US"/>
        </w:rPr>
        <w:t xml:space="preserve"> j.bone.2016.11.013</w:t>
      </w:r>
      <w:r>
        <w:rPr>
          <w:lang w:val="en-US"/>
        </w:rPr>
        <w:t>.</w:t>
      </w:r>
    </w:p>
    <w:p w:rsidR="00F45EEE" w:rsidRPr="00D32F35" w:rsidRDefault="00F45EEE" w:rsidP="006B446F">
      <w:pPr>
        <w:pStyle w:val="Textosimples"/>
        <w:rPr>
          <w:lang w:val="en-US"/>
        </w:rPr>
      </w:pPr>
      <w:proofErr w:type="spellStart"/>
      <w:r w:rsidRPr="00D32F35">
        <w:rPr>
          <w:lang w:val="en-US"/>
        </w:rPr>
        <w:lastRenderedPageBreak/>
        <w:t>Revisor</w:t>
      </w:r>
      <w:proofErr w:type="spellEnd"/>
      <w:r w:rsidRPr="00D32F35">
        <w:rPr>
          <w:lang w:val="en-US"/>
        </w:rPr>
        <w:t xml:space="preserve"> B:</w:t>
      </w:r>
    </w:p>
    <w:p w:rsidR="00F45EEE" w:rsidRPr="00D32F35" w:rsidRDefault="00F45EEE" w:rsidP="006B446F">
      <w:pPr>
        <w:pStyle w:val="Textosimples"/>
        <w:rPr>
          <w:lang w:val="en-US"/>
        </w:rPr>
      </w:pPr>
    </w:p>
    <w:p w:rsidR="00F45EEE" w:rsidRPr="00D32F35" w:rsidRDefault="00F45EEE" w:rsidP="006B446F">
      <w:pPr>
        <w:pStyle w:val="Textosimples"/>
        <w:rPr>
          <w:lang w:val="en-US"/>
        </w:rPr>
      </w:pPr>
      <w:r>
        <w:rPr>
          <w:lang w:val="en-US"/>
        </w:rPr>
        <w:t>COMMENT</w:t>
      </w:r>
    </w:p>
    <w:p w:rsidR="00F45EEE" w:rsidRPr="00D32F35" w:rsidRDefault="00F45EEE" w:rsidP="006B446F">
      <w:pPr>
        <w:pStyle w:val="Textosimples"/>
        <w:rPr>
          <w:lang w:val="en-US"/>
        </w:rPr>
      </w:pPr>
    </w:p>
    <w:p w:rsidR="00F45EEE" w:rsidRDefault="00F45EEE" w:rsidP="00F36C85">
      <w:pPr>
        <w:pStyle w:val="Textosimples"/>
        <w:outlineLvl w:val="0"/>
        <w:rPr>
          <w:lang w:val="en-US"/>
        </w:rPr>
      </w:pPr>
      <w:r w:rsidRPr="006B446F">
        <w:rPr>
          <w:lang w:val="en-US"/>
        </w:rPr>
        <w:t>In page 11 line 9 one should read Fig 4J instead of Fig. 5J.</w:t>
      </w:r>
      <w:r>
        <w:rPr>
          <w:lang w:val="en-US"/>
        </w:rPr>
        <w:t xml:space="preserve"> </w:t>
      </w:r>
    </w:p>
    <w:p w:rsidR="00F45EEE" w:rsidRDefault="00F45EEE" w:rsidP="00F36C85">
      <w:pPr>
        <w:pStyle w:val="Textosimples"/>
        <w:outlineLvl w:val="0"/>
        <w:rPr>
          <w:lang w:val="en-US"/>
        </w:rPr>
      </w:pPr>
    </w:p>
    <w:p w:rsidR="00F45EEE" w:rsidRDefault="00F45EEE" w:rsidP="006B446F">
      <w:pPr>
        <w:pStyle w:val="Textosimples"/>
        <w:rPr>
          <w:lang w:val="en-US"/>
        </w:rPr>
      </w:pPr>
      <w:r>
        <w:rPr>
          <w:lang w:val="en-US"/>
        </w:rPr>
        <w:t>ANSWER</w:t>
      </w:r>
    </w:p>
    <w:p w:rsidR="00F45EEE" w:rsidRPr="0022540B" w:rsidRDefault="00F45EEE" w:rsidP="006B446F">
      <w:pPr>
        <w:pStyle w:val="Textosimples"/>
        <w:rPr>
          <w:i/>
          <w:lang w:val="en-US"/>
        </w:rPr>
      </w:pPr>
      <w:r w:rsidRPr="00D32F35">
        <w:rPr>
          <w:color w:val="FF0000"/>
          <w:lang w:val="en-US"/>
        </w:rPr>
        <w:t xml:space="preserve"> </w:t>
      </w:r>
      <w:r w:rsidR="004941E3">
        <w:rPr>
          <w:i/>
          <w:lang w:val="en-US"/>
        </w:rPr>
        <w:t>Line 18</w:t>
      </w:r>
      <w:r w:rsidRPr="0022540B">
        <w:rPr>
          <w:i/>
          <w:lang w:val="en-US"/>
        </w:rPr>
        <w:t xml:space="preserve"> page 11 was   “… linearly correlated (Fig. 5J)”</w:t>
      </w:r>
    </w:p>
    <w:p w:rsidR="00F45EEE" w:rsidRPr="0022540B" w:rsidRDefault="00F45EEE" w:rsidP="006B446F">
      <w:pPr>
        <w:pStyle w:val="Textosimples"/>
        <w:rPr>
          <w:i/>
          <w:lang w:val="en-US"/>
        </w:rPr>
      </w:pPr>
      <w:r w:rsidRPr="0022540B">
        <w:rPr>
          <w:i/>
          <w:lang w:val="en-US"/>
        </w:rPr>
        <w:t>And is no</w:t>
      </w:r>
      <w:r>
        <w:rPr>
          <w:i/>
          <w:lang w:val="en-US"/>
        </w:rPr>
        <w:t xml:space="preserve">w “… linearly correlated (Fig. </w:t>
      </w:r>
      <w:r w:rsidRPr="00B62A83">
        <w:rPr>
          <w:i/>
          <w:lang w:val="en-US"/>
        </w:rPr>
        <w:t>3J)</w:t>
      </w:r>
      <w:r w:rsidRPr="0022540B">
        <w:rPr>
          <w:i/>
          <w:lang w:val="en-US"/>
        </w:rPr>
        <w:t>”</w:t>
      </w:r>
    </w:p>
    <w:p w:rsidR="00F45EEE" w:rsidRPr="00D32F35" w:rsidRDefault="00F45EEE" w:rsidP="00D32F35">
      <w:pPr>
        <w:pStyle w:val="Textosimples"/>
        <w:tabs>
          <w:tab w:val="left" w:pos="6878"/>
        </w:tabs>
        <w:rPr>
          <w:color w:val="FF0000"/>
          <w:lang w:val="en-US"/>
        </w:rPr>
      </w:pPr>
      <w:r w:rsidRPr="00D32F35">
        <w:rPr>
          <w:color w:val="FF0000"/>
          <w:lang w:val="en-US"/>
        </w:rPr>
        <w:tab/>
      </w:r>
    </w:p>
    <w:p w:rsidR="00F45EEE" w:rsidRDefault="00F45EEE" w:rsidP="006B446F">
      <w:pPr>
        <w:pStyle w:val="Textosimples"/>
        <w:rPr>
          <w:lang w:val="en-US"/>
        </w:rPr>
      </w:pPr>
    </w:p>
    <w:p w:rsidR="00F45EEE" w:rsidRDefault="00F45EEE" w:rsidP="006B446F">
      <w:pPr>
        <w:pStyle w:val="Textosimples"/>
        <w:rPr>
          <w:lang w:val="en-US"/>
        </w:rPr>
      </w:pPr>
      <w:r>
        <w:rPr>
          <w:lang w:val="en-US"/>
        </w:rPr>
        <w:t>COMMENT</w:t>
      </w:r>
    </w:p>
    <w:p w:rsidR="00F45EEE" w:rsidRDefault="00F45EEE" w:rsidP="006B446F">
      <w:pPr>
        <w:pStyle w:val="Textosimples"/>
        <w:rPr>
          <w:lang w:val="en-US"/>
        </w:rPr>
      </w:pPr>
      <w:r w:rsidRPr="006B446F">
        <w:rPr>
          <w:lang w:val="en-US"/>
        </w:rPr>
        <w:t>There is no financial support declared and there should be a declaration about no conflicts of interest.</w:t>
      </w:r>
      <w:r>
        <w:rPr>
          <w:lang w:val="en-US"/>
        </w:rPr>
        <w:t xml:space="preserve"> </w:t>
      </w:r>
    </w:p>
    <w:p w:rsidR="00F45EEE" w:rsidRDefault="00F45EEE" w:rsidP="006B446F">
      <w:pPr>
        <w:pStyle w:val="Textosimples"/>
        <w:rPr>
          <w:lang w:val="en-US"/>
        </w:rPr>
      </w:pPr>
    </w:p>
    <w:p w:rsidR="00F45EEE" w:rsidRDefault="00F45EEE" w:rsidP="006B446F">
      <w:pPr>
        <w:pStyle w:val="Textosimples"/>
        <w:rPr>
          <w:lang w:val="en-US"/>
        </w:rPr>
      </w:pPr>
      <w:r>
        <w:rPr>
          <w:lang w:val="en-US"/>
        </w:rPr>
        <w:t>ANSWER</w:t>
      </w:r>
    </w:p>
    <w:p w:rsidR="00F45EEE" w:rsidRDefault="00F45EEE" w:rsidP="006B446F">
      <w:pPr>
        <w:pStyle w:val="Textosimples"/>
        <w:rPr>
          <w:i/>
          <w:lang w:val="en-US"/>
        </w:rPr>
      </w:pPr>
      <w:r w:rsidRPr="0022540B">
        <w:rPr>
          <w:i/>
          <w:lang w:val="en-US"/>
        </w:rPr>
        <w:t xml:space="preserve">Line </w:t>
      </w:r>
      <w:r w:rsidR="004941E3">
        <w:rPr>
          <w:i/>
          <w:lang w:val="en-US"/>
        </w:rPr>
        <w:t>15</w:t>
      </w:r>
      <w:r w:rsidRPr="0022540B">
        <w:rPr>
          <w:i/>
          <w:lang w:val="en-US"/>
        </w:rPr>
        <w:t xml:space="preserve"> Page</w:t>
      </w:r>
      <w:r>
        <w:rPr>
          <w:i/>
          <w:lang w:val="en-US"/>
        </w:rPr>
        <w:t xml:space="preserve"> </w:t>
      </w:r>
      <w:proofErr w:type="gramStart"/>
      <w:r>
        <w:rPr>
          <w:i/>
          <w:lang w:val="en-US"/>
        </w:rPr>
        <w:t>12</w:t>
      </w:r>
      <w:r w:rsidRPr="0022540B">
        <w:rPr>
          <w:i/>
          <w:lang w:val="en-US"/>
        </w:rPr>
        <w:t xml:space="preserve">  the</w:t>
      </w:r>
      <w:proofErr w:type="gramEnd"/>
      <w:r w:rsidRPr="0022540B">
        <w:rPr>
          <w:i/>
          <w:lang w:val="en-US"/>
        </w:rPr>
        <w:t xml:space="preserve"> following was added:</w:t>
      </w:r>
    </w:p>
    <w:p w:rsidR="00F45EEE" w:rsidRPr="0022540B" w:rsidRDefault="00F45EEE" w:rsidP="006B446F">
      <w:pPr>
        <w:pStyle w:val="Textosimples"/>
        <w:rPr>
          <w:i/>
          <w:lang w:val="en-US"/>
        </w:rPr>
      </w:pPr>
    </w:p>
    <w:p w:rsidR="00F45EEE" w:rsidRDefault="00F45EEE" w:rsidP="00F36C85">
      <w:pPr>
        <w:pStyle w:val="Textosimples"/>
        <w:outlineLvl w:val="0"/>
        <w:rPr>
          <w:i/>
          <w:lang w:val="en-US"/>
        </w:rPr>
      </w:pPr>
      <w:r w:rsidRPr="0022540B">
        <w:rPr>
          <w:i/>
          <w:lang w:val="en-US"/>
        </w:rPr>
        <w:t>“</w:t>
      </w:r>
      <w:r>
        <w:rPr>
          <w:i/>
          <w:lang w:val="en-US"/>
        </w:rPr>
        <w:t>CONFLICTS OF INTEREST</w:t>
      </w:r>
    </w:p>
    <w:p w:rsidR="00F45EEE" w:rsidRDefault="00F45EEE" w:rsidP="00F36C85">
      <w:pPr>
        <w:pStyle w:val="Textosimples"/>
        <w:outlineLvl w:val="0"/>
        <w:rPr>
          <w:i/>
          <w:lang w:val="en-US"/>
        </w:rPr>
      </w:pPr>
      <w:r w:rsidRPr="0022540B">
        <w:rPr>
          <w:i/>
          <w:lang w:val="en-US"/>
        </w:rPr>
        <w:t>The</w:t>
      </w:r>
      <w:r>
        <w:rPr>
          <w:i/>
          <w:lang w:val="en-US"/>
        </w:rPr>
        <w:t xml:space="preserve"> authors declare that there</w:t>
      </w:r>
      <w:r w:rsidRPr="0022540B">
        <w:rPr>
          <w:i/>
          <w:lang w:val="en-US"/>
        </w:rPr>
        <w:t xml:space="preserve"> are no conflicts of interest”</w:t>
      </w:r>
    </w:p>
    <w:p w:rsidR="00F45EEE" w:rsidRDefault="00F45EEE" w:rsidP="006B446F">
      <w:pPr>
        <w:pStyle w:val="Textosimples"/>
        <w:rPr>
          <w:i/>
          <w:lang w:val="en-US"/>
        </w:rPr>
      </w:pPr>
    </w:p>
    <w:p w:rsidR="00F45EEE" w:rsidRDefault="00F45EEE" w:rsidP="00F36C85">
      <w:pPr>
        <w:pStyle w:val="Textosimples"/>
        <w:outlineLvl w:val="0"/>
        <w:rPr>
          <w:i/>
          <w:lang w:val="en-US"/>
        </w:rPr>
      </w:pPr>
      <w:r>
        <w:rPr>
          <w:i/>
          <w:lang w:val="en-US"/>
        </w:rPr>
        <w:t>FUNDING SOURCES</w:t>
      </w:r>
    </w:p>
    <w:p w:rsidR="00F45EEE" w:rsidRPr="0022540B" w:rsidRDefault="00F45EEE" w:rsidP="00F36C85">
      <w:pPr>
        <w:pStyle w:val="Textosimples"/>
        <w:outlineLvl w:val="0"/>
        <w:rPr>
          <w:i/>
          <w:color w:val="FF0000"/>
          <w:lang w:val="en-US"/>
        </w:rPr>
      </w:pPr>
      <w:r>
        <w:rPr>
          <w:i/>
          <w:lang w:val="en-US"/>
        </w:rPr>
        <w:t>No subsidies or grants contributed to this work”</w:t>
      </w:r>
    </w:p>
    <w:p w:rsidR="00F45EEE" w:rsidRPr="006B446F" w:rsidRDefault="00F45EEE" w:rsidP="006B446F">
      <w:pPr>
        <w:pStyle w:val="Textosimples"/>
        <w:rPr>
          <w:lang w:val="en-US"/>
        </w:rPr>
      </w:pPr>
    </w:p>
    <w:p w:rsidR="00F45EEE" w:rsidRDefault="00F45EEE" w:rsidP="006B446F">
      <w:pPr>
        <w:pStyle w:val="Textosimples"/>
        <w:rPr>
          <w:lang w:val="en-US"/>
        </w:rPr>
      </w:pPr>
    </w:p>
    <w:p w:rsidR="00F45EEE" w:rsidRDefault="00F45EEE" w:rsidP="006B446F">
      <w:pPr>
        <w:pStyle w:val="Textosimples"/>
        <w:rPr>
          <w:lang w:val="en-US"/>
        </w:rPr>
      </w:pPr>
      <w:r>
        <w:rPr>
          <w:lang w:val="en-US"/>
        </w:rPr>
        <w:t>COMMENT</w:t>
      </w:r>
    </w:p>
    <w:p w:rsidR="00F45EEE" w:rsidRDefault="00F45EEE" w:rsidP="006B446F">
      <w:pPr>
        <w:pStyle w:val="Textosimples"/>
        <w:rPr>
          <w:lang w:val="en-US"/>
        </w:rPr>
      </w:pPr>
      <w:r w:rsidRPr="006B446F">
        <w:rPr>
          <w:lang w:val="en-US"/>
        </w:rPr>
        <w:t>If the authors agree, they may erase figure 1 from the article although it is schematic and understandable in the context.</w:t>
      </w:r>
      <w:r>
        <w:rPr>
          <w:lang w:val="en-US"/>
        </w:rPr>
        <w:t xml:space="preserve"> </w:t>
      </w:r>
    </w:p>
    <w:p w:rsidR="00F45EEE" w:rsidRDefault="00F45EEE" w:rsidP="006B446F">
      <w:pPr>
        <w:pStyle w:val="Textosimples"/>
        <w:rPr>
          <w:lang w:val="en-US"/>
        </w:rPr>
      </w:pPr>
    </w:p>
    <w:p w:rsidR="00F45EEE" w:rsidRPr="00927FD0" w:rsidRDefault="00F45EEE" w:rsidP="006B446F">
      <w:pPr>
        <w:pStyle w:val="Textosimples"/>
        <w:rPr>
          <w:lang w:val="en-US"/>
        </w:rPr>
      </w:pPr>
      <w:r>
        <w:rPr>
          <w:lang w:val="en-US"/>
        </w:rPr>
        <w:t>ANSWER</w:t>
      </w:r>
    </w:p>
    <w:p w:rsidR="00F45EEE" w:rsidRDefault="00F45EEE" w:rsidP="006B446F">
      <w:pPr>
        <w:pStyle w:val="Textosimples"/>
        <w:rPr>
          <w:i/>
          <w:lang w:val="en-US"/>
        </w:rPr>
      </w:pPr>
      <w:r w:rsidRPr="0022540B">
        <w:rPr>
          <w:i/>
          <w:lang w:val="en-US"/>
        </w:rPr>
        <w:t>Figure 1 was removed and the remaining figures were renumbered maintaining their order</w:t>
      </w:r>
      <w:r>
        <w:rPr>
          <w:i/>
          <w:lang w:val="en-US"/>
        </w:rPr>
        <w:t xml:space="preserve">. </w:t>
      </w:r>
    </w:p>
    <w:p w:rsidR="00F45EEE" w:rsidRPr="00F36C85" w:rsidRDefault="00F45EEE" w:rsidP="006B446F">
      <w:pPr>
        <w:pStyle w:val="Textosimples"/>
        <w:rPr>
          <w:color w:val="FF0000"/>
          <w:lang w:val="en-US"/>
        </w:rPr>
      </w:pPr>
      <w:r>
        <w:rPr>
          <w:i/>
          <w:lang w:val="en-US"/>
        </w:rPr>
        <w:t xml:space="preserve">The legend of Figure 1 was added to the text in the following form: </w:t>
      </w:r>
    </w:p>
    <w:p w:rsidR="00F45EEE" w:rsidRDefault="00F45EEE" w:rsidP="006B446F">
      <w:pPr>
        <w:pStyle w:val="Textosimples"/>
        <w:rPr>
          <w:i/>
          <w:lang w:val="en-US"/>
        </w:rPr>
      </w:pPr>
    </w:p>
    <w:p w:rsidR="00F45EEE" w:rsidRPr="003750C2" w:rsidRDefault="00F45EEE" w:rsidP="006B446F">
      <w:pPr>
        <w:pStyle w:val="Textosimples"/>
        <w:rPr>
          <w:i/>
          <w:lang w:val="en-GB"/>
        </w:rPr>
      </w:pPr>
      <w:r w:rsidRPr="00365BED">
        <w:rPr>
          <w:i/>
          <w:lang w:val="en-GB"/>
        </w:rPr>
        <w:t xml:space="preserve">(Page 6 Line </w:t>
      </w:r>
      <w:r w:rsidR="004941E3">
        <w:rPr>
          <w:i/>
          <w:lang w:val="en-GB"/>
        </w:rPr>
        <w:t>5</w:t>
      </w:r>
      <w:bookmarkStart w:id="0" w:name="_GoBack"/>
      <w:bookmarkEnd w:id="0"/>
      <w:r w:rsidRPr="00365BED">
        <w:rPr>
          <w:i/>
          <w:lang w:val="en-GB"/>
        </w:rPr>
        <w:t xml:space="preserve">)  </w:t>
      </w:r>
      <w:r w:rsidRPr="003750C2">
        <w:rPr>
          <w:i/>
          <w:lang w:val="en-GB"/>
        </w:rPr>
        <w:t>“</w:t>
      </w:r>
      <w:proofErr w:type="spellStart"/>
      <w:r w:rsidR="00123F49" w:rsidRPr="00123F49">
        <w:rPr>
          <w:i/>
          <w:lang w:val="en-GB"/>
        </w:rPr>
        <w:t>Parathormone</w:t>
      </w:r>
      <w:proofErr w:type="spellEnd"/>
      <w:r w:rsidR="00123F49" w:rsidRPr="00123F49">
        <w:rPr>
          <w:i/>
          <w:lang w:val="en-GB"/>
        </w:rPr>
        <w:t xml:space="preserve"> production is inhibited by [Ca</w:t>
      </w:r>
      <w:proofErr w:type="gramStart"/>
      <w:r w:rsidR="00123F49" w:rsidRPr="00123F49">
        <w:rPr>
          <w:i/>
          <w:lang w:val="en-GB"/>
        </w:rPr>
        <w:t>]</w:t>
      </w:r>
      <w:r w:rsidR="00123F49" w:rsidRPr="00123F49">
        <w:rPr>
          <w:i/>
          <w:vertAlign w:val="subscript"/>
          <w:lang w:val="en-GB"/>
        </w:rPr>
        <w:t>S</w:t>
      </w:r>
      <w:proofErr w:type="gramEnd"/>
      <w:r w:rsidR="00123F49" w:rsidRPr="00123F49">
        <w:rPr>
          <w:i/>
          <w:lang w:val="en-GB"/>
        </w:rPr>
        <w:t>, [1,25(OH)</w:t>
      </w:r>
      <w:r w:rsidR="00123F49" w:rsidRPr="00123F49">
        <w:rPr>
          <w:i/>
          <w:vertAlign w:val="subscript"/>
          <w:lang w:val="en-GB"/>
        </w:rPr>
        <w:t>2</w:t>
      </w:r>
      <w:r w:rsidR="00123F49" w:rsidRPr="00123F49">
        <w:rPr>
          <w:i/>
          <w:lang w:val="en-GB"/>
        </w:rPr>
        <w:t>VD]</w:t>
      </w:r>
      <w:r w:rsidR="00123F49" w:rsidRPr="00123F49">
        <w:rPr>
          <w:i/>
          <w:vertAlign w:val="subscript"/>
          <w:lang w:val="en-GB"/>
        </w:rPr>
        <w:t>S</w:t>
      </w:r>
      <w:r w:rsidR="00123F49" w:rsidRPr="00123F49">
        <w:rPr>
          <w:i/>
          <w:lang w:val="en-GB"/>
        </w:rPr>
        <w:t xml:space="preserve"> and [FGF23]</w:t>
      </w:r>
      <w:r w:rsidR="00123F49" w:rsidRPr="00123F49">
        <w:rPr>
          <w:i/>
          <w:vertAlign w:val="subscript"/>
          <w:lang w:val="en-GB"/>
        </w:rPr>
        <w:t>S</w:t>
      </w:r>
      <w:r w:rsidR="00123F49" w:rsidRPr="00123F49">
        <w:rPr>
          <w:i/>
          <w:lang w:val="en-GB"/>
        </w:rPr>
        <w:t xml:space="preserve"> through the action on its parathyroid glands receptors, respectively </w:t>
      </w:r>
      <w:proofErr w:type="spellStart"/>
      <w:r w:rsidR="00123F49" w:rsidRPr="00123F49">
        <w:rPr>
          <w:i/>
          <w:lang w:val="en-GB"/>
        </w:rPr>
        <w:t>CaR</w:t>
      </w:r>
      <w:proofErr w:type="spellEnd"/>
      <w:r w:rsidR="00123F49" w:rsidRPr="00123F49">
        <w:rPr>
          <w:i/>
          <w:lang w:val="en-GB"/>
        </w:rPr>
        <w:t>, VDR and FGFR coupled to klotho</w:t>
      </w:r>
      <w:r w:rsidR="00123F49" w:rsidRPr="00123F49">
        <w:rPr>
          <w:i/>
          <w:vertAlign w:val="superscript"/>
          <w:lang w:val="en-GB"/>
        </w:rPr>
        <w:t>4</w:t>
      </w:r>
      <w:r w:rsidR="00123F49" w:rsidRPr="00123F49">
        <w:rPr>
          <w:i/>
          <w:lang w:val="en-GB"/>
        </w:rPr>
        <w:t>. [P]</w:t>
      </w:r>
      <w:r w:rsidR="00123F49" w:rsidRPr="00123F49">
        <w:rPr>
          <w:i/>
          <w:vertAlign w:val="subscript"/>
          <w:lang w:val="en-GB"/>
        </w:rPr>
        <w:t>S</w:t>
      </w:r>
      <w:r w:rsidR="00123F49" w:rsidRPr="00123F49">
        <w:rPr>
          <w:i/>
          <w:lang w:val="en-GB"/>
        </w:rPr>
        <w:t xml:space="preserve"> stimulates PTH production through an extracellular putative receptor not yet identified</w:t>
      </w:r>
      <w:r w:rsidR="00123F49" w:rsidRPr="00123F49">
        <w:rPr>
          <w:i/>
          <w:vertAlign w:val="superscript"/>
          <w:lang w:val="en-GB"/>
        </w:rPr>
        <w:t>5</w:t>
      </w:r>
      <w:r w:rsidR="00123F49" w:rsidRPr="00123F49">
        <w:rPr>
          <w:i/>
          <w:lang w:val="en-GB"/>
        </w:rPr>
        <w:t>. On the other hand, PTH leads to [P</w:t>
      </w:r>
      <w:proofErr w:type="gramStart"/>
      <w:r w:rsidR="00123F49" w:rsidRPr="00123F49">
        <w:rPr>
          <w:i/>
          <w:lang w:val="en-GB"/>
        </w:rPr>
        <w:t>]</w:t>
      </w:r>
      <w:r w:rsidR="00123F49" w:rsidRPr="00123F49">
        <w:rPr>
          <w:i/>
          <w:vertAlign w:val="subscript"/>
          <w:lang w:val="en-GB"/>
        </w:rPr>
        <w:t>S</w:t>
      </w:r>
      <w:proofErr w:type="gramEnd"/>
      <w:r w:rsidR="00123F49" w:rsidRPr="00123F49">
        <w:rPr>
          <w:i/>
          <w:lang w:val="en-GB"/>
        </w:rPr>
        <w:t xml:space="preserve"> decrease by promoting its kidney excretion and increases [Ca]</w:t>
      </w:r>
      <w:r w:rsidR="00123F49" w:rsidRPr="00123F49">
        <w:rPr>
          <w:i/>
          <w:vertAlign w:val="subscript"/>
          <w:lang w:val="en-GB"/>
        </w:rPr>
        <w:t>S</w:t>
      </w:r>
      <w:r w:rsidR="00123F49" w:rsidRPr="00123F49">
        <w:rPr>
          <w:i/>
          <w:lang w:val="en-GB"/>
        </w:rPr>
        <w:t>, [1,25(OH)</w:t>
      </w:r>
      <w:r w:rsidR="00123F49" w:rsidRPr="00123F49">
        <w:rPr>
          <w:i/>
          <w:vertAlign w:val="subscript"/>
          <w:lang w:val="en-GB"/>
        </w:rPr>
        <w:t>2</w:t>
      </w:r>
      <w:r w:rsidR="00123F49" w:rsidRPr="00123F49">
        <w:rPr>
          <w:i/>
          <w:lang w:val="en-GB"/>
        </w:rPr>
        <w:t>VD]</w:t>
      </w:r>
      <w:r w:rsidR="00123F49" w:rsidRPr="00123F49">
        <w:rPr>
          <w:i/>
          <w:vertAlign w:val="subscript"/>
          <w:lang w:val="en-GB"/>
        </w:rPr>
        <w:t>S</w:t>
      </w:r>
      <w:r w:rsidR="00123F49" w:rsidRPr="00123F49">
        <w:rPr>
          <w:i/>
          <w:lang w:val="en-GB"/>
        </w:rPr>
        <w:t xml:space="preserve"> and [FGF23]</w:t>
      </w:r>
      <w:r w:rsidR="00123F49" w:rsidRPr="00123F49">
        <w:rPr>
          <w:i/>
          <w:vertAlign w:val="subscript"/>
          <w:lang w:val="en-GB"/>
        </w:rPr>
        <w:t>S</w:t>
      </w:r>
      <w:r w:rsidR="00123F49" w:rsidRPr="00123F49">
        <w:rPr>
          <w:i/>
          <w:lang w:val="en-GB"/>
        </w:rPr>
        <w:t>, stimulating Ca bone and renal resorption, 1,25(OH)</w:t>
      </w:r>
      <w:r w:rsidR="00123F49" w:rsidRPr="00123F49">
        <w:rPr>
          <w:i/>
          <w:vertAlign w:val="subscript"/>
          <w:lang w:val="en-GB"/>
        </w:rPr>
        <w:t>2</w:t>
      </w:r>
      <w:r w:rsidR="00123F49" w:rsidRPr="00123F49">
        <w:rPr>
          <w:i/>
          <w:lang w:val="en-GB"/>
        </w:rPr>
        <w:t>VD renal production and FGF23 bone production</w:t>
      </w:r>
      <w:r w:rsidR="00123F49" w:rsidRPr="00123F49">
        <w:rPr>
          <w:i/>
          <w:vertAlign w:val="superscript"/>
          <w:lang w:val="en-GB"/>
        </w:rPr>
        <w:t>6</w:t>
      </w:r>
      <w:r>
        <w:rPr>
          <w:i/>
          <w:lang w:val="en-GB"/>
        </w:rPr>
        <w:t>”</w:t>
      </w:r>
    </w:p>
    <w:p w:rsidR="00F45EEE" w:rsidRDefault="00F45EEE" w:rsidP="006B446F">
      <w:pPr>
        <w:pStyle w:val="Textosimples"/>
        <w:rPr>
          <w:lang w:val="en-GB"/>
        </w:rPr>
      </w:pPr>
    </w:p>
    <w:p w:rsidR="00F45EEE" w:rsidRDefault="00F45EEE" w:rsidP="006B446F">
      <w:pPr>
        <w:pStyle w:val="Textosimples"/>
        <w:rPr>
          <w:lang w:val="en-GB"/>
        </w:rPr>
      </w:pPr>
    </w:p>
    <w:p w:rsidR="00F45EEE" w:rsidRDefault="00F45EEE" w:rsidP="006B446F">
      <w:pPr>
        <w:pStyle w:val="Textosimples"/>
        <w:rPr>
          <w:lang w:val="en-GB"/>
        </w:rPr>
      </w:pPr>
    </w:p>
    <w:p w:rsidR="00F45EEE" w:rsidRPr="003750C2" w:rsidRDefault="00F45EEE" w:rsidP="006B446F">
      <w:pPr>
        <w:pStyle w:val="Textosimples"/>
        <w:rPr>
          <w:lang w:val="en-GB"/>
        </w:rPr>
      </w:pPr>
      <w:r>
        <w:rPr>
          <w:lang w:val="en-GB"/>
        </w:rPr>
        <w:t>COMMENT</w:t>
      </w:r>
    </w:p>
    <w:p w:rsidR="00F45EEE" w:rsidRDefault="00F45EEE" w:rsidP="00BF5AA2">
      <w:pPr>
        <w:pStyle w:val="Textosimples"/>
        <w:rPr>
          <w:lang w:val="en-US"/>
        </w:rPr>
      </w:pPr>
      <w:r w:rsidRPr="006B446F">
        <w:rPr>
          <w:lang w:val="en-US"/>
        </w:rPr>
        <w:t>Discussion: The authors explain the relevance of the results. They describe a relevant limitation of the study: the missing data of the variable FGF23 which would be so important to make the article much more interesting. They underline that it is needed a further study that includes FGF23. Some of the conclusions made in the discussion are based upon the references and not based in study data (example: page 10 – line 11).</w:t>
      </w:r>
    </w:p>
    <w:p w:rsidR="00F45EEE" w:rsidRDefault="00F45EEE" w:rsidP="00BF5AA2">
      <w:pPr>
        <w:pStyle w:val="Textosimples"/>
        <w:rPr>
          <w:lang w:val="en-US"/>
        </w:rPr>
      </w:pPr>
    </w:p>
    <w:p w:rsidR="00123F49" w:rsidRDefault="00123F49" w:rsidP="00BF5AA2">
      <w:pPr>
        <w:pStyle w:val="Textosimples"/>
        <w:rPr>
          <w:lang w:val="en-US"/>
        </w:rPr>
      </w:pPr>
    </w:p>
    <w:p w:rsidR="00F45EEE" w:rsidRDefault="00F45EEE" w:rsidP="00BF5AA2">
      <w:pPr>
        <w:pStyle w:val="Textosimples"/>
        <w:rPr>
          <w:lang w:val="en-US"/>
        </w:rPr>
      </w:pPr>
    </w:p>
    <w:p w:rsidR="00F45EEE" w:rsidRDefault="00F45EEE" w:rsidP="00BF5AA2">
      <w:pPr>
        <w:pStyle w:val="Textosimples"/>
        <w:rPr>
          <w:lang w:val="en-US"/>
        </w:rPr>
      </w:pPr>
      <w:r>
        <w:rPr>
          <w:lang w:val="en-US"/>
        </w:rPr>
        <w:lastRenderedPageBreak/>
        <w:t>ANSWER</w:t>
      </w:r>
    </w:p>
    <w:p w:rsidR="00F45EEE" w:rsidRPr="004D49A3" w:rsidRDefault="00F45EEE" w:rsidP="00BF5AA2">
      <w:pPr>
        <w:pStyle w:val="Textosimples"/>
        <w:rPr>
          <w:i/>
          <w:lang w:val="en-US"/>
        </w:rPr>
      </w:pPr>
      <w:r>
        <w:rPr>
          <w:lang w:val="en-US"/>
        </w:rPr>
        <w:t>“</w:t>
      </w:r>
      <w:r w:rsidRPr="004D49A3">
        <w:rPr>
          <w:i/>
          <w:lang w:val="en-US"/>
        </w:rPr>
        <w:t>As stated by REFEREE F:</w:t>
      </w:r>
    </w:p>
    <w:p w:rsidR="00F45EEE" w:rsidRDefault="00F45EEE" w:rsidP="004D49A3">
      <w:pPr>
        <w:pStyle w:val="Textosimples"/>
        <w:ind w:left="360"/>
        <w:rPr>
          <w:i/>
        </w:rPr>
      </w:pPr>
      <w:r w:rsidRPr="004D49A3">
        <w:rPr>
          <w:i/>
        </w:rPr>
        <w:t xml:space="preserve">Por ser um estudo </w:t>
      </w:r>
      <w:proofErr w:type="spellStart"/>
      <w:r w:rsidRPr="004D49A3">
        <w:rPr>
          <w:i/>
        </w:rPr>
        <w:t>retrospetivo</w:t>
      </w:r>
      <w:proofErr w:type="spellEnd"/>
      <w:r w:rsidRPr="004D49A3">
        <w:rPr>
          <w:i/>
        </w:rPr>
        <w:t xml:space="preserve"> não permite, como os autores mencionam e bem, avaliar uma variável importante que é o valor do </w:t>
      </w:r>
      <w:proofErr w:type="spellStart"/>
      <w:r w:rsidRPr="004D49A3">
        <w:rPr>
          <w:i/>
        </w:rPr>
        <w:t>Fibroblast</w:t>
      </w:r>
      <w:proofErr w:type="spellEnd"/>
      <w:r w:rsidRPr="004D49A3">
        <w:rPr>
          <w:i/>
        </w:rPr>
        <w:t xml:space="preserve"> </w:t>
      </w:r>
      <w:proofErr w:type="spellStart"/>
      <w:r w:rsidRPr="004D49A3">
        <w:rPr>
          <w:i/>
        </w:rPr>
        <w:t>Growth</w:t>
      </w:r>
      <w:proofErr w:type="spellEnd"/>
      <w:r w:rsidRPr="004D49A3">
        <w:rPr>
          <w:i/>
        </w:rPr>
        <w:t xml:space="preserve"> Factor 23 (FGF23).”</w:t>
      </w:r>
    </w:p>
    <w:p w:rsidR="00F45EEE" w:rsidRPr="004D49A3" w:rsidRDefault="00F45EEE" w:rsidP="004D49A3">
      <w:pPr>
        <w:pStyle w:val="Textosimples"/>
        <w:ind w:left="360"/>
        <w:rPr>
          <w:i/>
          <w:color w:val="FF0000"/>
        </w:rPr>
      </w:pPr>
    </w:p>
    <w:p w:rsidR="00F45EEE" w:rsidRDefault="00F45EEE" w:rsidP="00BF5AA2">
      <w:pPr>
        <w:pStyle w:val="Textosimples"/>
        <w:rPr>
          <w:lang w:val="en-US"/>
        </w:rPr>
      </w:pPr>
      <w:r>
        <w:rPr>
          <w:lang w:val="en-US"/>
        </w:rPr>
        <w:t>COMMENT</w:t>
      </w:r>
    </w:p>
    <w:p w:rsidR="00F45EEE" w:rsidRDefault="00F45EEE" w:rsidP="00BF5AA2">
      <w:pPr>
        <w:pStyle w:val="Textosimples"/>
        <w:rPr>
          <w:color w:val="FF0000"/>
          <w:lang w:val="en-US"/>
        </w:rPr>
      </w:pPr>
      <w:r w:rsidRPr="00FF6780">
        <w:rPr>
          <w:lang w:val="en-US"/>
        </w:rPr>
        <w:t>Some unexplained results as the ones found in Chart 4G are interesting enough to put some new q</w:t>
      </w:r>
      <w:r w:rsidRPr="006B446F">
        <w:rPr>
          <w:lang w:val="en-US"/>
        </w:rPr>
        <w:t>uestions about the known pathophysiology of mineral bone disease in CKD.</w:t>
      </w:r>
      <w:r>
        <w:rPr>
          <w:lang w:val="en-US"/>
        </w:rPr>
        <w:t xml:space="preserve"> </w:t>
      </w:r>
      <w:r>
        <w:rPr>
          <w:color w:val="FF0000"/>
          <w:lang w:val="en-US"/>
        </w:rPr>
        <w:t xml:space="preserve"> </w:t>
      </w:r>
    </w:p>
    <w:p w:rsidR="00F45EEE" w:rsidRDefault="00F45EEE" w:rsidP="00BF5AA2">
      <w:pPr>
        <w:pStyle w:val="Textosimples"/>
        <w:rPr>
          <w:color w:val="FF0000"/>
          <w:lang w:val="en-US"/>
        </w:rPr>
      </w:pPr>
    </w:p>
    <w:p w:rsidR="00F45EEE" w:rsidRPr="002E3F82" w:rsidRDefault="00F45EEE" w:rsidP="00BF5AA2">
      <w:pPr>
        <w:pStyle w:val="Textosimples"/>
        <w:rPr>
          <w:lang w:val="en-US"/>
        </w:rPr>
      </w:pPr>
      <w:r w:rsidRPr="002E3F82">
        <w:rPr>
          <w:lang w:val="en-US"/>
        </w:rPr>
        <w:t>ANSWER</w:t>
      </w:r>
    </w:p>
    <w:p w:rsidR="00F45EEE" w:rsidRPr="00F36C85" w:rsidRDefault="002B5F2C" w:rsidP="00F36C85">
      <w:pPr>
        <w:pStyle w:val="Textosimples"/>
        <w:outlineLvl w:val="0"/>
        <w:rPr>
          <w:rFonts w:ascii="Arial" w:hAnsi="Arial"/>
          <w:i/>
          <w:lang w:val="en-US"/>
        </w:rPr>
      </w:pPr>
      <w:r>
        <w:rPr>
          <w:rFonts w:ascii="Arial" w:hAnsi="Arial"/>
          <w:i/>
          <w:lang w:val="en-US"/>
        </w:rPr>
        <w:t>“After (page 11, line 8</w:t>
      </w:r>
      <w:r w:rsidR="00F45EEE" w:rsidRPr="00F36C85">
        <w:rPr>
          <w:rFonts w:ascii="Arial" w:hAnsi="Arial"/>
          <w:i/>
          <w:lang w:val="en-US"/>
        </w:rPr>
        <w:t>)</w:t>
      </w:r>
    </w:p>
    <w:p w:rsidR="00F45EEE" w:rsidRPr="00F36C85" w:rsidRDefault="00F45EEE" w:rsidP="00BF5AA2">
      <w:pPr>
        <w:pStyle w:val="Textosimples"/>
        <w:rPr>
          <w:rFonts w:ascii="Arial" w:hAnsi="Arial"/>
          <w:i/>
          <w:lang w:val="en-US"/>
        </w:rPr>
      </w:pPr>
    </w:p>
    <w:p w:rsidR="00F45EEE" w:rsidRDefault="00F45EEE" w:rsidP="00BF5AA2">
      <w:pPr>
        <w:pStyle w:val="Textosimples"/>
        <w:rPr>
          <w:rFonts w:ascii="Arial" w:hAnsi="Arial"/>
          <w:i/>
          <w:lang w:val="en-US"/>
        </w:rPr>
      </w:pPr>
      <w:r w:rsidRPr="0089335D">
        <w:rPr>
          <w:rFonts w:ascii="Arial" w:hAnsi="Arial"/>
          <w:i/>
          <w:lang w:val="en-US"/>
        </w:rPr>
        <w:t xml:space="preserve">     </w:t>
      </w:r>
      <w:proofErr w:type="gramStart"/>
      <w:r>
        <w:rPr>
          <w:rFonts w:ascii="Arial" w:hAnsi="Arial"/>
          <w:i/>
          <w:lang w:val="en-US"/>
        </w:rPr>
        <w:t>….</w:t>
      </w:r>
      <w:r w:rsidRPr="0089335D">
        <w:rPr>
          <w:rFonts w:ascii="Arial" w:hAnsi="Arial"/>
          <w:i/>
          <w:lang w:val="en-US"/>
        </w:rPr>
        <w:t xml:space="preserve">      unexplained negative slope.</w:t>
      </w:r>
      <w:proofErr w:type="gramEnd"/>
      <w:r w:rsidRPr="0089335D">
        <w:rPr>
          <w:rFonts w:ascii="Arial" w:hAnsi="Arial"/>
          <w:i/>
          <w:lang w:val="en-US"/>
        </w:rPr>
        <w:t xml:space="preserve"> </w:t>
      </w:r>
    </w:p>
    <w:p w:rsidR="00F45EEE" w:rsidRPr="0089335D" w:rsidRDefault="00F45EEE" w:rsidP="00BF5AA2">
      <w:pPr>
        <w:pStyle w:val="Textosimples"/>
        <w:rPr>
          <w:rFonts w:ascii="Arial" w:hAnsi="Arial"/>
          <w:i/>
          <w:lang w:val="en-US"/>
        </w:rPr>
      </w:pPr>
    </w:p>
    <w:p w:rsidR="00F45EEE" w:rsidRPr="0089335D" w:rsidRDefault="00F45EEE" w:rsidP="00F36C85">
      <w:pPr>
        <w:pStyle w:val="Textosimples"/>
        <w:outlineLvl w:val="0"/>
        <w:rPr>
          <w:rFonts w:ascii="Arial" w:hAnsi="Arial"/>
          <w:i/>
          <w:lang w:val="en-US"/>
        </w:rPr>
      </w:pPr>
      <w:r w:rsidRPr="0089335D">
        <w:rPr>
          <w:rFonts w:ascii="Arial" w:hAnsi="Arial"/>
          <w:i/>
          <w:lang w:val="en-US"/>
        </w:rPr>
        <w:t>The following was added</w:t>
      </w:r>
      <w:r>
        <w:rPr>
          <w:rFonts w:ascii="Arial" w:hAnsi="Arial"/>
          <w:i/>
          <w:lang w:val="en-US"/>
        </w:rPr>
        <w:t>:</w:t>
      </w:r>
    </w:p>
    <w:p w:rsidR="00F45EEE" w:rsidRPr="0089335D" w:rsidRDefault="00F45EEE" w:rsidP="00BF5AA2">
      <w:pPr>
        <w:pStyle w:val="Textosimples"/>
        <w:rPr>
          <w:rFonts w:ascii="Arial" w:hAnsi="Arial"/>
          <w:i/>
          <w:lang w:val="en-US"/>
        </w:rPr>
      </w:pPr>
    </w:p>
    <w:p w:rsidR="00F45EEE" w:rsidRPr="00D4620D" w:rsidRDefault="00F45EEE" w:rsidP="00BF5AA2">
      <w:pPr>
        <w:pStyle w:val="Textosimples"/>
        <w:rPr>
          <w:rFonts w:ascii="Arial" w:hAnsi="Arial"/>
          <w:i/>
          <w:color w:val="FF0000"/>
          <w:lang w:val="en-GB"/>
        </w:rPr>
      </w:pPr>
      <w:r>
        <w:rPr>
          <w:rFonts w:ascii="Arial" w:hAnsi="Arial"/>
          <w:i/>
          <w:lang w:val="en-US"/>
        </w:rPr>
        <w:t>“</w:t>
      </w:r>
      <w:r w:rsidRPr="0089335D">
        <w:rPr>
          <w:rFonts w:ascii="Arial" w:hAnsi="Arial"/>
          <w:i/>
          <w:lang w:val="en-US"/>
        </w:rPr>
        <w:t xml:space="preserve">A possible </w:t>
      </w:r>
      <w:r>
        <w:rPr>
          <w:rFonts w:ascii="Arial" w:hAnsi="Arial"/>
          <w:i/>
          <w:lang w:val="en-GB"/>
        </w:rPr>
        <w:t>explanation</w:t>
      </w:r>
      <w:r w:rsidRPr="00D4620D">
        <w:rPr>
          <w:rFonts w:ascii="Arial" w:hAnsi="Arial"/>
          <w:i/>
          <w:lang w:val="en-GB"/>
        </w:rPr>
        <w:t xml:space="preserve"> is that for values of </w:t>
      </w:r>
      <w:proofErr w:type="spellStart"/>
      <w:r w:rsidR="005D7788">
        <w:rPr>
          <w:rFonts w:ascii="Arial" w:hAnsi="Arial"/>
          <w:i/>
          <w:lang w:val="en-GB"/>
        </w:rPr>
        <w:t>e</w:t>
      </w:r>
      <w:r w:rsidRPr="00D4620D">
        <w:rPr>
          <w:rFonts w:ascii="Arial" w:hAnsi="Arial"/>
          <w:i/>
          <w:lang w:val="en-GB"/>
        </w:rPr>
        <w:t>GFR</w:t>
      </w:r>
      <w:proofErr w:type="spellEnd"/>
      <w:r w:rsidRPr="00D4620D">
        <w:rPr>
          <w:rFonts w:ascii="Arial" w:hAnsi="Arial"/>
          <w:i/>
          <w:color w:val="FF0000"/>
          <w:lang w:val="en-GB"/>
        </w:rPr>
        <w:t xml:space="preserve"> </w:t>
      </w:r>
      <w:r w:rsidR="005D7788">
        <w:rPr>
          <w:rFonts w:ascii="Arial" w:hAnsi="Arial"/>
          <w:i/>
          <w:lang w:val="en-GB"/>
        </w:rPr>
        <w:t xml:space="preserve">above </w:t>
      </w:r>
      <w:r>
        <w:rPr>
          <w:rFonts w:ascii="Arial" w:hAnsi="Arial"/>
          <w:i/>
          <w:lang w:val="en-US"/>
        </w:rPr>
        <w:t>80 ml/min per 1,73m</w:t>
      </w:r>
      <w:r w:rsidRPr="00B06B44">
        <w:rPr>
          <w:rFonts w:ascii="Arial" w:hAnsi="Arial"/>
          <w:i/>
          <w:vertAlign w:val="superscript"/>
          <w:lang w:val="en-US"/>
        </w:rPr>
        <w:t>2</w:t>
      </w:r>
      <w:r>
        <w:rPr>
          <w:rFonts w:ascii="Arial" w:hAnsi="Arial"/>
          <w:i/>
          <w:lang w:val="en-US"/>
        </w:rPr>
        <w:t xml:space="preserve"> (when [PTH</w:t>
      </w:r>
      <w:proofErr w:type="gramStart"/>
      <w:r>
        <w:rPr>
          <w:rFonts w:ascii="Arial" w:hAnsi="Arial"/>
          <w:i/>
          <w:lang w:val="en-US"/>
        </w:rPr>
        <w:t>]</w:t>
      </w:r>
      <w:r w:rsidRPr="00D4620D">
        <w:rPr>
          <w:rFonts w:ascii="Arial" w:hAnsi="Arial"/>
          <w:i/>
          <w:vertAlign w:val="subscript"/>
          <w:lang w:val="en-US"/>
        </w:rPr>
        <w:t>S</w:t>
      </w:r>
      <w:proofErr w:type="gramEnd"/>
      <w:r>
        <w:rPr>
          <w:rFonts w:ascii="Arial" w:hAnsi="Arial"/>
          <w:i/>
          <w:lang w:val="en-US"/>
        </w:rPr>
        <w:t xml:space="preserve"> values are the lowest), [P]</w:t>
      </w:r>
      <w:r w:rsidRPr="00D4620D">
        <w:rPr>
          <w:rFonts w:ascii="Arial" w:hAnsi="Arial"/>
          <w:i/>
          <w:vertAlign w:val="subscript"/>
          <w:lang w:val="en-US"/>
        </w:rPr>
        <w:t>S</w:t>
      </w:r>
      <w:r>
        <w:rPr>
          <w:rFonts w:ascii="Arial" w:hAnsi="Arial"/>
          <w:i/>
          <w:lang w:val="en-US"/>
        </w:rPr>
        <w:t xml:space="preserve"> is driven by [PTH]</w:t>
      </w:r>
      <w:r w:rsidRPr="00D4620D">
        <w:rPr>
          <w:rFonts w:ascii="Arial" w:hAnsi="Arial"/>
          <w:i/>
          <w:vertAlign w:val="subscript"/>
          <w:lang w:val="en-US"/>
        </w:rPr>
        <w:t>S</w:t>
      </w:r>
      <w:r w:rsidRPr="0089335D">
        <w:rPr>
          <w:rFonts w:ascii="Arial" w:hAnsi="Arial"/>
          <w:i/>
          <w:lang w:val="en-US"/>
        </w:rPr>
        <w:t xml:space="preserve"> </w:t>
      </w:r>
      <w:r>
        <w:rPr>
          <w:rFonts w:ascii="Arial" w:hAnsi="Arial"/>
          <w:i/>
          <w:lang w:val="en-US"/>
        </w:rPr>
        <w:t xml:space="preserve">. Alternatively or in addition, </w:t>
      </w:r>
      <w:r w:rsidRPr="0089335D">
        <w:rPr>
          <w:rFonts w:ascii="Arial" w:hAnsi="Arial"/>
          <w:i/>
          <w:lang w:val="en-US"/>
        </w:rPr>
        <w:t>an early rise of FGF23 when [PTH</w:t>
      </w:r>
      <w:proofErr w:type="gramStart"/>
      <w:r w:rsidRPr="0089335D">
        <w:rPr>
          <w:rFonts w:ascii="Arial" w:hAnsi="Arial"/>
          <w:i/>
          <w:lang w:val="en-US"/>
        </w:rPr>
        <w:t>]</w:t>
      </w:r>
      <w:r w:rsidRPr="0089335D">
        <w:rPr>
          <w:rFonts w:ascii="Arial" w:hAnsi="Arial"/>
          <w:i/>
          <w:vertAlign w:val="subscript"/>
          <w:lang w:val="en-US"/>
        </w:rPr>
        <w:t>S</w:t>
      </w:r>
      <w:proofErr w:type="gramEnd"/>
      <w:r w:rsidRPr="0089335D">
        <w:rPr>
          <w:rFonts w:ascii="Arial" w:hAnsi="Arial"/>
          <w:i/>
          <w:lang w:val="en-US"/>
        </w:rPr>
        <w:t xml:space="preserve"> has not increased </w:t>
      </w:r>
      <w:r>
        <w:rPr>
          <w:rFonts w:ascii="Arial" w:hAnsi="Arial"/>
          <w:i/>
          <w:lang w:val="en-US"/>
        </w:rPr>
        <w:t xml:space="preserve">yet </w:t>
      </w:r>
      <w:r w:rsidRPr="0089335D">
        <w:rPr>
          <w:rFonts w:ascii="Arial" w:hAnsi="Arial"/>
          <w:i/>
          <w:lang w:val="en-US"/>
        </w:rPr>
        <w:t>(see Fig</w:t>
      </w:r>
      <w:r>
        <w:rPr>
          <w:rFonts w:ascii="Arial" w:hAnsi="Arial"/>
          <w:i/>
          <w:lang w:val="en-US"/>
        </w:rPr>
        <w:t>.</w:t>
      </w:r>
      <w:r w:rsidRPr="0089335D">
        <w:rPr>
          <w:rFonts w:ascii="Arial" w:hAnsi="Arial"/>
          <w:i/>
          <w:lang w:val="en-US"/>
        </w:rPr>
        <w:t xml:space="preserve"> </w:t>
      </w:r>
      <w:r>
        <w:rPr>
          <w:rFonts w:ascii="Arial" w:hAnsi="Arial"/>
          <w:i/>
          <w:lang w:val="en-US"/>
        </w:rPr>
        <w:t>3</w:t>
      </w:r>
      <w:r w:rsidRPr="0089335D">
        <w:rPr>
          <w:rFonts w:ascii="Arial" w:hAnsi="Arial"/>
          <w:i/>
          <w:lang w:val="en-US"/>
        </w:rPr>
        <w:t>A)</w:t>
      </w:r>
      <w:r>
        <w:rPr>
          <w:rFonts w:ascii="Arial" w:hAnsi="Arial"/>
          <w:i/>
          <w:lang w:val="en-US"/>
        </w:rPr>
        <w:t xml:space="preserve"> might produce the same effect.”</w:t>
      </w:r>
      <w:r w:rsidRPr="00D4620D">
        <w:rPr>
          <w:i/>
          <w:lang w:val="en-GB"/>
        </w:rPr>
        <w:t xml:space="preserve"> </w:t>
      </w:r>
    </w:p>
    <w:p w:rsidR="00F45EEE" w:rsidRPr="00D4620D" w:rsidRDefault="00F45EEE" w:rsidP="009F717C">
      <w:pPr>
        <w:pStyle w:val="Textosimples"/>
        <w:rPr>
          <w:rFonts w:ascii="Arial" w:hAnsi="Arial"/>
          <w:i/>
          <w:lang w:val="en-GB"/>
        </w:rPr>
      </w:pPr>
    </w:p>
    <w:p w:rsidR="00F45EEE" w:rsidRPr="00AC5493" w:rsidRDefault="00F45EEE" w:rsidP="006B446F">
      <w:pPr>
        <w:pStyle w:val="Textosimples"/>
        <w:rPr>
          <w:color w:val="FF0000"/>
          <w:lang w:val="en-US"/>
        </w:rPr>
      </w:pPr>
      <w:r w:rsidRPr="00D4620D">
        <w:rPr>
          <w:rFonts w:ascii="Arial" w:hAnsi="Arial"/>
          <w:i/>
          <w:color w:val="FF0000"/>
          <w:lang w:val="en-GB"/>
        </w:rPr>
        <w:t xml:space="preserve"> </w:t>
      </w:r>
    </w:p>
    <w:p w:rsidR="00F45EEE" w:rsidRPr="006B446F" w:rsidRDefault="00F45EEE" w:rsidP="006B446F">
      <w:pPr>
        <w:pStyle w:val="Textosimples"/>
        <w:rPr>
          <w:lang w:val="en-US"/>
        </w:rPr>
      </w:pPr>
      <w:r>
        <w:rPr>
          <w:lang w:val="en-US"/>
        </w:rPr>
        <w:t>COMMENT</w:t>
      </w:r>
    </w:p>
    <w:p w:rsidR="00F45EEE" w:rsidRPr="006B446F" w:rsidRDefault="00F45EEE" w:rsidP="006B446F">
      <w:pPr>
        <w:pStyle w:val="Textosimples"/>
        <w:rPr>
          <w:lang w:val="en-US"/>
        </w:rPr>
      </w:pPr>
      <w:proofErr w:type="spellStart"/>
      <w:r w:rsidRPr="006B446F">
        <w:rPr>
          <w:lang w:val="en-US"/>
        </w:rPr>
        <w:t>Revisor</w:t>
      </w:r>
      <w:proofErr w:type="spellEnd"/>
      <w:r w:rsidRPr="006B446F">
        <w:rPr>
          <w:lang w:val="en-US"/>
        </w:rPr>
        <w:t xml:space="preserve"> D:</w:t>
      </w:r>
    </w:p>
    <w:p w:rsidR="00F45EEE" w:rsidRDefault="00F45EEE" w:rsidP="006B446F">
      <w:pPr>
        <w:pStyle w:val="Textosimples"/>
        <w:rPr>
          <w:lang w:val="en-US"/>
        </w:rPr>
      </w:pPr>
      <w:r w:rsidRPr="006B446F">
        <w:rPr>
          <w:lang w:val="en-US"/>
        </w:rPr>
        <w:t xml:space="preserve">In my opinion this manuscript does not meet the requirements for the target audience of AMP. It doesn’t add much to our knowledge about CKD and bone homeostasis, it seems distant from clinical practice </w:t>
      </w:r>
      <w:proofErr w:type="gramStart"/>
      <w:r w:rsidRPr="006B446F">
        <w:rPr>
          <w:lang w:val="en-US"/>
        </w:rPr>
        <w:t>and  moreover</w:t>
      </w:r>
      <w:proofErr w:type="gramEnd"/>
      <w:r w:rsidRPr="006B446F">
        <w:rPr>
          <w:lang w:val="en-US"/>
        </w:rPr>
        <w:t xml:space="preserve"> retrospective data was collected &gt; 5 years.</w:t>
      </w:r>
    </w:p>
    <w:p w:rsidR="00F45EEE" w:rsidRPr="004511AA" w:rsidRDefault="00F45EEE" w:rsidP="006B446F">
      <w:pPr>
        <w:pStyle w:val="Textosimples"/>
        <w:rPr>
          <w:lang w:val="en-US"/>
        </w:rPr>
      </w:pPr>
    </w:p>
    <w:p w:rsidR="00F45EEE" w:rsidRPr="00927FD0" w:rsidRDefault="00F45EEE" w:rsidP="006B446F">
      <w:pPr>
        <w:pStyle w:val="Textosimples"/>
        <w:rPr>
          <w:lang w:val="en-US"/>
        </w:rPr>
      </w:pPr>
      <w:r>
        <w:rPr>
          <w:lang w:val="en-US"/>
        </w:rPr>
        <w:t>ANSWER</w:t>
      </w:r>
    </w:p>
    <w:p w:rsidR="00F45EEE" w:rsidRPr="004511AA" w:rsidRDefault="00F45EEE" w:rsidP="006B446F">
      <w:pPr>
        <w:pStyle w:val="Textosimples"/>
        <w:rPr>
          <w:i/>
          <w:lang w:val="en-US"/>
        </w:rPr>
      </w:pPr>
      <w:r w:rsidRPr="0089335D">
        <w:rPr>
          <w:color w:val="FF0000"/>
          <w:lang w:val="en-US"/>
        </w:rPr>
        <w:t xml:space="preserve"> </w:t>
      </w:r>
      <w:r w:rsidRPr="004511AA">
        <w:rPr>
          <w:i/>
          <w:lang w:val="en-US"/>
        </w:rPr>
        <w:t>The novelty of the paper is the presentation of a method of analysis of raw data which can be carried out by the clinician with a modest training in conventional statistic and in program packages which are generally</w:t>
      </w:r>
    </w:p>
    <w:p w:rsidR="00F45EEE" w:rsidRPr="004511AA" w:rsidRDefault="00F45EEE" w:rsidP="006B446F">
      <w:pPr>
        <w:pStyle w:val="Textosimples"/>
        <w:rPr>
          <w:i/>
          <w:lang w:val="en-US"/>
        </w:rPr>
      </w:pPr>
      <w:proofErr w:type="gramStart"/>
      <w:r>
        <w:rPr>
          <w:i/>
          <w:lang w:val="en-US"/>
        </w:rPr>
        <w:t>available</w:t>
      </w:r>
      <w:proofErr w:type="gramEnd"/>
      <w:r>
        <w:rPr>
          <w:i/>
          <w:lang w:val="en-US"/>
        </w:rPr>
        <w:t xml:space="preserve"> (SPSS and EXCEL</w:t>
      </w:r>
      <w:r w:rsidRPr="004511AA">
        <w:rPr>
          <w:i/>
          <w:lang w:val="en-US"/>
        </w:rPr>
        <w:t>)</w:t>
      </w:r>
      <w:r>
        <w:rPr>
          <w:i/>
          <w:lang w:val="en-US"/>
        </w:rPr>
        <w:t xml:space="preserve"> (See also comments of REFEREE F)</w:t>
      </w:r>
    </w:p>
    <w:p w:rsidR="00F45EEE" w:rsidRPr="006B446F" w:rsidRDefault="00F45EEE" w:rsidP="006B446F">
      <w:pPr>
        <w:pStyle w:val="Textosimples"/>
        <w:rPr>
          <w:lang w:val="en-US"/>
        </w:rPr>
      </w:pPr>
    </w:p>
    <w:p w:rsidR="00F45EEE" w:rsidRPr="003750C2" w:rsidRDefault="00F45EEE" w:rsidP="006B446F">
      <w:pPr>
        <w:pStyle w:val="Textosimples"/>
        <w:rPr>
          <w:lang w:val="en-GB"/>
        </w:rPr>
      </w:pPr>
    </w:p>
    <w:p w:rsidR="00F45EEE" w:rsidRPr="003750C2" w:rsidRDefault="00F45EEE" w:rsidP="006B446F">
      <w:pPr>
        <w:pStyle w:val="Textosimples"/>
        <w:rPr>
          <w:lang w:val="en-GB"/>
        </w:rPr>
      </w:pPr>
      <w:r>
        <w:rPr>
          <w:lang w:val="en-GB"/>
        </w:rPr>
        <w:t>COMMENTS</w:t>
      </w:r>
    </w:p>
    <w:p w:rsidR="00F45EEE" w:rsidRPr="003750C2" w:rsidRDefault="00F45EEE" w:rsidP="006B446F">
      <w:pPr>
        <w:pStyle w:val="Textosimples"/>
        <w:rPr>
          <w:lang w:val="en-GB"/>
        </w:rPr>
      </w:pPr>
      <w:proofErr w:type="spellStart"/>
      <w:r w:rsidRPr="003750C2">
        <w:rPr>
          <w:lang w:val="en-GB"/>
        </w:rPr>
        <w:t>Revisor</w:t>
      </w:r>
      <w:proofErr w:type="spellEnd"/>
      <w:r w:rsidRPr="003750C2">
        <w:rPr>
          <w:lang w:val="en-GB"/>
        </w:rPr>
        <w:t xml:space="preserve"> F:</w:t>
      </w:r>
    </w:p>
    <w:p w:rsidR="00F45EEE" w:rsidRPr="003750C2" w:rsidRDefault="00F45EEE" w:rsidP="006B446F">
      <w:pPr>
        <w:pStyle w:val="Textosimples"/>
        <w:rPr>
          <w:lang w:val="en-GB"/>
        </w:rPr>
      </w:pPr>
    </w:p>
    <w:p w:rsidR="00F45EEE" w:rsidRPr="006B446F" w:rsidRDefault="00F45EEE" w:rsidP="006B446F">
      <w:pPr>
        <w:pStyle w:val="Textosimples"/>
        <w:rPr>
          <w:lang w:val="en-US"/>
        </w:rPr>
      </w:pPr>
      <w:r w:rsidRPr="006B446F">
        <w:rPr>
          <w:lang w:val="en-US"/>
        </w:rPr>
        <w:t xml:space="preserve">THE CALCIUM/PHOSPHORUS HOMEOSTASIS IN CHRONIC KIDNEY DISEASE: FROM CLINICAL EPIDEMIOLOGY TO PATHOPHYSIOLOGY </w:t>
      </w:r>
    </w:p>
    <w:p w:rsidR="00F45EEE" w:rsidRPr="006B446F" w:rsidRDefault="00F45EEE" w:rsidP="006B446F">
      <w:pPr>
        <w:pStyle w:val="Textosimples"/>
        <w:rPr>
          <w:lang w:val="en-US"/>
        </w:rPr>
      </w:pPr>
    </w:p>
    <w:p w:rsidR="00F45EEE" w:rsidRDefault="00F45EEE" w:rsidP="006B446F">
      <w:pPr>
        <w:pStyle w:val="Textosimples"/>
      </w:pPr>
      <w:proofErr w:type="spellStart"/>
      <w:r>
        <w:t>COMMENTs</w:t>
      </w:r>
      <w:proofErr w:type="spellEnd"/>
      <w:r>
        <w:t xml:space="preserve"> após revisão:</w:t>
      </w:r>
    </w:p>
    <w:p w:rsidR="00F45EEE" w:rsidRDefault="00F45EEE" w:rsidP="006B446F">
      <w:pPr>
        <w:pStyle w:val="Textosimples"/>
      </w:pPr>
      <w:r>
        <w:t xml:space="preserve">• É um trabalho interessante, que demonstra as alterações já conhecidas no metabolismo </w:t>
      </w:r>
      <w:proofErr w:type="spellStart"/>
      <w:r>
        <w:t>fosfo</w:t>
      </w:r>
      <w:proofErr w:type="spellEnd"/>
      <w:r>
        <w:t xml:space="preserve">-cálcico no contexto da evolução da Doença Renal Crónica (DRC), mas que o faz utilizando uma forma de abordagem diferente do habitual, colocando novas “ferramentas de avaliação” à disposição dos clínicos. </w:t>
      </w:r>
    </w:p>
    <w:p w:rsidR="00F45EEE" w:rsidRDefault="00F45EEE" w:rsidP="006B446F">
      <w:pPr>
        <w:pStyle w:val="Textosimples"/>
      </w:pPr>
      <w:r>
        <w:t xml:space="preserve">• O termo fosfato, utilizado várias vezes ao longo do texto, deve ser </w:t>
      </w:r>
      <w:proofErr w:type="spellStart"/>
      <w:r>
        <w:t>substituido</w:t>
      </w:r>
      <w:proofErr w:type="spellEnd"/>
      <w:r>
        <w:t xml:space="preserve"> por fósforo (</w:t>
      </w:r>
      <w:proofErr w:type="spellStart"/>
      <w:r>
        <w:t>phosphorus</w:t>
      </w:r>
      <w:proofErr w:type="spellEnd"/>
      <w:r>
        <w:t xml:space="preserve">) cujo </w:t>
      </w:r>
      <w:proofErr w:type="spellStart"/>
      <w:r>
        <w:t>simbolo</w:t>
      </w:r>
      <w:proofErr w:type="spellEnd"/>
      <w:r>
        <w:t xml:space="preserve"> químico é P.</w:t>
      </w:r>
    </w:p>
    <w:p w:rsidR="00F45EEE" w:rsidRDefault="00F45EEE" w:rsidP="006B446F">
      <w:pPr>
        <w:pStyle w:val="Textosimples"/>
      </w:pPr>
    </w:p>
    <w:p w:rsidR="00F45EEE" w:rsidRPr="003750C2" w:rsidRDefault="00F45EEE" w:rsidP="006B446F">
      <w:pPr>
        <w:pStyle w:val="Textosimples"/>
      </w:pPr>
    </w:p>
    <w:p w:rsidR="00F45EEE" w:rsidRDefault="00F45EEE" w:rsidP="006B446F">
      <w:pPr>
        <w:pStyle w:val="Textosimples"/>
        <w:rPr>
          <w:lang w:val="en-US"/>
        </w:rPr>
      </w:pPr>
      <w:r>
        <w:rPr>
          <w:lang w:val="en-US"/>
        </w:rPr>
        <w:t>ANSWER</w:t>
      </w:r>
    </w:p>
    <w:p w:rsidR="00F45EEE" w:rsidRPr="005E03B1" w:rsidRDefault="00F45EEE" w:rsidP="006B446F">
      <w:pPr>
        <w:pStyle w:val="Textosimples"/>
        <w:rPr>
          <w:lang w:val="en-US"/>
        </w:rPr>
      </w:pPr>
      <w:proofErr w:type="gramStart"/>
      <w:r w:rsidRPr="005E03B1">
        <w:rPr>
          <w:lang w:val="en-US"/>
        </w:rPr>
        <w:t xml:space="preserve">“ </w:t>
      </w:r>
      <w:r w:rsidRPr="005E03B1">
        <w:rPr>
          <w:i/>
          <w:lang w:val="en-US"/>
        </w:rPr>
        <w:t>phosphate</w:t>
      </w:r>
      <w:proofErr w:type="gramEnd"/>
      <w:r>
        <w:rPr>
          <w:i/>
          <w:lang w:val="en-US"/>
        </w:rPr>
        <w:t>”</w:t>
      </w:r>
      <w:r w:rsidRPr="005E03B1">
        <w:rPr>
          <w:i/>
          <w:lang w:val="en-US"/>
        </w:rPr>
        <w:t xml:space="preserve"> was globally replaced by </w:t>
      </w:r>
      <w:r>
        <w:rPr>
          <w:i/>
          <w:lang w:val="en-US"/>
        </w:rPr>
        <w:t>“phosphorus</w:t>
      </w:r>
      <w:r w:rsidRPr="005E03B1">
        <w:rPr>
          <w:lang w:val="en-US"/>
        </w:rPr>
        <w:t>”</w:t>
      </w:r>
    </w:p>
    <w:p w:rsidR="00F45EEE" w:rsidRPr="005E03B1" w:rsidRDefault="00F45EEE" w:rsidP="006B446F">
      <w:pPr>
        <w:pStyle w:val="Textosimples"/>
        <w:rPr>
          <w:lang w:val="en-US"/>
        </w:rPr>
      </w:pPr>
    </w:p>
    <w:p w:rsidR="00F45EEE" w:rsidRPr="003750C2" w:rsidRDefault="00F45EEE" w:rsidP="006B446F">
      <w:pPr>
        <w:pStyle w:val="Textosimples"/>
        <w:rPr>
          <w:lang w:val="en-GB"/>
        </w:rPr>
      </w:pPr>
    </w:p>
    <w:p w:rsidR="00F45EEE" w:rsidRDefault="00F45EEE" w:rsidP="006B446F">
      <w:pPr>
        <w:pStyle w:val="Textosimples"/>
      </w:pPr>
      <w:r>
        <w:t>COMMENT</w:t>
      </w:r>
    </w:p>
    <w:p w:rsidR="00F45EEE" w:rsidRDefault="00F45EEE" w:rsidP="006B446F">
      <w:pPr>
        <w:pStyle w:val="Textosimples"/>
      </w:pPr>
      <w:r>
        <w:t xml:space="preserve">• Quando os autores descrevem a metodologia (Material e métodos) e se referem à população em estudo, referem excluir os pacientes no </w:t>
      </w:r>
      <w:proofErr w:type="spellStart"/>
      <w:r>
        <w:t>estadio</w:t>
      </w:r>
      <w:proofErr w:type="spellEnd"/>
      <w:r>
        <w:t xml:space="preserve"> V de DRC (pacientes em terapêutica de substituição – diálise ou transplantação  renal) e excluem os pacientes medicados com vitamina D, o que me faz questionar em que </w:t>
      </w:r>
      <w:proofErr w:type="spellStart"/>
      <w:r>
        <w:t>estadio</w:t>
      </w:r>
      <w:proofErr w:type="spellEnd"/>
      <w:r>
        <w:t xml:space="preserve"> de DRC se encontra a população em estudo? A terapêutica com vitamina D é iniciada precocemente na evolução da DRC.</w:t>
      </w:r>
    </w:p>
    <w:p w:rsidR="00F45EEE" w:rsidRDefault="00F45EEE" w:rsidP="006B446F">
      <w:pPr>
        <w:pStyle w:val="Textosimples"/>
      </w:pPr>
    </w:p>
    <w:p w:rsidR="00F45EEE" w:rsidRDefault="00F45EEE" w:rsidP="006B446F">
      <w:pPr>
        <w:pStyle w:val="Textosimples"/>
      </w:pPr>
      <w:r>
        <w:t>ANSWER</w:t>
      </w:r>
    </w:p>
    <w:p w:rsidR="00F45EEE" w:rsidRDefault="00F45EEE" w:rsidP="006B446F">
      <w:pPr>
        <w:pStyle w:val="Textosimples"/>
        <w:rPr>
          <w:i/>
        </w:rPr>
      </w:pPr>
      <w:r>
        <w:rPr>
          <w:i/>
        </w:rPr>
        <w:t>Na altura em que este estudo foi feito poucos doentes (</w:t>
      </w:r>
      <w:proofErr w:type="spellStart"/>
      <w:r>
        <w:rPr>
          <w:i/>
        </w:rPr>
        <w:t>excluidos</w:t>
      </w:r>
      <w:proofErr w:type="spellEnd"/>
      <w:r>
        <w:rPr>
          <w:i/>
        </w:rPr>
        <w:t>) tomavam vitamina D activa.</w:t>
      </w:r>
      <w:r w:rsidRPr="00927FD0">
        <w:rPr>
          <w:i/>
        </w:rPr>
        <w:t xml:space="preserve">  </w:t>
      </w:r>
    </w:p>
    <w:p w:rsidR="00F45EEE" w:rsidRDefault="00F45EEE" w:rsidP="006B446F">
      <w:pPr>
        <w:pStyle w:val="Textosimples"/>
        <w:rPr>
          <w:i/>
        </w:rPr>
      </w:pPr>
    </w:p>
    <w:p w:rsidR="00F45EEE" w:rsidRDefault="00F45EEE" w:rsidP="006B446F">
      <w:pPr>
        <w:pStyle w:val="Textosimples"/>
        <w:rPr>
          <w:i/>
        </w:rPr>
      </w:pPr>
    </w:p>
    <w:p w:rsidR="00F45EEE" w:rsidRPr="00B100EE" w:rsidRDefault="00F45EEE" w:rsidP="006B446F">
      <w:pPr>
        <w:pStyle w:val="Textosimples"/>
      </w:pPr>
      <w:r>
        <w:t>COMMENT</w:t>
      </w:r>
    </w:p>
    <w:p w:rsidR="00F45EEE" w:rsidRDefault="00F45EEE" w:rsidP="006B446F">
      <w:pPr>
        <w:pStyle w:val="Textosimples"/>
      </w:pPr>
      <w:r>
        <w:t xml:space="preserve">• Seria importante que os autores referissem, se tiverem estes resultados, os valores de albumina sérica, que influenciam os valores da </w:t>
      </w:r>
      <w:proofErr w:type="spellStart"/>
      <w:r>
        <w:t>calcémia</w:t>
      </w:r>
      <w:proofErr w:type="spellEnd"/>
      <w:r>
        <w:t xml:space="preserve"> ou então mencionar que os valores de cálcio sérico estão corrigidos para o valor da albumina. Os valores do cálcio ionizado, o metabolito biologicamente </w:t>
      </w:r>
      <w:proofErr w:type="spellStart"/>
      <w:r>
        <w:t>ativo</w:t>
      </w:r>
      <w:proofErr w:type="spellEnd"/>
      <w:r>
        <w:t>, deveriam também ser mencionados, por representar de forma mais fiável a importância do cálcio neste sistema.</w:t>
      </w:r>
    </w:p>
    <w:p w:rsidR="00F45EEE" w:rsidRDefault="00F45EEE" w:rsidP="006B446F">
      <w:pPr>
        <w:pStyle w:val="Textosimples"/>
      </w:pPr>
    </w:p>
    <w:p w:rsidR="00F45EEE" w:rsidRDefault="00F45EEE" w:rsidP="006B446F">
      <w:pPr>
        <w:pStyle w:val="Textosimples"/>
      </w:pPr>
      <w:r>
        <w:t>ANSWER</w:t>
      </w:r>
    </w:p>
    <w:p w:rsidR="00F45EEE" w:rsidRDefault="00F45EEE" w:rsidP="00A41BB2">
      <w:pPr>
        <w:pStyle w:val="Textosimples"/>
        <w:rPr>
          <w:i/>
        </w:rPr>
      </w:pPr>
      <w:r w:rsidRPr="00797399">
        <w:rPr>
          <w:i/>
        </w:rPr>
        <w:t xml:space="preserve">O uso das concentrações de cálcio corrigidas para a fracção </w:t>
      </w:r>
      <w:r>
        <w:rPr>
          <w:i/>
        </w:rPr>
        <w:t xml:space="preserve">não </w:t>
      </w:r>
      <w:r w:rsidRPr="00797399">
        <w:rPr>
          <w:i/>
        </w:rPr>
        <w:t>combinada com a albumina foi por n</w:t>
      </w:r>
      <w:r>
        <w:rPr>
          <w:i/>
        </w:rPr>
        <w:t>ós analisado</w:t>
      </w:r>
      <w:r w:rsidRPr="00797399">
        <w:rPr>
          <w:i/>
        </w:rPr>
        <w:t xml:space="preserve">. Em primeiro lugar a medição de cálcio iónico tem de ser feita com eléctrodos </w:t>
      </w:r>
      <w:proofErr w:type="spellStart"/>
      <w:r w:rsidRPr="00797399">
        <w:rPr>
          <w:i/>
        </w:rPr>
        <w:t>iono</w:t>
      </w:r>
      <w:proofErr w:type="spellEnd"/>
      <w:r w:rsidRPr="00797399">
        <w:rPr>
          <w:i/>
        </w:rPr>
        <w:t>-sensíveis. Dado que se trata de um estudo retrospectivo usando doentes de hospitais gerais só uma fracção dos doentes tinha albuminas medidas. Por outro lado na esmagadora maioria das publicações nesta área os dados apresentados são de cálcios totais e a nossa maior preocupação foi comparar os nossos resultados com os dados da literatura.</w:t>
      </w:r>
    </w:p>
    <w:p w:rsidR="00F45EEE" w:rsidRDefault="00F45EEE" w:rsidP="00A41BB2">
      <w:pPr>
        <w:pStyle w:val="Textosimples"/>
        <w:rPr>
          <w:i/>
        </w:rPr>
      </w:pPr>
    </w:p>
    <w:p w:rsidR="00F45EEE" w:rsidRDefault="00F45EEE" w:rsidP="00A41BB2">
      <w:pPr>
        <w:pStyle w:val="Textosimples"/>
        <w:rPr>
          <w:i/>
          <w:lang w:val="en-US"/>
        </w:rPr>
      </w:pPr>
      <w:r w:rsidRPr="00B100EE">
        <w:rPr>
          <w:i/>
        </w:rPr>
        <w:t>Estudos mais recentes mostram que o cálcio corrigido para a albumina não é superior ao cálcio total por si só e é menos especifico que o cálcio ionizado (</w:t>
      </w:r>
      <w:proofErr w:type="spellStart"/>
      <w:r w:rsidRPr="00B100EE">
        <w:rPr>
          <w:i/>
        </w:rPr>
        <w:t>Gauci</w:t>
      </w:r>
      <w:proofErr w:type="spellEnd"/>
      <w:r w:rsidRPr="00B100EE">
        <w:rPr>
          <w:i/>
        </w:rPr>
        <w:t xml:space="preserve"> C </w:t>
      </w:r>
      <w:proofErr w:type="spellStart"/>
      <w:r w:rsidRPr="00B100EE">
        <w:rPr>
          <w:i/>
        </w:rPr>
        <w:t>et</w:t>
      </w:r>
      <w:proofErr w:type="spellEnd"/>
      <w:r w:rsidRPr="00B100EE">
        <w:rPr>
          <w:i/>
        </w:rPr>
        <w:t xml:space="preserve"> al. </w:t>
      </w:r>
      <w:r w:rsidRPr="00B100EE">
        <w:rPr>
          <w:i/>
          <w:lang w:val="en-US"/>
        </w:rPr>
        <w:t xml:space="preserve">Pitfalls of measuring total blood calcium in patients with CKD. J Am </w:t>
      </w:r>
      <w:proofErr w:type="spellStart"/>
      <w:r w:rsidRPr="00B100EE">
        <w:rPr>
          <w:i/>
          <w:lang w:val="en-US"/>
        </w:rPr>
        <w:t>Soc</w:t>
      </w:r>
      <w:proofErr w:type="spellEnd"/>
      <w:r w:rsidRPr="00B100EE">
        <w:rPr>
          <w:i/>
          <w:lang w:val="en-US"/>
        </w:rPr>
        <w:t xml:space="preserve"> </w:t>
      </w:r>
      <w:proofErr w:type="spellStart"/>
      <w:r w:rsidRPr="00B100EE">
        <w:rPr>
          <w:i/>
          <w:lang w:val="en-US"/>
        </w:rPr>
        <w:t>Nephrol</w:t>
      </w:r>
      <w:proofErr w:type="spellEnd"/>
      <w:r w:rsidRPr="00B100EE">
        <w:rPr>
          <w:i/>
          <w:lang w:val="en-US"/>
        </w:rPr>
        <w:t xml:space="preserve"> 2008; 19: </w:t>
      </w:r>
      <w:proofErr w:type="gramStart"/>
      <w:r w:rsidRPr="00B100EE">
        <w:rPr>
          <w:i/>
          <w:lang w:val="en-US"/>
        </w:rPr>
        <w:t>1592–1598</w:t>
      </w:r>
      <w:proofErr w:type="gramEnd"/>
      <w:r w:rsidRPr="00B100EE">
        <w:rPr>
          <w:i/>
          <w:lang w:val="en-US"/>
        </w:rPr>
        <w:t>;</w:t>
      </w:r>
      <w:r w:rsidRPr="00B100EE">
        <w:rPr>
          <w:lang w:val="en-US"/>
        </w:rPr>
        <w:t xml:space="preserve"> </w:t>
      </w:r>
      <w:r w:rsidRPr="00B100EE">
        <w:rPr>
          <w:i/>
          <w:lang w:val="en-US"/>
        </w:rPr>
        <w:t xml:space="preserve">KDIGO Clinical Practice Guideline for the Diagnosis, Evaluation, Prevention, and Treatment of Chronic Kidney Disease-Mineral and Bone Disorder, Kidney </w:t>
      </w:r>
      <w:proofErr w:type="spellStart"/>
      <w:r w:rsidRPr="00B100EE">
        <w:rPr>
          <w:i/>
          <w:lang w:val="en-US"/>
        </w:rPr>
        <w:t>Int</w:t>
      </w:r>
      <w:proofErr w:type="spellEnd"/>
      <w:r w:rsidRPr="00B100EE">
        <w:rPr>
          <w:i/>
          <w:lang w:val="en-US"/>
        </w:rPr>
        <w:t xml:space="preserve"> 2016). </w:t>
      </w:r>
    </w:p>
    <w:p w:rsidR="00F45EEE" w:rsidRPr="00B100EE" w:rsidRDefault="00F45EEE" w:rsidP="00A41BB2">
      <w:pPr>
        <w:pStyle w:val="Textosimples"/>
        <w:rPr>
          <w:i/>
        </w:rPr>
      </w:pPr>
      <w:r w:rsidRPr="00B100EE">
        <w:rPr>
          <w:i/>
        </w:rPr>
        <w:t>Por estas razões o uso das concentrações séricas de cálcio total pareceu-nos razoável e tem sido aceite nas revistas internacionais em que temos publicado (</w:t>
      </w:r>
      <w:r>
        <w:rPr>
          <w:i/>
        </w:rPr>
        <w:t xml:space="preserve">Raposo JF </w:t>
      </w:r>
      <w:proofErr w:type="spellStart"/>
      <w:r>
        <w:rPr>
          <w:i/>
        </w:rPr>
        <w:t>et</w:t>
      </w:r>
      <w:proofErr w:type="spellEnd"/>
      <w:r>
        <w:rPr>
          <w:i/>
        </w:rPr>
        <w:t xml:space="preserve"> </w:t>
      </w:r>
      <w:proofErr w:type="spellStart"/>
      <w:r>
        <w:rPr>
          <w:i/>
        </w:rPr>
        <w:t>al.JCEM</w:t>
      </w:r>
      <w:proofErr w:type="spellEnd"/>
      <w:r>
        <w:rPr>
          <w:i/>
        </w:rPr>
        <w:t xml:space="preserve"> 2002;</w:t>
      </w:r>
      <w:proofErr w:type="gramStart"/>
      <w:r>
        <w:rPr>
          <w:i/>
        </w:rPr>
        <w:t>87(9</w:t>
      </w:r>
      <w:proofErr w:type="gramEnd"/>
      <w:r>
        <w:rPr>
          <w:i/>
        </w:rPr>
        <w:t>):4330-40;</w:t>
      </w:r>
      <w:r w:rsidR="005D7788">
        <w:rPr>
          <w:i/>
        </w:rPr>
        <w:t xml:space="preserve"> </w:t>
      </w:r>
      <w:r w:rsidRPr="00B100EE">
        <w:rPr>
          <w:i/>
        </w:rPr>
        <w:t xml:space="preserve">Pires A </w:t>
      </w:r>
      <w:proofErr w:type="spellStart"/>
      <w:r w:rsidRPr="00B100EE">
        <w:rPr>
          <w:i/>
        </w:rPr>
        <w:t>et</w:t>
      </w:r>
      <w:proofErr w:type="spellEnd"/>
      <w:r w:rsidRPr="00B100EE">
        <w:rPr>
          <w:i/>
        </w:rPr>
        <w:t xml:space="preserve"> al. </w:t>
      </w:r>
      <w:proofErr w:type="spellStart"/>
      <w:r w:rsidRPr="00B100EE">
        <w:rPr>
          <w:i/>
        </w:rPr>
        <w:t>Nephron</w:t>
      </w:r>
      <w:proofErr w:type="spellEnd"/>
      <w:r w:rsidRPr="00B100EE">
        <w:rPr>
          <w:i/>
        </w:rPr>
        <w:t xml:space="preserve"> </w:t>
      </w:r>
      <w:proofErr w:type="spellStart"/>
      <w:r w:rsidRPr="00B100EE">
        <w:rPr>
          <w:i/>
        </w:rPr>
        <w:t>Clin</w:t>
      </w:r>
      <w:proofErr w:type="spellEnd"/>
      <w:r w:rsidRPr="00B100EE">
        <w:rPr>
          <w:i/>
        </w:rPr>
        <w:t xml:space="preserve"> </w:t>
      </w:r>
      <w:proofErr w:type="spellStart"/>
      <w:r w:rsidRPr="00B100EE">
        <w:rPr>
          <w:i/>
        </w:rPr>
        <w:t>Pract</w:t>
      </w:r>
      <w:proofErr w:type="spellEnd"/>
      <w:r w:rsidRPr="00B100EE">
        <w:rPr>
          <w:i/>
        </w:rPr>
        <w:t xml:space="preserve">. 2009; 112(3): c137-47; Raposo JF </w:t>
      </w:r>
      <w:proofErr w:type="spellStart"/>
      <w:r w:rsidRPr="00B100EE">
        <w:rPr>
          <w:i/>
        </w:rPr>
        <w:t>et</w:t>
      </w:r>
      <w:proofErr w:type="spellEnd"/>
      <w:r w:rsidRPr="00B100EE">
        <w:rPr>
          <w:i/>
        </w:rPr>
        <w:t xml:space="preserve"> al. </w:t>
      </w:r>
      <w:proofErr w:type="spellStart"/>
      <w:r w:rsidRPr="00B100EE">
        <w:rPr>
          <w:i/>
        </w:rPr>
        <w:t>Endocrine</w:t>
      </w:r>
      <w:proofErr w:type="spellEnd"/>
      <w:r w:rsidRPr="00B100EE">
        <w:rPr>
          <w:i/>
        </w:rPr>
        <w:t xml:space="preserve"> 2012; 41(2):309-19).</w:t>
      </w:r>
    </w:p>
    <w:p w:rsidR="00F45EEE" w:rsidRDefault="00F45EEE" w:rsidP="006B446F">
      <w:pPr>
        <w:pStyle w:val="Textosimples"/>
        <w:rPr>
          <w:i/>
        </w:rPr>
      </w:pPr>
      <w:r w:rsidRPr="00797399">
        <w:rPr>
          <w:i/>
        </w:rPr>
        <w:t>Dado que temos 20 dias para responder não nos é possível a transformação das concentrações de cálcio totais para a fracção não combinada com albumina.</w:t>
      </w:r>
    </w:p>
    <w:p w:rsidR="00F45EEE" w:rsidRDefault="00F45EEE" w:rsidP="006B446F">
      <w:pPr>
        <w:pStyle w:val="Textosimples"/>
        <w:rPr>
          <w:i/>
        </w:rPr>
      </w:pPr>
    </w:p>
    <w:p w:rsidR="00F45EEE" w:rsidRDefault="00F45EEE" w:rsidP="006B446F">
      <w:pPr>
        <w:pStyle w:val="Textosimples"/>
        <w:rPr>
          <w:i/>
        </w:rPr>
      </w:pPr>
    </w:p>
    <w:p w:rsidR="00F45EEE" w:rsidRPr="00797399" w:rsidRDefault="00F45EEE" w:rsidP="006B446F">
      <w:pPr>
        <w:pStyle w:val="Textosimples"/>
        <w:rPr>
          <w:i/>
          <w:color w:val="FF0000"/>
        </w:rPr>
      </w:pPr>
      <w:r>
        <w:rPr>
          <w:i/>
        </w:rPr>
        <w:t>COMMENTS</w:t>
      </w:r>
    </w:p>
    <w:p w:rsidR="00F45EEE" w:rsidRDefault="00F45EEE" w:rsidP="006B446F">
      <w:pPr>
        <w:pStyle w:val="Textosimples"/>
      </w:pPr>
      <w:r>
        <w:t xml:space="preserve">• Por ser um estudo </w:t>
      </w:r>
      <w:proofErr w:type="spellStart"/>
      <w:r>
        <w:t>retrospetivo</w:t>
      </w:r>
      <w:proofErr w:type="spellEnd"/>
      <w:r>
        <w:t xml:space="preserve"> não permite, como os autores mencionam e bem, avaliar uma variável importante que é o valor do </w:t>
      </w:r>
      <w:proofErr w:type="spellStart"/>
      <w:r>
        <w:t>Fibroblast</w:t>
      </w:r>
      <w:proofErr w:type="spellEnd"/>
      <w:r>
        <w:t xml:space="preserve"> </w:t>
      </w:r>
      <w:proofErr w:type="spellStart"/>
      <w:r>
        <w:t>Growth</w:t>
      </w:r>
      <w:proofErr w:type="spellEnd"/>
      <w:r>
        <w:t xml:space="preserve"> Factor 23 (FGF23).</w:t>
      </w:r>
    </w:p>
    <w:p w:rsidR="00F45EEE" w:rsidRDefault="00F45EEE" w:rsidP="006B446F">
      <w:pPr>
        <w:pStyle w:val="Textosimples"/>
      </w:pPr>
      <w:r>
        <w:t>• A apresentação dos resultados é de fácil consulta e interpretação e a discussão está bem estruturada.</w:t>
      </w:r>
    </w:p>
    <w:p w:rsidR="00F45EEE" w:rsidRDefault="00F45EEE" w:rsidP="006B446F">
      <w:pPr>
        <w:pStyle w:val="Textosimples"/>
      </w:pPr>
      <w:r>
        <w:lastRenderedPageBreak/>
        <w:t>• Sugeria uma escolha mais restrita dos gráficos a apresentar já que o seu elevado número dispersa a transmissão da informação pretendida.</w:t>
      </w:r>
    </w:p>
    <w:p w:rsidR="005D7788" w:rsidRDefault="005D7788" w:rsidP="006B446F">
      <w:pPr>
        <w:pStyle w:val="Textosimples"/>
      </w:pPr>
    </w:p>
    <w:p w:rsidR="00F45EEE" w:rsidRDefault="00F45EEE" w:rsidP="006B446F">
      <w:pPr>
        <w:pStyle w:val="Textosimples"/>
      </w:pPr>
      <w:r>
        <w:t>ANSWER</w:t>
      </w:r>
    </w:p>
    <w:p w:rsidR="00F45EEE" w:rsidRDefault="00F45EEE" w:rsidP="006B446F">
      <w:pPr>
        <w:pStyle w:val="Textosimples"/>
      </w:pPr>
      <w:r>
        <w:t>Ver resposta ao REVISOR B.</w:t>
      </w:r>
    </w:p>
    <w:p w:rsidR="005D7788" w:rsidRDefault="005D7788" w:rsidP="006B446F">
      <w:pPr>
        <w:pStyle w:val="Textosimples"/>
      </w:pPr>
    </w:p>
    <w:sectPr w:rsidR="005D7788" w:rsidSect="0091581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AC5"/>
    <w:rsid w:val="0000684A"/>
    <w:rsid w:val="00034602"/>
    <w:rsid w:val="00053A82"/>
    <w:rsid w:val="00075606"/>
    <w:rsid w:val="00084C4E"/>
    <w:rsid w:val="000C07CB"/>
    <w:rsid w:val="000D7D25"/>
    <w:rsid w:val="000F108C"/>
    <w:rsid w:val="001111DE"/>
    <w:rsid w:val="00123F49"/>
    <w:rsid w:val="0017545D"/>
    <w:rsid w:val="00211CB1"/>
    <w:rsid w:val="0022540B"/>
    <w:rsid w:val="00236976"/>
    <w:rsid w:val="00257DA4"/>
    <w:rsid w:val="002624F6"/>
    <w:rsid w:val="0026548C"/>
    <w:rsid w:val="002A175B"/>
    <w:rsid w:val="002B5F2C"/>
    <w:rsid w:val="002C55F5"/>
    <w:rsid w:val="002E3F82"/>
    <w:rsid w:val="00304B38"/>
    <w:rsid w:val="0031350A"/>
    <w:rsid w:val="00315B23"/>
    <w:rsid w:val="00337492"/>
    <w:rsid w:val="00343F12"/>
    <w:rsid w:val="00365BED"/>
    <w:rsid w:val="003750C2"/>
    <w:rsid w:val="003876BD"/>
    <w:rsid w:val="00387E0B"/>
    <w:rsid w:val="003C6FF9"/>
    <w:rsid w:val="003D700E"/>
    <w:rsid w:val="00422FA5"/>
    <w:rsid w:val="004503EB"/>
    <w:rsid w:val="004511AA"/>
    <w:rsid w:val="00452BD9"/>
    <w:rsid w:val="0046307A"/>
    <w:rsid w:val="004941E3"/>
    <w:rsid w:val="004C239B"/>
    <w:rsid w:val="004D0B4B"/>
    <w:rsid w:val="004D49A3"/>
    <w:rsid w:val="00505DE4"/>
    <w:rsid w:val="005403A5"/>
    <w:rsid w:val="00594EFD"/>
    <w:rsid w:val="005A3ECB"/>
    <w:rsid w:val="005D7788"/>
    <w:rsid w:val="005E03B1"/>
    <w:rsid w:val="005F0DFE"/>
    <w:rsid w:val="005F37DF"/>
    <w:rsid w:val="0063097D"/>
    <w:rsid w:val="00631234"/>
    <w:rsid w:val="006316DC"/>
    <w:rsid w:val="006458C1"/>
    <w:rsid w:val="0067766A"/>
    <w:rsid w:val="006A4D46"/>
    <w:rsid w:val="006B446F"/>
    <w:rsid w:val="006C079F"/>
    <w:rsid w:val="006F23CC"/>
    <w:rsid w:val="007263CB"/>
    <w:rsid w:val="00763D85"/>
    <w:rsid w:val="00771B32"/>
    <w:rsid w:val="00783697"/>
    <w:rsid w:val="00797399"/>
    <w:rsid w:val="007A1B27"/>
    <w:rsid w:val="007A4D0F"/>
    <w:rsid w:val="007B50B1"/>
    <w:rsid w:val="007C54DD"/>
    <w:rsid w:val="007D2AC5"/>
    <w:rsid w:val="008047C0"/>
    <w:rsid w:val="0082381E"/>
    <w:rsid w:val="00825172"/>
    <w:rsid w:val="008308F2"/>
    <w:rsid w:val="00835539"/>
    <w:rsid w:val="008762DD"/>
    <w:rsid w:val="008902FD"/>
    <w:rsid w:val="0089335D"/>
    <w:rsid w:val="008B2B46"/>
    <w:rsid w:val="008B759F"/>
    <w:rsid w:val="008D6D56"/>
    <w:rsid w:val="00915812"/>
    <w:rsid w:val="00922FA1"/>
    <w:rsid w:val="00927FD0"/>
    <w:rsid w:val="00931028"/>
    <w:rsid w:val="009532D9"/>
    <w:rsid w:val="00991DD9"/>
    <w:rsid w:val="009B1A41"/>
    <w:rsid w:val="009B231F"/>
    <w:rsid w:val="009F717C"/>
    <w:rsid w:val="00A02E54"/>
    <w:rsid w:val="00A122E7"/>
    <w:rsid w:val="00A3418A"/>
    <w:rsid w:val="00A40B9A"/>
    <w:rsid w:val="00A40E94"/>
    <w:rsid w:val="00A41BB2"/>
    <w:rsid w:val="00A61EE5"/>
    <w:rsid w:val="00A93B03"/>
    <w:rsid w:val="00AA062E"/>
    <w:rsid w:val="00AA7880"/>
    <w:rsid w:val="00AB11C2"/>
    <w:rsid w:val="00AC5493"/>
    <w:rsid w:val="00AF0806"/>
    <w:rsid w:val="00AF267F"/>
    <w:rsid w:val="00B06B44"/>
    <w:rsid w:val="00B100EE"/>
    <w:rsid w:val="00B4190A"/>
    <w:rsid w:val="00B62A83"/>
    <w:rsid w:val="00BA01C3"/>
    <w:rsid w:val="00BB4D0A"/>
    <w:rsid w:val="00BB74CD"/>
    <w:rsid w:val="00BC62DA"/>
    <w:rsid w:val="00BD11B8"/>
    <w:rsid w:val="00BD7B2D"/>
    <w:rsid w:val="00BE0983"/>
    <w:rsid w:val="00BF5AA2"/>
    <w:rsid w:val="00BF5D0E"/>
    <w:rsid w:val="00BF7372"/>
    <w:rsid w:val="00C06BFE"/>
    <w:rsid w:val="00C97F19"/>
    <w:rsid w:val="00CB0B87"/>
    <w:rsid w:val="00D15FEF"/>
    <w:rsid w:val="00D249B9"/>
    <w:rsid w:val="00D32F35"/>
    <w:rsid w:val="00D3333A"/>
    <w:rsid w:val="00D41844"/>
    <w:rsid w:val="00D42BED"/>
    <w:rsid w:val="00D4620D"/>
    <w:rsid w:val="00D87DC5"/>
    <w:rsid w:val="00DA1DCC"/>
    <w:rsid w:val="00DE7787"/>
    <w:rsid w:val="00E07E5A"/>
    <w:rsid w:val="00E110ED"/>
    <w:rsid w:val="00E16C7D"/>
    <w:rsid w:val="00E44614"/>
    <w:rsid w:val="00E70D92"/>
    <w:rsid w:val="00E9303E"/>
    <w:rsid w:val="00F02728"/>
    <w:rsid w:val="00F115E1"/>
    <w:rsid w:val="00F36C85"/>
    <w:rsid w:val="00F45BC2"/>
    <w:rsid w:val="00F45EEE"/>
    <w:rsid w:val="00F52EA2"/>
    <w:rsid w:val="00F87BC4"/>
    <w:rsid w:val="00FC0527"/>
    <w:rsid w:val="00FF6780"/>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t-PT" w:eastAsia="pt-P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812"/>
    <w:pPr>
      <w:spacing w:after="200" w:line="276" w:lineRule="auto"/>
    </w:pPr>
    <w:rPr>
      <w:lang w:eastAsia="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imples">
    <w:name w:val="Plain Text"/>
    <w:basedOn w:val="Normal"/>
    <w:link w:val="TextosimplesCarcter"/>
    <w:uiPriority w:val="99"/>
    <w:rsid w:val="006B446F"/>
    <w:pPr>
      <w:spacing w:after="0" w:line="240" w:lineRule="auto"/>
    </w:pPr>
    <w:rPr>
      <w:rFonts w:ascii="Consolas" w:hAnsi="Consolas"/>
      <w:sz w:val="21"/>
      <w:szCs w:val="21"/>
    </w:rPr>
  </w:style>
  <w:style w:type="character" w:customStyle="1" w:styleId="TextosimplesCarcter">
    <w:name w:val="Texto simples Carácter"/>
    <w:basedOn w:val="Tipodeletrapredefinidodopargrafo"/>
    <w:link w:val="Textosimples"/>
    <w:uiPriority w:val="99"/>
    <w:locked/>
    <w:rsid w:val="006B446F"/>
    <w:rPr>
      <w:rFonts w:ascii="Consolas" w:hAnsi="Consolas" w:cs="Times New Roman"/>
      <w:sz w:val="21"/>
      <w:szCs w:val="21"/>
    </w:rPr>
  </w:style>
  <w:style w:type="paragraph" w:styleId="Mapadodocumento">
    <w:name w:val="Document Map"/>
    <w:basedOn w:val="Normal"/>
    <w:link w:val="MapadodocumentoCarcter"/>
    <w:uiPriority w:val="99"/>
    <w:semiHidden/>
    <w:rsid w:val="00F36C85"/>
    <w:rPr>
      <w:rFonts w:ascii="Tahoma" w:hAnsi="Tahoma" w:cs="Tahoma"/>
      <w:sz w:val="16"/>
      <w:szCs w:val="16"/>
    </w:rPr>
  </w:style>
  <w:style w:type="character" w:customStyle="1" w:styleId="MapadodocumentoCarcter">
    <w:name w:val="Mapa do documento Carácter"/>
    <w:basedOn w:val="Tipodeletrapredefinidodopargrafo"/>
    <w:link w:val="Mapadodocumento"/>
    <w:uiPriority w:val="99"/>
    <w:semiHidden/>
    <w:locked/>
    <w:rsid w:val="00F36C85"/>
    <w:rPr>
      <w:rFonts w:ascii="Tahoma" w:hAnsi="Tahoma" w:cs="Tahoma"/>
      <w:sz w:val="16"/>
      <w:szCs w:val="16"/>
      <w:lang w:val="pt-PT"/>
    </w:rPr>
  </w:style>
  <w:style w:type="character" w:styleId="Hiperligao">
    <w:name w:val="Hyperlink"/>
    <w:basedOn w:val="Tipodeletrapredefinidodopargrafo"/>
    <w:uiPriority w:val="99"/>
    <w:rsid w:val="008D6D56"/>
    <w:rPr>
      <w:rFonts w:cs="Times New Roman"/>
      <w:color w:val="0000FF"/>
      <w:u w:val="single"/>
    </w:rPr>
  </w:style>
  <w:style w:type="character" w:customStyle="1" w:styleId="apple-converted-space">
    <w:name w:val="apple-converted-space"/>
    <w:basedOn w:val="Tipodeletrapredefinidodopargrafo"/>
    <w:uiPriority w:val="99"/>
    <w:rsid w:val="00236976"/>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t-PT" w:eastAsia="pt-P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812"/>
    <w:pPr>
      <w:spacing w:after="200" w:line="276" w:lineRule="auto"/>
    </w:pPr>
    <w:rPr>
      <w:lang w:eastAsia="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imples">
    <w:name w:val="Plain Text"/>
    <w:basedOn w:val="Normal"/>
    <w:link w:val="TextosimplesCarcter"/>
    <w:uiPriority w:val="99"/>
    <w:rsid w:val="006B446F"/>
    <w:pPr>
      <w:spacing w:after="0" w:line="240" w:lineRule="auto"/>
    </w:pPr>
    <w:rPr>
      <w:rFonts w:ascii="Consolas" w:hAnsi="Consolas"/>
      <w:sz w:val="21"/>
      <w:szCs w:val="21"/>
    </w:rPr>
  </w:style>
  <w:style w:type="character" w:customStyle="1" w:styleId="TextosimplesCarcter">
    <w:name w:val="Texto simples Carácter"/>
    <w:basedOn w:val="Tipodeletrapredefinidodopargrafo"/>
    <w:link w:val="Textosimples"/>
    <w:uiPriority w:val="99"/>
    <w:locked/>
    <w:rsid w:val="006B446F"/>
    <w:rPr>
      <w:rFonts w:ascii="Consolas" w:hAnsi="Consolas" w:cs="Times New Roman"/>
      <w:sz w:val="21"/>
      <w:szCs w:val="21"/>
    </w:rPr>
  </w:style>
  <w:style w:type="paragraph" w:styleId="Mapadodocumento">
    <w:name w:val="Document Map"/>
    <w:basedOn w:val="Normal"/>
    <w:link w:val="MapadodocumentoCarcter"/>
    <w:uiPriority w:val="99"/>
    <w:semiHidden/>
    <w:rsid w:val="00F36C85"/>
    <w:rPr>
      <w:rFonts w:ascii="Tahoma" w:hAnsi="Tahoma" w:cs="Tahoma"/>
      <w:sz w:val="16"/>
      <w:szCs w:val="16"/>
    </w:rPr>
  </w:style>
  <w:style w:type="character" w:customStyle="1" w:styleId="MapadodocumentoCarcter">
    <w:name w:val="Mapa do documento Carácter"/>
    <w:basedOn w:val="Tipodeletrapredefinidodopargrafo"/>
    <w:link w:val="Mapadodocumento"/>
    <w:uiPriority w:val="99"/>
    <w:semiHidden/>
    <w:locked/>
    <w:rsid w:val="00F36C85"/>
    <w:rPr>
      <w:rFonts w:ascii="Tahoma" w:hAnsi="Tahoma" w:cs="Tahoma"/>
      <w:sz w:val="16"/>
      <w:szCs w:val="16"/>
      <w:lang w:val="pt-PT"/>
    </w:rPr>
  </w:style>
  <w:style w:type="character" w:styleId="Hiperligao">
    <w:name w:val="Hyperlink"/>
    <w:basedOn w:val="Tipodeletrapredefinidodopargrafo"/>
    <w:uiPriority w:val="99"/>
    <w:rsid w:val="008D6D56"/>
    <w:rPr>
      <w:rFonts w:cs="Times New Roman"/>
      <w:color w:val="0000FF"/>
      <w:u w:val="single"/>
    </w:rPr>
  </w:style>
  <w:style w:type="character" w:customStyle="1" w:styleId="apple-converted-space">
    <w:name w:val="apple-converted-space"/>
    <w:basedOn w:val="Tipodeletrapredefinidodopargrafo"/>
    <w:uiPriority w:val="99"/>
    <w:rsid w:val="0023697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375300">
      <w:marLeft w:val="0"/>
      <w:marRight w:val="0"/>
      <w:marTop w:val="0"/>
      <w:marBottom w:val="0"/>
      <w:divBdr>
        <w:top w:val="none" w:sz="0" w:space="0" w:color="auto"/>
        <w:left w:val="none" w:sz="0" w:space="0" w:color="auto"/>
        <w:bottom w:val="none" w:sz="0" w:space="0" w:color="auto"/>
        <w:right w:val="none" w:sz="0" w:space="0" w:color="auto"/>
      </w:divBdr>
      <w:divsChild>
        <w:div w:id="956375303">
          <w:marLeft w:val="0"/>
          <w:marRight w:val="0"/>
          <w:marTop w:val="165"/>
          <w:marBottom w:val="0"/>
          <w:divBdr>
            <w:top w:val="none" w:sz="0" w:space="0" w:color="auto"/>
            <w:left w:val="none" w:sz="0" w:space="0" w:color="auto"/>
            <w:bottom w:val="none" w:sz="0" w:space="0" w:color="auto"/>
            <w:right w:val="none" w:sz="0" w:space="0" w:color="auto"/>
          </w:divBdr>
        </w:div>
        <w:div w:id="956375305">
          <w:marLeft w:val="0"/>
          <w:marRight w:val="0"/>
          <w:marTop w:val="0"/>
          <w:marBottom w:val="0"/>
          <w:divBdr>
            <w:top w:val="none" w:sz="0" w:space="0" w:color="auto"/>
            <w:left w:val="none" w:sz="0" w:space="0" w:color="auto"/>
            <w:bottom w:val="none" w:sz="0" w:space="0" w:color="auto"/>
            <w:right w:val="none" w:sz="0" w:space="0" w:color="auto"/>
          </w:divBdr>
          <w:divsChild>
            <w:div w:id="956375298">
              <w:marLeft w:val="0"/>
              <w:marRight w:val="0"/>
              <w:marTop w:val="480"/>
              <w:marBottom w:val="480"/>
              <w:divBdr>
                <w:top w:val="none" w:sz="0" w:space="0" w:color="auto"/>
                <w:left w:val="none" w:sz="0" w:space="0" w:color="auto"/>
                <w:bottom w:val="none" w:sz="0" w:space="0" w:color="auto"/>
                <w:right w:val="none" w:sz="0" w:space="0" w:color="auto"/>
              </w:divBdr>
              <w:divsChild>
                <w:div w:id="956375299">
                  <w:marLeft w:val="0"/>
                  <w:marRight w:val="0"/>
                  <w:marTop w:val="0"/>
                  <w:marBottom w:val="0"/>
                  <w:divBdr>
                    <w:top w:val="none" w:sz="0" w:space="0" w:color="auto"/>
                    <w:left w:val="none" w:sz="0" w:space="0" w:color="auto"/>
                    <w:bottom w:val="none" w:sz="0" w:space="0" w:color="auto"/>
                    <w:right w:val="none" w:sz="0" w:space="0" w:color="auto"/>
                  </w:divBdr>
                  <w:divsChild>
                    <w:div w:id="956375302">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956375301">
      <w:marLeft w:val="0"/>
      <w:marRight w:val="0"/>
      <w:marTop w:val="0"/>
      <w:marBottom w:val="0"/>
      <w:divBdr>
        <w:top w:val="none" w:sz="0" w:space="0" w:color="auto"/>
        <w:left w:val="none" w:sz="0" w:space="0" w:color="auto"/>
        <w:bottom w:val="none" w:sz="0" w:space="0" w:color="auto"/>
        <w:right w:val="none" w:sz="0" w:space="0" w:color="auto"/>
      </w:divBdr>
    </w:div>
    <w:div w:id="9563753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5</Pages>
  <Words>1377</Words>
  <Characters>7439</Characters>
  <Application>Microsoft Office Word</Application>
  <DocSecurity>0</DocSecurity>
  <Lines>61</Lines>
  <Paragraphs>17</Paragraphs>
  <ScaleCrop>false</ScaleCrop>
  <HeadingPairs>
    <vt:vector size="4" baseType="variant">
      <vt:variant>
        <vt:lpstr>Título</vt:lpstr>
      </vt:variant>
      <vt:variant>
        <vt:i4>1</vt:i4>
      </vt:variant>
      <vt:variant>
        <vt:lpstr>Títulos</vt:lpstr>
      </vt:variant>
      <vt:variant>
        <vt:i4>15</vt:i4>
      </vt:variant>
    </vt:vector>
  </HeadingPairs>
  <TitlesOfParts>
    <vt:vector size="16" baseType="lpstr">
      <vt:lpstr>COMENTÁRIOS DA ACTA MÉDICA</vt:lpstr>
      <vt:lpstr>ARTIGO: "THE CALCIUM/PHOSPHORUS HOMEOSTASIS IN CHRONIC KIDNEY DISEASE: FROM CLIN</vt:lpstr>
      <vt:lpstr/>
      <vt:lpstr>COMMENTs to the REFEREES</vt:lpstr>
      <vt:lpstr/>
      <vt:lpstr/>
      <vt:lpstr>Na bibliografia foi incluído o artigo acima referido e foram adicionadas as segu</vt:lpstr>
      <vt:lpstr/>
      <vt:lpstr>In page 11 line 9 one should read Fig 4J instead of Fig. 5J. </vt:lpstr>
      <vt:lpstr/>
      <vt:lpstr>“CONFLICTS OF INTEREST</vt:lpstr>
      <vt:lpstr>The authors declare that there are no conflicts of interest”</vt:lpstr>
      <vt:lpstr>FUNDING SOURCES</vt:lpstr>
      <vt:lpstr>No subsidies or grants contributed to this work”</vt:lpstr>
      <vt:lpstr>“After (page 11, line 8)</vt:lpstr>
      <vt:lpstr>The following was added:</vt:lpstr>
    </vt:vector>
  </TitlesOfParts>
  <Company/>
  <LinksUpToDate>false</LinksUpToDate>
  <CharactersWithSpaces>8799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COMENTÁRIOS DA ACTA MÉDICA</dc:title>
  <dc:creator>Luis Sobrinho</dc:creator>
  <cp:lastModifiedBy>Ana2000</cp:lastModifiedBy>
  <cp:revision>5</cp:revision>
  <dcterms:created xsi:type="dcterms:W3CDTF">2017-02-02T17:16:00Z</dcterms:created>
  <dcterms:modified xsi:type="dcterms:W3CDTF">2017-02-02T18:54:00Z</dcterms:modified>
</cp:coreProperties>
</file>