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95" w:rsidRPr="00863196" w:rsidRDefault="006A7495" w:rsidP="00B55F6D">
      <w:pPr>
        <w:widowControl w:val="0"/>
        <w:autoSpaceDE w:val="0"/>
        <w:autoSpaceDN w:val="0"/>
        <w:adjustRightInd w:val="0"/>
        <w:spacing w:line="360" w:lineRule="auto"/>
        <w:jc w:val="both"/>
        <w:rPr>
          <w:rFonts w:ascii="Arial" w:hAnsi="Arial" w:cs="Arial"/>
          <w:b/>
          <w:bCs/>
          <w:sz w:val="20"/>
          <w:szCs w:val="20"/>
          <w:lang w:val="es-ES_tradnl"/>
        </w:rPr>
      </w:pPr>
      <w:r w:rsidRPr="00863196">
        <w:rPr>
          <w:rFonts w:ascii="Arial" w:hAnsi="Arial" w:cs="Arial"/>
          <w:b/>
          <w:bCs/>
          <w:sz w:val="20"/>
          <w:szCs w:val="20"/>
          <w:lang w:val="es-ES_tradnl"/>
        </w:rPr>
        <w:t>PÁGINA DE TÍTULO</w:t>
      </w:r>
    </w:p>
    <w:p w:rsidR="006A7495" w:rsidRPr="00863196" w:rsidRDefault="006A7495" w:rsidP="00B55F6D">
      <w:pPr>
        <w:widowControl w:val="0"/>
        <w:autoSpaceDE w:val="0"/>
        <w:autoSpaceDN w:val="0"/>
        <w:adjustRightInd w:val="0"/>
        <w:spacing w:line="360" w:lineRule="auto"/>
        <w:jc w:val="both"/>
        <w:rPr>
          <w:rFonts w:ascii="Arial" w:hAnsi="Arial" w:cs="Arial"/>
          <w:b/>
          <w:bCs/>
          <w:sz w:val="20"/>
          <w:szCs w:val="20"/>
          <w:lang w:val="es-ES_tradnl"/>
        </w:rPr>
      </w:pPr>
    </w:p>
    <w:p w:rsidR="003E4C37" w:rsidRPr="00863196" w:rsidRDefault="003E4C37" w:rsidP="00B55F6D">
      <w:pPr>
        <w:widowControl w:val="0"/>
        <w:autoSpaceDE w:val="0"/>
        <w:autoSpaceDN w:val="0"/>
        <w:adjustRightInd w:val="0"/>
        <w:spacing w:line="360" w:lineRule="auto"/>
        <w:jc w:val="both"/>
        <w:rPr>
          <w:rFonts w:ascii="Arial" w:hAnsi="Arial" w:cs="Arial"/>
          <w:b/>
          <w:bCs/>
          <w:sz w:val="20"/>
          <w:szCs w:val="20"/>
          <w:lang w:val="es-ES_tradnl"/>
        </w:rPr>
      </w:pPr>
      <w:r w:rsidRPr="00863196">
        <w:rPr>
          <w:rFonts w:ascii="Arial" w:hAnsi="Arial" w:cs="Arial"/>
          <w:b/>
          <w:bCs/>
          <w:sz w:val="20"/>
          <w:szCs w:val="20"/>
          <w:lang w:val="es-ES_tradnl"/>
        </w:rPr>
        <w:t>a) Título</w:t>
      </w:r>
      <w:r w:rsidR="00501895" w:rsidRPr="00863196">
        <w:rPr>
          <w:rFonts w:ascii="Arial" w:hAnsi="Arial" w:cs="Arial"/>
          <w:b/>
          <w:bCs/>
          <w:sz w:val="20"/>
          <w:szCs w:val="20"/>
          <w:lang w:val="es-ES_tradnl"/>
        </w:rPr>
        <w:t>:</w:t>
      </w:r>
    </w:p>
    <w:p w:rsidR="00DD4834" w:rsidRPr="00863196" w:rsidRDefault="00DD4834" w:rsidP="00B55F6D">
      <w:pPr>
        <w:widowControl w:val="0"/>
        <w:autoSpaceDE w:val="0"/>
        <w:autoSpaceDN w:val="0"/>
        <w:adjustRightInd w:val="0"/>
        <w:spacing w:line="360" w:lineRule="auto"/>
        <w:jc w:val="both"/>
        <w:rPr>
          <w:rFonts w:ascii="Arial" w:hAnsi="Arial" w:cs="Arial"/>
          <w:bCs/>
          <w:sz w:val="20"/>
          <w:szCs w:val="20"/>
          <w:lang w:val="es-ES_tradnl"/>
        </w:rPr>
      </w:pPr>
      <w:r w:rsidRPr="00863196">
        <w:rPr>
          <w:rFonts w:ascii="Arial" w:hAnsi="Arial" w:cs="Arial"/>
          <w:bCs/>
          <w:sz w:val="20"/>
          <w:szCs w:val="20"/>
          <w:lang w:val="es-ES_tradnl"/>
        </w:rPr>
        <w:t xml:space="preserve">Hiperplasia </w:t>
      </w:r>
      <w:r w:rsidR="00C3786C" w:rsidRPr="00863196">
        <w:rPr>
          <w:rFonts w:ascii="Arial" w:hAnsi="Arial" w:cs="Arial"/>
          <w:bCs/>
          <w:sz w:val="20"/>
          <w:szCs w:val="20"/>
          <w:lang w:val="es-ES_tradnl"/>
        </w:rPr>
        <w:t>congénita da s</w:t>
      </w:r>
      <w:r w:rsidRPr="00863196">
        <w:rPr>
          <w:rFonts w:ascii="Arial" w:hAnsi="Arial" w:cs="Arial"/>
          <w:bCs/>
          <w:sz w:val="20"/>
          <w:szCs w:val="20"/>
          <w:lang w:val="es-ES_tradnl"/>
        </w:rPr>
        <w:t>uprarrenal por deficiência de 21-hidroxílase: correlação genótipo-fenótipo</w:t>
      </w:r>
    </w:p>
    <w:p w:rsidR="00C3786C" w:rsidRPr="00863196" w:rsidRDefault="00C3786C" w:rsidP="00B55F6D">
      <w:pPr>
        <w:widowControl w:val="0"/>
        <w:autoSpaceDE w:val="0"/>
        <w:autoSpaceDN w:val="0"/>
        <w:adjustRightInd w:val="0"/>
        <w:spacing w:line="360" w:lineRule="auto"/>
        <w:jc w:val="both"/>
        <w:rPr>
          <w:rFonts w:ascii="Arial" w:hAnsi="Arial" w:cs="Arial"/>
          <w:bCs/>
          <w:sz w:val="20"/>
          <w:szCs w:val="20"/>
          <w:lang w:val="es-ES_tradnl"/>
        </w:rPr>
      </w:pPr>
    </w:p>
    <w:p w:rsidR="00C3786C" w:rsidRPr="00863196" w:rsidRDefault="00C3786C" w:rsidP="00B55F6D">
      <w:pPr>
        <w:widowControl w:val="0"/>
        <w:autoSpaceDE w:val="0"/>
        <w:autoSpaceDN w:val="0"/>
        <w:adjustRightInd w:val="0"/>
        <w:spacing w:line="360" w:lineRule="auto"/>
        <w:jc w:val="both"/>
        <w:rPr>
          <w:rFonts w:ascii="Arial" w:hAnsi="Arial" w:cs="Arial"/>
          <w:bCs/>
          <w:sz w:val="20"/>
          <w:szCs w:val="20"/>
          <w:lang w:val="es-ES_tradnl"/>
        </w:rPr>
      </w:pPr>
      <w:r w:rsidRPr="00863196">
        <w:rPr>
          <w:rFonts w:ascii="Arial" w:hAnsi="Arial" w:cs="Arial"/>
          <w:bCs/>
          <w:sz w:val="20"/>
          <w:szCs w:val="20"/>
          <w:lang w:val="es-ES_tradnl"/>
        </w:rPr>
        <w:t>Congenital adrenal hyperplasia due to 21-hydroxylase deficiency: genotype-phenotype correlation</w:t>
      </w:r>
    </w:p>
    <w:p w:rsidR="00C3786C" w:rsidRPr="00863196" w:rsidRDefault="00C3786C" w:rsidP="00B55F6D">
      <w:pPr>
        <w:widowControl w:val="0"/>
        <w:autoSpaceDE w:val="0"/>
        <w:autoSpaceDN w:val="0"/>
        <w:adjustRightInd w:val="0"/>
        <w:spacing w:line="360" w:lineRule="auto"/>
        <w:jc w:val="both"/>
        <w:rPr>
          <w:rFonts w:ascii="Arial" w:hAnsi="Arial" w:cs="Arial"/>
          <w:b/>
          <w:bCs/>
          <w:sz w:val="20"/>
          <w:szCs w:val="20"/>
          <w:lang w:val="es-ES_tradnl"/>
        </w:rPr>
      </w:pPr>
    </w:p>
    <w:p w:rsidR="003E4C37" w:rsidRPr="00CA5489" w:rsidRDefault="003E4C37" w:rsidP="00B55F6D">
      <w:pPr>
        <w:widowControl w:val="0"/>
        <w:autoSpaceDE w:val="0"/>
        <w:autoSpaceDN w:val="0"/>
        <w:adjustRightInd w:val="0"/>
        <w:spacing w:line="360" w:lineRule="auto"/>
        <w:jc w:val="both"/>
        <w:rPr>
          <w:rFonts w:ascii="Arial" w:hAnsi="Arial" w:cs="Arial"/>
          <w:b/>
          <w:sz w:val="20"/>
          <w:szCs w:val="20"/>
          <w:lang w:val="pt-PT"/>
        </w:rPr>
      </w:pPr>
      <w:r w:rsidRPr="00CA5489">
        <w:rPr>
          <w:rFonts w:ascii="Arial" w:hAnsi="Arial" w:cs="Arial"/>
          <w:b/>
          <w:sz w:val="20"/>
          <w:szCs w:val="20"/>
          <w:lang w:val="pt-PT"/>
        </w:rPr>
        <w:t>b) Autores</w:t>
      </w:r>
      <w:r w:rsidR="00501895" w:rsidRPr="00CA5489">
        <w:rPr>
          <w:rFonts w:ascii="Arial" w:hAnsi="Arial" w:cs="Arial"/>
          <w:b/>
          <w:sz w:val="20"/>
          <w:szCs w:val="20"/>
          <w:lang w:val="pt-PT"/>
        </w:rPr>
        <w:t>:</w:t>
      </w:r>
    </w:p>
    <w:p w:rsidR="00C3786C" w:rsidRPr="00CA5489" w:rsidRDefault="00C3786C" w:rsidP="00B55F6D">
      <w:pPr>
        <w:widowControl w:val="0"/>
        <w:autoSpaceDE w:val="0"/>
        <w:autoSpaceDN w:val="0"/>
        <w:adjustRightInd w:val="0"/>
        <w:spacing w:line="360" w:lineRule="auto"/>
        <w:jc w:val="both"/>
        <w:rPr>
          <w:rFonts w:ascii="Arial" w:hAnsi="Arial" w:cs="Arial"/>
          <w:sz w:val="20"/>
          <w:szCs w:val="20"/>
          <w:vertAlign w:val="superscript"/>
          <w:lang w:val="pt-PT"/>
        </w:rPr>
      </w:pPr>
      <w:r w:rsidRPr="00CA5489">
        <w:rPr>
          <w:rFonts w:ascii="Arial" w:hAnsi="Arial" w:cs="Arial"/>
          <w:sz w:val="20"/>
          <w:szCs w:val="20"/>
          <w:lang w:val="pt-PT"/>
        </w:rPr>
        <w:t>Catarina Mendes</w:t>
      </w:r>
      <w:r w:rsidR="00FA4845" w:rsidRPr="00CA5489">
        <w:rPr>
          <w:rFonts w:ascii="Arial" w:hAnsi="Arial" w:cs="Arial"/>
          <w:sz w:val="20"/>
          <w:szCs w:val="20"/>
          <w:vertAlign w:val="superscript"/>
          <w:lang w:val="pt-PT"/>
        </w:rPr>
        <w:t>1</w:t>
      </w:r>
      <w:r w:rsidRPr="00CA5489">
        <w:rPr>
          <w:rFonts w:ascii="Arial" w:hAnsi="Arial" w:cs="Arial"/>
          <w:sz w:val="20"/>
          <w:szCs w:val="20"/>
          <w:lang w:val="pt-PT"/>
        </w:rPr>
        <w:t>, Inês Vaz Matos</w:t>
      </w:r>
      <w:r w:rsidR="00885E3C" w:rsidRPr="00CA5489">
        <w:rPr>
          <w:rFonts w:ascii="Arial" w:hAnsi="Arial" w:cs="Arial"/>
          <w:sz w:val="20"/>
          <w:szCs w:val="20"/>
          <w:vertAlign w:val="superscript"/>
          <w:lang w:val="pt-PT"/>
        </w:rPr>
        <w:t>1</w:t>
      </w:r>
      <w:r w:rsidRPr="00CA5489">
        <w:rPr>
          <w:rFonts w:ascii="Arial" w:hAnsi="Arial" w:cs="Arial"/>
          <w:sz w:val="20"/>
          <w:szCs w:val="20"/>
          <w:lang w:val="pt-PT"/>
        </w:rPr>
        <w:t>, Luís Ribeiro</w:t>
      </w:r>
      <w:r w:rsidR="00885E3C" w:rsidRPr="00CA5489">
        <w:rPr>
          <w:rFonts w:ascii="Arial" w:hAnsi="Arial" w:cs="Arial"/>
          <w:sz w:val="20"/>
          <w:szCs w:val="20"/>
          <w:vertAlign w:val="superscript"/>
          <w:lang w:val="pt-PT"/>
        </w:rPr>
        <w:t>1</w:t>
      </w:r>
      <w:r w:rsidRPr="00CA5489">
        <w:rPr>
          <w:rFonts w:ascii="Arial" w:hAnsi="Arial" w:cs="Arial"/>
          <w:sz w:val="20"/>
          <w:szCs w:val="20"/>
          <w:lang w:val="pt-PT"/>
        </w:rPr>
        <w:t>, Maria João Oliveira</w:t>
      </w:r>
      <w:r w:rsidR="00885E3C" w:rsidRPr="00CA5489">
        <w:rPr>
          <w:rFonts w:ascii="Arial" w:hAnsi="Arial" w:cs="Arial"/>
          <w:sz w:val="20"/>
          <w:szCs w:val="20"/>
          <w:vertAlign w:val="superscript"/>
          <w:lang w:val="pt-PT"/>
        </w:rPr>
        <w:t>1</w:t>
      </w:r>
      <w:r w:rsidRPr="00CA5489">
        <w:rPr>
          <w:rFonts w:ascii="Arial" w:hAnsi="Arial" w:cs="Arial"/>
          <w:sz w:val="20"/>
          <w:szCs w:val="20"/>
          <w:lang w:val="pt-PT"/>
        </w:rPr>
        <w:t>, Helena Cardoso</w:t>
      </w:r>
      <w:r w:rsidR="00885E3C" w:rsidRPr="00CA5489">
        <w:rPr>
          <w:rFonts w:ascii="Arial" w:hAnsi="Arial" w:cs="Arial"/>
          <w:sz w:val="20"/>
          <w:szCs w:val="20"/>
          <w:vertAlign w:val="superscript"/>
          <w:lang w:val="pt-PT"/>
        </w:rPr>
        <w:t>2</w:t>
      </w:r>
      <w:r w:rsidRPr="00CA5489">
        <w:rPr>
          <w:rFonts w:ascii="Arial" w:hAnsi="Arial" w:cs="Arial"/>
          <w:sz w:val="20"/>
          <w:szCs w:val="20"/>
          <w:lang w:val="pt-PT"/>
        </w:rPr>
        <w:t>, Teresa Borges</w:t>
      </w:r>
      <w:r w:rsidR="00885E3C" w:rsidRPr="00CA5489">
        <w:rPr>
          <w:rFonts w:ascii="Arial" w:hAnsi="Arial" w:cs="Arial"/>
          <w:sz w:val="20"/>
          <w:szCs w:val="20"/>
          <w:vertAlign w:val="superscript"/>
          <w:lang w:val="pt-PT"/>
        </w:rPr>
        <w:t>1</w:t>
      </w:r>
    </w:p>
    <w:p w:rsidR="00DF5D27" w:rsidRPr="00CA5489" w:rsidRDefault="00DF5D27" w:rsidP="00B55F6D">
      <w:pPr>
        <w:widowControl w:val="0"/>
        <w:autoSpaceDE w:val="0"/>
        <w:autoSpaceDN w:val="0"/>
        <w:adjustRightInd w:val="0"/>
        <w:spacing w:line="360" w:lineRule="auto"/>
        <w:jc w:val="both"/>
        <w:rPr>
          <w:rFonts w:ascii="Arial" w:hAnsi="Arial" w:cs="Arial"/>
          <w:sz w:val="20"/>
          <w:szCs w:val="20"/>
          <w:lang w:val="pt-PT"/>
        </w:rPr>
      </w:pPr>
    </w:p>
    <w:p w:rsidR="00C3786C" w:rsidRPr="00CA5489" w:rsidRDefault="00DF5D27" w:rsidP="00B55F6D">
      <w:pPr>
        <w:widowControl w:val="0"/>
        <w:autoSpaceDE w:val="0"/>
        <w:autoSpaceDN w:val="0"/>
        <w:adjustRightInd w:val="0"/>
        <w:spacing w:line="360" w:lineRule="auto"/>
        <w:jc w:val="both"/>
        <w:rPr>
          <w:rFonts w:ascii="Arial" w:hAnsi="Arial" w:cs="Arial"/>
          <w:sz w:val="20"/>
          <w:szCs w:val="20"/>
          <w:lang w:val="pt-PT"/>
        </w:rPr>
      </w:pPr>
      <w:r w:rsidRPr="00CA5489">
        <w:rPr>
          <w:rFonts w:ascii="Arial" w:hAnsi="Arial" w:cs="Arial"/>
          <w:sz w:val="20"/>
          <w:szCs w:val="20"/>
          <w:vertAlign w:val="superscript"/>
          <w:lang w:val="pt-PT"/>
        </w:rPr>
        <w:t>1</w:t>
      </w:r>
      <w:r w:rsidR="00FA4845" w:rsidRPr="00CA5489">
        <w:rPr>
          <w:rFonts w:ascii="Arial" w:hAnsi="Arial" w:cs="Arial"/>
          <w:sz w:val="20"/>
          <w:szCs w:val="20"/>
          <w:lang w:val="pt-PT"/>
        </w:rPr>
        <w:t>Departamento da Criança e do Adolescente,</w:t>
      </w:r>
      <w:r w:rsidRPr="00CA5489">
        <w:rPr>
          <w:rFonts w:ascii="Arial" w:hAnsi="Arial" w:cs="Arial"/>
          <w:sz w:val="20"/>
          <w:szCs w:val="20"/>
          <w:lang w:val="pt-PT"/>
        </w:rPr>
        <w:t xml:space="preserve"> Unidad</w:t>
      </w:r>
      <w:r w:rsidR="0081140C" w:rsidRPr="00CA5489">
        <w:rPr>
          <w:rFonts w:ascii="Arial" w:hAnsi="Arial" w:cs="Arial"/>
          <w:sz w:val="20"/>
          <w:szCs w:val="20"/>
          <w:lang w:val="pt-PT"/>
        </w:rPr>
        <w:t>e de Endocrinologia Pediátrica.</w:t>
      </w:r>
      <w:r w:rsidR="00FA4845" w:rsidRPr="00CA5489">
        <w:rPr>
          <w:rFonts w:ascii="Arial" w:hAnsi="Arial" w:cs="Arial"/>
          <w:sz w:val="20"/>
          <w:szCs w:val="20"/>
          <w:lang w:val="pt-PT"/>
        </w:rPr>
        <w:t xml:space="preserve"> Centro Hospitalar do Porto</w:t>
      </w:r>
      <w:r w:rsidR="0081140C" w:rsidRPr="00CA5489">
        <w:rPr>
          <w:rFonts w:ascii="Arial" w:hAnsi="Arial" w:cs="Arial"/>
          <w:sz w:val="20"/>
          <w:szCs w:val="20"/>
          <w:lang w:val="pt-PT"/>
        </w:rPr>
        <w:t>. Porto. Portugal.</w:t>
      </w:r>
    </w:p>
    <w:p w:rsidR="00FA4845" w:rsidRPr="00CA5489" w:rsidRDefault="00FA4845" w:rsidP="00B55F6D">
      <w:pPr>
        <w:widowControl w:val="0"/>
        <w:autoSpaceDE w:val="0"/>
        <w:autoSpaceDN w:val="0"/>
        <w:adjustRightInd w:val="0"/>
        <w:spacing w:line="360" w:lineRule="auto"/>
        <w:jc w:val="both"/>
        <w:rPr>
          <w:rFonts w:ascii="Arial" w:hAnsi="Arial" w:cs="Arial"/>
          <w:sz w:val="20"/>
          <w:szCs w:val="20"/>
          <w:lang w:val="pt-PT"/>
        </w:rPr>
      </w:pPr>
      <w:r w:rsidRPr="00CA5489">
        <w:rPr>
          <w:rFonts w:ascii="Arial" w:hAnsi="Arial" w:cs="Arial"/>
          <w:sz w:val="20"/>
          <w:szCs w:val="20"/>
          <w:vertAlign w:val="superscript"/>
          <w:lang w:val="pt-PT"/>
        </w:rPr>
        <w:t>2</w:t>
      </w:r>
      <w:r w:rsidR="00B55F6D" w:rsidRPr="00CA5489">
        <w:rPr>
          <w:rFonts w:ascii="Arial" w:hAnsi="Arial" w:cs="Arial"/>
          <w:sz w:val="20"/>
          <w:szCs w:val="20"/>
          <w:lang w:val="pt-PT"/>
        </w:rPr>
        <w:t xml:space="preserve">Serviço de </w:t>
      </w:r>
      <w:r w:rsidRPr="00CA5489">
        <w:rPr>
          <w:rFonts w:ascii="Arial" w:hAnsi="Arial" w:cs="Arial"/>
          <w:sz w:val="20"/>
          <w:szCs w:val="20"/>
          <w:lang w:val="pt-PT"/>
        </w:rPr>
        <w:t>Endocrinol</w:t>
      </w:r>
      <w:r w:rsidR="0081140C" w:rsidRPr="00CA5489">
        <w:rPr>
          <w:rFonts w:ascii="Arial" w:hAnsi="Arial" w:cs="Arial"/>
          <w:sz w:val="20"/>
          <w:szCs w:val="20"/>
          <w:lang w:val="pt-PT"/>
        </w:rPr>
        <w:t xml:space="preserve">ogia, Diabetes e Metabolismo. </w:t>
      </w:r>
      <w:r w:rsidRPr="00CA5489">
        <w:rPr>
          <w:rFonts w:ascii="Arial" w:hAnsi="Arial" w:cs="Arial"/>
          <w:sz w:val="20"/>
          <w:szCs w:val="20"/>
          <w:lang w:val="pt-PT"/>
        </w:rPr>
        <w:t>Centro Hospitalar do Porto</w:t>
      </w:r>
      <w:r w:rsidR="0081140C" w:rsidRPr="00CA5489">
        <w:rPr>
          <w:rFonts w:ascii="Arial" w:hAnsi="Arial" w:cs="Arial"/>
          <w:sz w:val="20"/>
          <w:szCs w:val="20"/>
          <w:lang w:val="pt-PT"/>
        </w:rPr>
        <w:t>. Porto. Portugal.</w:t>
      </w:r>
    </w:p>
    <w:p w:rsidR="006D114C" w:rsidRPr="00CA5489" w:rsidRDefault="006D114C" w:rsidP="00B55F6D">
      <w:pPr>
        <w:widowControl w:val="0"/>
        <w:autoSpaceDE w:val="0"/>
        <w:autoSpaceDN w:val="0"/>
        <w:adjustRightInd w:val="0"/>
        <w:spacing w:line="360" w:lineRule="auto"/>
        <w:jc w:val="both"/>
        <w:rPr>
          <w:rFonts w:ascii="Arial" w:hAnsi="Arial" w:cs="Arial"/>
          <w:sz w:val="20"/>
          <w:szCs w:val="20"/>
          <w:lang w:val="pt-PT"/>
        </w:rPr>
      </w:pPr>
    </w:p>
    <w:p w:rsidR="006E26AA" w:rsidRPr="00CA5489" w:rsidRDefault="006D114C" w:rsidP="00B55F6D">
      <w:pPr>
        <w:widowControl w:val="0"/>
        <w:autoSpaceDE w:val="0"/>
        <w:autoSpaceDN w:val="0"/>
        <w:adjustRightInd w:val="0"/>
        <w:spacing w:line="360" w:lineRule="auto"/>
        <w:jc w:val="both"/>
        <w:rPr>
          <w:rFonts w:ascii="Arial" w:hAnsi="Arial" w:cs="Arial"/>
          <w:sz w:val="20"/>
          <w:szCs w:val="20"/>
          <w:lang w:val="pt-PT"/>
        </w:rPr>
      </w:pPr>
      <w:r w:rsidRPr="00CA5489">
        <w:rPr>
          <w:rFonts w:ascii="Arial" w:hAnsi="Arial" w:cs="Arial"/>
          <w:b/>
          <w:sz w:val="20"/>
          <w:szCs w:val="20"/>
          <w:lang w:val="pt-PT"/>
        </w:rPr>
        <w:t xml:space="preserve">c) </w:t>
      </w:r>
      <w:r w:rsidR="00774564" w:rsidRPr="00CA5489">
        <w:rPr>
          <w:rFonts w:ascii="Arial" w:hAnsi="Arial" w:cs="Arial"/>
          <w:b/>
          <w:sz w:val="20"/>
          <w:szCs w:val="20"/>
          <w:lang w:val="pt-PT"/>
        </w:rPr>
        <w:t>Subsídio(s) ou bolsa(s) que contribuíram para a realização do trabalho</w:t>
      </w:r>
      <w:r w:rsidR="00774564" w:rsidRPr="00CA5489">
        <w:rPr>
          <w:rFonts w:ascii="Arial" w:hAnsi="Arial" w:cs="Arial"/>
          <w:sz w:val="20"/>
          <w:szCs w:val="20"/>
          <w:lang w:val="pt-PT"/>
        </w:rPr>
        <w:t xml:space="preserve">: </w:t>
      </w:r>
    </w:p>
    <w:p w:rsidR="00DD4834" w:rsidRPr="00CA5489" w:rsidRDefault="006D114C" w:rsidP="00B55F6D">
      <w:pPr>
        <w:widowControl w:val="0"/>
        <w:autoSpaceDE w:val="0"/>
        <w:autoSpaceDN w:val="0"/>
        <w:adjustRightInd w:val="0"/>
        <w:spacing w:line="360" w:lineRule="auto"/>
        <w:jc w:val="both"/>
        <w:rPr>
          <w:rFonts w:ascii="Arial" w:hAnsi="Arial" w:cs="Arial"/>
          <w:sz w:val="20"/>
          <w:szCs w:val="20"/>
          <w:lang w:val="pt-PT"/>
        </w:rPr>
      </w:pPr>
      <w:r w:rsidRPr="00CA5489">
        <w:rPr>
          <w:rFonts w:ascii="Arial" w:hAnsi="Arial" w:cs="Arial"/>
          <w:sz w:val="20"/>
          <w:szCs w:val="20"/>
          <w:lang w:val="pt-PT"/>
        </w:rPr>
        <w:t>O trabalho não foi financiado</w:t>
      </w:r>
      <w:r w:rsidR="00A56158" w:rsidRPr="00CA5489">
        <w:rPr>
          <w:rFonts w:ascii="Arial" w:hAnsi="Arial" w:cs="Arial"/>
          <w:sz w:val="20"/>
          <w:szCs w:val="20"/>
          <w:lang w:val="pt-PT"/>
        </w:rPr>
        <w:t>.</w:t>
      </w:r>
    </w:p>
    <w:p w:rsidR="006D114C" w:rsidRPr="00CA5489" w:rsidRDefault="006D114C" w:rsidP="00B55F6D">
      <w:pPr>
        <w:widowControl w:val="0"/>
        <w:autoSpaceDE w:val="0"/>
        <w:autoSpaceDN w:val="0"/>
        <w:adjustRightInd w:val="0"/>
        <w:spacing w:line="360" w:lineRule="auto"/>
        <w:jc w:val="both"/>
        <w:rPr>
          <w:rFonts w:ascii="Arial" w:hAnsi="Arial" w:cs="Arial"/>
          <w:sz w:val="20"/>
          <w:szCs w:val="20"/>
          <w:lang w:val="pt-PT"/>
        </w:rPr>
      </w:pPr>
    </w:p>
    <w:p w:rsidR="004B1C04" w:rsidRPr="00CA5489" w:rsidRDefault="006D114C" w:rsidP="00B55F6D">
      <w:pPr>
        <w:widowControl w:val="0"/>
        <w:autoSpaceDE w:val="0"/>
        <w:autoSpaceDN w:val="0"/>
        <w:adjustRightInd w:val="0"/>
        <w:spacing w:line="360" w:lineRule="auto"/>
        <w:jc w:val="both"/>
        <w:rPr>
          <w:rFonts w:ascii="Arial" w:hAnsi="Arial" w:cs="Arial"/>
          <w:b/>
          <w:sz w:val="20"/>
          <w:szCs w:val="20"/>
          <w:lang w:val="pt-PT"/>
        </w:rPr>
      </w:pPr>
      <w:r w:rsidRPr="00CA5489">
        <w:rPr>
          <w:rFonts w:ascii="Arial" w:hAnsi="Arial" w:cs="Arial"/>
          <w:b/>
          <w:sz w:val="20"/>
          <w:szCs w:val="20"/>
          <w:lang w:val="pt-PT"/>
        </w:rPr>
        <w:t xml:space="preserve">d) </w:t>
      </w:r>
      <w:r w:rsidR="00DD4834" w:rsidRPr="00CA5489">
        <w:rPr>
          <w:rFonts w:ascii="Arial" w:hAnsi="Arial" w:cs="Arial"/>
          <w:b/>
          <w:sz w:val="20"/>
          <w:szCs w:val="20"/>
          <w:lang w:val="pt-PT"/>
        </w:rPr>
        <w:t>Morada e e-mail do Autor responsável pela correspondência</w:t>
      </w:r>
      <w:r w:rsidRPr="00CA5489">
        <w:rPr>
          <w:rFonts w:ascii="Arial" w:hAnsi="Arial" w:cs="Arial"/>
          <w:b/>
          <w:sz w:val="20"/>
          <w:szCs w:val="20"/>
          <w:lang w:val="pt-PT"/>
        </w:rPr>
        <w:t xml:space="preserve"> </w:t>
      </w:r>
      <w:r w:rsidR="00DD4834" w:rsidRPr="00CA5489">
        <w:rPr>
          <w:rFonts w:ascii="Arial" w:hAnsi="Arial" w:cs="Arial"/>
          <w:b/>
          <w:sz w:val="20"/>
          <w:szCs w:val="20"/>
          <w:lang w:val="pt-PT"/>
        </w:rPr>
        <w:t>relativa ao manuscrito</w:t>
      </w:r>
      <w:r w:rsidRPr="00CA5489">
        <w:rPr>
          <w:rFonts w:ascii="Arial" w:hAnsi="Arial" w:cs="Arial"/>
          <w:b/>
          <w:sz w:val="20"/>
          <w:szCs w:val="20"/>
          <w:lang w:val="pt-PT"/>
        </w:rPr>
        <w:t>:</w:t>
      </w:r>
    </w:p>
    <w:p w:rsidR="006D114C" w:rsidRPr="00863196" w:rsidRDefault="006D114C" w:rsidP="00B55F6D">
      <w:pPr>
        <w:widowControl w:val="0"/>
        <w:autoSpaceDE w:val="0"/>
        <w:autoSpaceDN w:val="0"/>
        <w:adjustRightInd w:val="0"/>
        <w:spacing w:line="360" w:lineRule="auto"/>
        <w:jc w:val="both"/>
        <w:rPr>
          <w:rFonts w:ascii="Arial" w:hAnsi="Arial" w:cs="Arial"/>
          <w:b/>
          <w:bCs/>
          <w:sz w:val="20"/>
          <w:szCs w:val="20"/>
          <w:lang w:val="es-ES_tradnl"/>
        </w:rPr>
      </w:pPr>
      <w:r w:rsidRPr="00863196">
        <w:rPr>
          <w:rFonts w:ascii="Arial" w:hAnsi="Arial" w:cs="Arial"/>
          <w:sz w:val="20"/>
          <w:szCs w:val="20"/>
          <w:lang w:val="es-ES_tradnl"/>
        </w:rPr>
        <w:t xml:space="preserve">Ana Catarina Barbedo Mendes; e-mail: </w:t>
      </w:r>
      <w:hyperlink r:id="rId8" w:history="1">
        <w:r w:rsidRPr="00863196">
          <w:rPr>
            <w:rStyle w:val="Hiperligao"/>
            <w:rFonts w:ascii="Arial" w:hAnsi="Arial" w:cs="Arial"/>
            <w:sz w:val="20"/>
            <w:szCs w:val="20"/>
            <w:lang w:val="es-ES_tradnl"/>
          </w:rPr>
          <w:t>catarinamendes@gmail.com</w:t>
        </w:r>
      </w:hyperlink>
      <w:r w:rsidRPr="00863196">
        <w:rPr>
          <w:rFonts w:ascii="Arial" w:hAnsi="Arial" w:cs="Arial"/>
          <w:sz w:val="20"/>
          <w:szCs w:val="20"/>
          <w:lang w:val="es-ES_tradnl"/>
        </w:rPr>
        <w:t xml:space="preserve">, contacto telefónico +351962983470, número de fax: +351220900620. </w:t>
      </w:r>
      <w:r w:rsidRPr="00863196">
        <w:rPr>
          <w:rFonts w:ascii="Arial" w:hAnsi="Arial" w:cs="Arial"/>
          <w:bCs/>
          <w:sz w:val="20"/>
          <w:szCs w:val="20"/>
          <w:lang w:val="es-ES_tradnl"/>
        </w:rPr>
        <w:t>Morada:</w:t>
      </w:r>
      <w:r w:rsidRPr="00863196">
        <w:rPr>
          <w:rFonts w:ascii="Arial" w:hAnsi="Arial" w:cs="Arial"/>
          <w:b/>
          <w:bCs/>
          <w:sz w:val="20"/>
          <w:szCs w:val="20"/>
          <w:lang w:val="es-ES_tradnl"/>
        </w:rPr>
        <w:t xml:space="preserve"> </w:t>
      </w:r>
      <w:r w:rsidRPr="00863196">
        <w:rPr>
          <w:rFonts w:ascii="Arial" w:hAnsi="Arial" w:cs="Arial"/>
          <w:sz w:val="20"/>
          <w:szCs w:val="20"/>
          <w:lang w:val="es-ES_tradnl"/>
        </w:rPr>
        <w:t>Largo Professor Abel Salazar 4099-001 - Centro Hospitalar do Porto.</w:t>
      </w:r>
    </w:p>
    <w:p w:rsidR="006D114C" w:rsidRPr="00CA5489" w:rsidRDefault="006D114C" w:rsidP="00B55F6D">
      <w:pPr>
        <w:widowControl w:val="0"/>
        <w:autoSpaceDE w:val="0"/>
        <w:autoSpaceDN w:val="0"/>
        <w:adjustRightInd w:val="0"/>
        <w:spacing w:line="360" w:lineRule="auto"/>
        <w:jc w:val="both"/>
        <w:rPr>
          <w:rFonts w:ascii="Arial" w:hAnsi="Arial" w:cs="Arial"/>
          <w:sz w:val="20"/>
          <w:szCs w:val="20"/>
          <w:lang w:val="pt-PT"/>
        </w:rPr>
      </w:pPr>
    </w:p>
    <w:p w:rsidR="006D5A3D" w:rsidRPr="00CA5489" w:rsidRDefault="00DD4834" w:rsidP="00B55F6D">
      <w:pPr>
        <w:spacing w:line="360" w:lineRule="auto"/>
        <w:jc w:val="both"/>
        <w:rPr>
          <w:rFonts w:ascii="Arial" w:hAnsi="Arial" w:cs="Arial"/>
          <w:b/>
          <w:sz w:val="20"/>
          <w:szCs w:val="20"/>
          <w:lang w:val="pt-PT"/>
        </w:rPr>
      </w:pPr>
      <w:r w:rsidRPr="00CA5489">
        <w:rPr>
          <w:rFonts w:ascii="Arial" w:hAnsi="Arial" w:cs="Arial"/>
          <w:b/>
          <w:sz w:val="20"/>
          <w:szCs w:val="20"/>
          <w:lang w:val="pt-PT"/>
        </w:rPr>
        <w:t>e) Título breve para cabeçalho</w:t>
      </w:r>
      <w:r w:rsidR="00501895" w:rsidRPr="00CA5489">
        <w:rPr>
          <w:rFonts w:ascii="Arial" w:hAnsi="Arial" w:cs="Arial"/>
          <w:b/>
          <w:sz w:val="20"/>
          <w:szCs w:val="20"/>
          <w:lang w:val="pt-PT"/>
        </w:rPr>
        <w:t>:</w:t>
      </w:r>
    </w:p>
    <w:p w:rsidR="009A37FA" w:rsidRPr="00863196" w:rsidRDefault="003F1F3B" w:rsidP="00B55F6D">
      <w:pPr>
        <w:widowControl w:val="0"/>
        <w:autoSpaceDE w:val="0"/>
        <w:autoSpaceDN w:val="0"/>
        <w:adjustRightInd w:val="0"/>
        <w:spacing w:line="360" w:lineRule="auto"/>
        <w:jc w:val="both"/>
        <w:rPr>
          <w:rFonts w:ascii="Arial" w:hAnsi="Arial" w:cs="Arial"/>
          <w:b/>
          <w:bCs/>
          <w:sz w:val="20"/>
          <w:szCs w:val="20"/>
          <w:lang w:val="es-ES_tradnl"/>
        </w:rPr>
      </w:pPr>
      <w:r w:rsidRPr="00863196">
        <w:rPr>
          <w:rFonts w:ascii="Arial" w:hAnsi="Arial" w:cs="Arial"/>
          <w:sz w:val="20"/>
          <w:szCs w:val="20"/>
          <w:lang w:val="es-ES_tradnl"/>
        </w:rPr>
        <w:t xml:space="preserve">Hiperplasia congénita da suprarrenal: correlação genótipo-fenótipo </w:t>
      </w:r>
    </w:p>
    <w:p w:rsidR="00C3786C" w:rsidRPr="00863196" w:rsidRDefault="002769B2" w:rsidP="00C3786C">
      <w:pPr>
        <w:rPr>
          <w:rFonts w:ascii="Arial" w:hAnsi="Arial" w:cs="Arial"/>
          <w:bCs/>
          <w:sz w:val="20"/>
          <w:szCs w:val="20"/>
          <w:lang w:val="es-ES_tradnl"/>
        </w:rPr>
      </w:pPr>
      <w:r w:rsidRPr="00863196">
        <w:rPr>
          <w:rFonts w:ascii="Arial" w:hAnsi="Arial" w:cs="Arial"/>
          <w:b/>
          <w:bCs/>
          <w:sz w:val="20"/>
          <w:szCs w:val="20"/>
          <w:lang w:val="es-ES_tradnl"/>
        </w:rPr>
        <w:br w:type="page"/>
      </w:r>
    </w:p>
    <w:p w:rsidR="002B0E0D" w:rsidRPr="00863196" w:rsidRDefault="002B0E0D" w:rsidP="0085608F">
      <w:pPr>
        <w:widowControl w:val="0"/>
        <w:autoSpaceDE w:val="0"/>
        <w:autoSpaceDN w:val="0"/>
        <w:adjustRightInd w:val="0"/>
        <w:spacing w:line="360" w:lineRule="auto"/>
        <w:jc w:val="both"/>
        <w:rPr>
          <w:rFonts w:ascii="Arial" w:hAnsi="Arial" w:cs="Arial"/>
          <w:b/>
          <w:bCs/>
          <w:sz w:val="20"/>
          <w:szCs w:val="20"/>
          <w:lang w:val="es-ES_tradnl"/>
        </w:rPr>
      </w:pPr>
      <w:r w:rsidRPr="00863196">
        <w:rPr>
          <w:rFonts w:ascii="Arial" w:hAnsi="Arial" w:cs="Arial"/>
          <w:b/>
          <w:bCs/>
          <w:sz w:val="20"/>
          <w:szCs w:val="20"/>
          <w:lang w:val="es-ES_tradnl"/>
        </w:rPr>
        <w:lastRenderedPageBreak/>
        <w:t>RESUMO</w:t>
      </w:r>
    </w:p>
    <w:p w:rsidR="0085608F" w:rsidRPr="00863196" w:rsidRDefault="0085608F" w:rsidP="0085608F">
      <w:pPr>
        <w:widowControl w:val="0"/>
        <w:autoSpaceDE w:val="0"/>
        <w:autoSpaceDN w:val="0"/>
        <w:adjustRightInd w:val="0"/>
        <w:spacing w:line="360" w:lineRule="auto"/>
        <w:jc w:val="both"/>
        <w:rPr>
          <w:rFonts w:ascii="Arial" w:hAnsi="Arial" w:cs="Arial"/>
          <w:b/>
          <w:bCs/>
          <w:sz w:val="20"/>
          <w:szCs w:val="20"/>
          <w:lang w:val="es-ES_tradnl"/>
        </w:rPr>
      </w:pPr>
      <w:r w:rsidRPr="00863196">
        <w:rPr>
          <w:rFonts w:ascii="Arial" w:hAnsi="Arial" w:cs="Arial"/>
          <w:b/>
          <w:bCs/>
          <w:sz w:val="20"/>
          <w:szCs w:val="20"/>
          <w:lang w:val="es-ES_tradnl"/>
        </w:rPr>
        <w:t>Hiperplasia congénita da suprarrenal por deficiência de 21-hidroxílase: correlação genótipo-fenótipo</w:t>
      </w:r>
    </w:p>
    <w:p w:rsidR="0085608F" w:rsidRPr="00863196" w:rsidRDefault="0085608F" w:rsidP="0085608F">
      <w:pPr>
        <w:widowControl w:val="0"/>
        <w:autoSpaceDE w:val="0"/>
        <w:autoSpaceDN w:val="0"/>
        <w:adjustRightInd w:val="0"/>
        <w:spacing w:line="360" w:lineRule="auto"/>
        <w:jc w:val="both"/>
        <w:rPr>
          <w:rFonts w:ascii="Arial" w:hAnsi="Arial" w:cs="Arial"/>
          <w:bCs/>
          <w:sz w:val="20"/>
          <w:szCs w:val="20"/>
          <w:lang w:val="es-ES_tradnl"/>
        </w:rPr>
      </w:pPr>
    </w:p>
    <w:p w:rsidR="0085608F" w:rsidRPr="00863196" w:rsidRDefault="0085608F" w:rsidP="0085608F">
      <w:pPr>
        <w:widowControl w:val="0"/>
        <w:autoSpaceDE w:val="0"/>
        <w:autoSpaceDN w:val="0"/>
        <w:adjustRightInd w:val="0"/>
        <w:spacing w:line="360" w:lineRule="auto"/>
        <w:jc w:val="both"/>
        <w:rPr>
          <w:rFonts w:ascii="Arial" w:hAnsi="Arial" w:cs="Arial"/>
          <w:bCs/>
          <w:sz w:val="20"/>
          <w:szCs w:val="20"/>
          <w:lang w:val="es-ES_tradnl"/>
        </w:rPr>
      </w:pPr>
      <w:r w:rsidRPr="00863196">
        <w:rPr>
          <w:rFonts w:ascii="Arial" w:hAnsi="Arial" w:cs="Arial"/>
          <w:b/>
          <w:bCs/>
          <w:sz w:val="20"/>
          <w:szCs w:val="20"/>
          <w:lang w:val="es-ES_tradnl"/>
        </w:rPr>
        <w:t>Introdução:</w:t>
      </w:r>
      <w:r w:rsidRPr="00863196">
        <w:rPr>
          <w:rFonts w:ascii="Arial" w:hAnsi="Arial" w:cs="Arial"/>
          <w:bCs/>
          <w:sz w:val="20"/>
          <w:szCs w:val="20"/>
          <w:lang w:val="es-ES_tradnl"/>
        </w:rPr>
        <w:t xml:space="preserve"> A hiperplasia congénita da suprarrenal por deficiência de 21-hidroxílase </w:t>
      </w:r>
      <w:r w:rsidR="002519BB" w:rsidRPr="00863196">
        <w:rPr>
          <w:rFonts w:ascii="Arial" w:hAnsi="Arial" w:cs="Arial"/>
          <w:bCs/>
          <w:sz w:val="20"/>
          <w:szCs w:val="20"/>
          <w:lang w:val="es-ES_tradnl"/>
        </w:rPr>
        <w:t>constitui</w:t>
      </w:r>
      <w:r w:rsidRPr="00863196">
        <w:rPr>
          <w:rFonts w:ascii="Arial" w:hAnsi="Arial" w:cs="Arial"/>
          <w:bCs/>
          <w:sz w:val="20"/>
          <w:szCs w:val="20"/>
          <w:lang w:val="es-ES_tradnl"/>
        </w:rPr>
        <w:t xml:space="preserve"> uma das doenças hereditárias</w:t>
      </w:r>
      <w:r w:rsidR="00956A5E" w:rsidRPr="00863196">
        <w:rPr>
          <w:rFonts w:ascii="Arial" w:hAnsi="Arial" w:cs="Arial"/>
          <w:bCs/>
          <w:sz w:val="20"/>
          <w:szCs w:val="20"/>
          <w:lang w:val="es-ES_tradnl"/>
        </w:rPr>
        <w:t xml:space="preserve"> </w:t>
      </w:r>
      <w:r w:rsidRPr="00863196">
        <w:rPr>
          <w:rFonts w:ascii="Arial" w:hAnsi="Arial" w:cs="Arial"/>
          <w:bCs/>
          <w:sz w:val="20"/>
          <w:szCs w:val="20"/>
          <w:lang w:val="es-ES_tradnl"/>
        </w:rPr>
        <w:t xml:space="preserve">mais comuns. </w:t>
      </w:r>
      <w:r w:rsidR="002519BB" w:rsidRPr="00863196">
        <w:rPr>
          <w:rFonts w:ascii="Arial" w:hAnsi="Arial" w:cs="Arial"/>
          <w:bCs/>
          <w:sz w:val="20"/>
          <w:szCs w:val="20"/>
          <w:lang w:val="es-ES_tradnl"/>
        </w:rPr>
        <w:t xml:space="preserve">Resulta de diferentes mutações </w:t>
      </w:r>
      <w:r w:rsidRPr="00863196">
        <w:rPr>
          <w:rFonts w:ascii="Arial" w:hAnsi="Arial" w:cs="Arial"/>
          <w:bCs/>
          <w:sz w:val="20"/>
          <w:szCs w:val="20"/>
          <w:lang w:val="es-ES_tradnl"/>
        </w:rPr>
        <w:t>no gene CYP21A2 e</w:t>
      </w:r>
      <w:r w:rsidR="002519BB" w:rsidRPr="00863196">
        <w:rPr>
          <w:rFonts w:ascii="Arial" w:hAnsi="Arial" w:cs="Arial"/>
          <w:bCs/>
          <w:sz w:val="20"/>
          <w:szCs w:val="20"/>
          <w:lang w:val="es-ES_tradnl"/>
        </w:rPr>
        <w:t>,</w:t>
      </w:r>
      <w:r w:rsidRPr="00863196">
        <w:rPr>
          <w:rFonts w:ascii="Arial" w:hAnsi="Arial" w:cs="Arial"/>
          <w:bCs/>
          <w:sz w:val="20"/>
          <w:szCs w:val="20"/>
          <w:lang w:val="es-ES_tradnl"/>
        </w:rPr>
        <w:t xml:space="preserve"> na maioria dos casos,</w:t>
      </w:r>
      <w:r w:rsidR="00AC70F0" w:rsidRPr="00863196">
        <w:rPr>
          <w:rFonts w:ascii="Arial" w:hAnsi="Arial" w:cs="Arial"/>
          <w:bCs/>
          <w:sz w:val="20"/>
          <w:szCs w:val="20"/>
          <w:lang w:val="es-ES_tradnl"/>
        </w:rPr>
        <w:t xml:space="preserve"> a gravidade da doença co</w:t>
      </w:r>
      <w:r w:rsidR="002519BB" w:rsidRPr="00863196">
        <w:rPr>
          <w:rFonts w:ascii="Arial" w:hAnsi="Arial" w:cs="Arial"/>
          <w:bCs/>
          <w:sz w:val="20"/>
          <w:szCs w:val="20"/>
          <w:lang w:val="es-ES_tradnl"/>
        </w:rPr>
        <w:t>rrelaciona-se</w:t>
      </w:r>
      <w:r w:rsidRPr="00863196">
        <w:rPr>
          <w:rFonts w:ascii="Arial" w:hAnsi="Arial" w:cs="Arial"/>
          <w:bCs/>
          <w:sz w:val="20"/>
          <w:szCs w:val="20"/>
          <w:lang w:val="es-ES_tradnl"/>
        </w:rPr>
        <w:t xml:space="preserve"> </w:t>
      </w:r>
      <w:r w:rsidR="002519BB" w:rsidRPr="00863196">
        <w:rPr>
          <w:rFonts w:ascii="Arial" w:hAnsi="Arial" w:cs="Arial"/>
          <w:bCs/>
          <w:sz w:val="20"/>
          <w:szCs w:val="20"/>
          <w:lang w:val="es-ES_tradnl"/>
        </w:rPr>
        <w:t>com a variação alélica do</w:t>
      </w:r>
      <w:r w:rsidR="00FB57B5" w:rsidRPr="00863196">
        <w:rPr>
          <w:rFonts w:ascii="Arial" w:hAnsi="Arial" w:cs="Arial"/>
          <w:bCs/>
          <w:sz w:val="20"/>
          <w:szCs w:val="20"/>
          <w:lang w:val="es-ES_tradnl"/>
        </w:rPr>
        <w:t xml:space="preserve"> CYP21A2. O objetivo deste</w:t>
      </w:r>
      <w:r w:rsidRPr="00863196">
        <w:rPr>
          <w:rFonts w:ascii="Arial" w:hAnsi="Arial" w:cs="Arial"/>
          <w:bCs/>
          <w:sz w:val="20"/>
          <w:szCs w:val="20"/>
          <w:lang w:val="es-ES_tradnl"/>
        </w:rPr>
        <w:t xml:space="preserve"> estudo </w:t>
      </w:r>
      <w:r w:rsidR="001E5A89" w:rsidRPr="00863196">
        <w:rPr>
          <w:rFonts w:ascii="Arial" w:hAnsi="Arial" w:cs="Arial"/>
          <w:bCs/>
          <w:sz w:val="20"/>
          <w:szCs w:val="20"/>
          <w:lang w:val="es-ES_tradnl"/>
        </w:rPr>
        <w:t>foi</w:t>
      </w:r>
      <w:r w:rsidRPr="00863196">
        <w:rPr>
          <w:rFonts w:ascii="Arial" w:hAnsi="Arial" w:cs="Arial"/>
          <w:bCs/>
          <w:sz w:val="20"/>
          <w:szCs w:val="20"/>
          <w:lang w:val="es-ES_tradnl"/>
        </w:rPr>
        <w:t xml:space="preserve"> descrever o espectro</w:t>
      </w:r>
      <w:r w:rsidR="00FB57B5" w:rsidRPr="00863196">
        <w:rPr>
          <w:rFonts w:ascii="Arial" w:hAnsi="Arial" w:cs="Arial"/>
          <w:bCs/>
          <w:sz w:val="20"/>
          <w:szCs w:val="20"/>
          <w:lang w:val="es-ES_tradnl"/>
        </w:rPr>
        <w:t xml:space="preserve"> mutacional do CYP21A2 e avaliar </w:t>
      </w:r>
      <w:r w:rsidRPr="00863196">
        <w:rPr>
          <w:rFonts w:ascii="Arial" w:hAnsi="Arial" w:cs="Arial"/>
          <w:bCs/>
          <w:sz w:val="20"/>
          <w:szCs w:val="20"/>
          <w:lang w:val="es-ES_tradnl"/>
        </w:rPr>
        <w:t xml:space="preserve">a correlação genótipo-fenótipo </w:t>
      </w:r>
      <w:r w:rsidR="00FB57B5" w:rsidRPr="00863196">
        <w:rPr>
          <w:rFonts w:ascii="Arial" w:hAnsi="Arial" w:cs="Arial"/>
          <w:bCs/>
          <w:sz w:val="20"/>
          <w:szCs w:val="20"/>
          <w:lang w:val="es-ES_tradnl"/>
        </w:rPr>
        <w:t xml:space="preserve">numa </w:t>
      </w:r>
      <w:r w:rsidR="00D64014" w:rsidRPr="00863196">
        <w:rPr>
          <w:rFonts w:ascii="Arial" w:hAnsi="Arial" w:cs="Arial"/>
          <w:bCs/>
          <w:sz w:val="20"/>
          <w:szCs w:val="20"/>
          <w:lang w:val="es-ES_tradnl"/>
        </w:rPr>
        <w:t>co</w:t>
      </w:r>
      <w:r w:rsidR="00CE1D6F" w:rsidRPr="00863196">
        <w:rPr>
          <w:rFonts w:ascii="Arial" w:hAnsi="Arial" w:cs="Arial"/>
          <w:bCs/>
          <w:sz w:val="20"/>
          <w:szCs w:val="20"/>
          <w:lang w:val="es-ES_tradnl"/>
        </w:rPr>
        <w:t>o</w:t>
      </w:r>
      <w:r w:rsidR="00D64014" w:rsidRPr="00863196">
        <w:rPr>
          <w:rFonts w:ascii="Arial" w:hAnsi="Arial" w:cs="Arial"/>
          <w:bCs/>
          <w:sz w:val="20"/>
          <w:szCs w:val="20"/>
          <w:lang w:val="es-ES_tradnl"/>
        </w:rPr>
        <w:t xml:space="preserve">rte </w:t>
      </w:r>
      <w:r w:rsidR="00FB57B5" w:rsidRPr="00863196">
        <w:rPr>
          <w:rFonts w:ascii="Arial" w:hAnsi="Arial" w:cs="Arial"/>
          <w:bCs/>
          <w:sz w:val="20"/>
          <w:szCs w:val="20"/>
          <w:lang w:val="es-ES_tradnl"/>
        </w:rPr>
        <w:t>de</w:t>
      </w:r>
      <w:r w:rsidRPr="00863196">
        <w:rPr>
          <w:rFonts w:ascii="Arial" w:hAnsi="Arial" w:cs="Arial"/>
          <w:bCs/>
          <w:sz w:val="20"/>
          <w:szCs w:val="20"/>
          <w:lang w:val="es-ES_tradnl"/>
        </w:rPr>
        <w:t xml:space="preserve"> doentes portugueses com deficiência de </w:t>
      </w:r>
      <w:r w:rsidR="00CC390B" w:rsidRPr="00863196">
        <w:rPr>
          <w:rFonts w:ascii="Arial" w:hAnsi="Arial" w:cs="Arial"/>
          <w:bCs/>
          <w:sz w:val="20"/>
          <w:szCs w:val="20"/>
          <w:lang w:val="es-ES_tradnl"/>
        </w:rPr>
        <w:t>21-hidroxílase</w:t>
      </w:r>
      <w:r w:rsidRPr="00863196">
        <w:rPr>
          <w:rFonts w:ascii="Arial" w:hAnsi="Arial" w:cs="Arial"/>
          <w:bCs/>
          <w:sz w:val="20"/>
          <w:szCs w:val="20"/>
          <w:lang w:val="es-ES_tradnl"/>
        </w:rPr>
        <w:t>.</w:t>
      </w:r>
    </w:p>
    <w:p w:rsidR="0085608F" w:rsidRPr="00863196" w:rsidRDefault="0048297D" w:rsidP="0085608F">
      <w:pPr>
        <w:widowControl w:val="0"/>
        <w:autoSpaceDE w:val="0"/>
        <w:autoSpaceDN w:val="0"/>
        <w:adjustRightInd w:val="0"/>
        <w:spacing w:line="360" w:lineRule="auto"/>
        <w:jc w:val="both"/>
        <w:rPr>
          <w:rFonts w:ascii="Arial" w:hAnsi="Arial" w:cs="Arial"/>
          <w:bCs/>
          <w:sz w:val="20"/>
          <w:szCs w:val="20"/>
          <w:lang w:val="es-ES_tradnl"/>
        </w:rPr>
      </w:pPr>
      <w:r w:rsidRPr="00863196">
        <w:rPr>
          <w:rFonts w:ascii="Arial" w:hAnsi="Arial" w:cs="Arial"/>
          <w:b/>
          <w:bCs/>
          <w:sz w:val="20"/>
          <w:szCs w:val="20"/>
          <w:lang w:val="es-ES_tradnl"/>
        </w:rPr>
        <w:t>Material e Métodos</w:t>
      </w:r>
      <w:r w:rsidR="0085608F" w:rsidRPr="00863196">
        <w:rPr>
          <w:rFonts w:ascii="Arial" w:hAnsi="Arial" w:cs="Arial"/>
          <w:b/>
          <w:bCs/>
          <w:sz w:val="20"/>
          <w:szCs w:val="20"/>
          <w:lang w:val="es-ES_tradnl"/>
        </w:rPr>
        <w:t>:</w:t>
      </w:r>
      <w:r w:rsidR="00CC390B" w:rsidRPr="00863196">
        <w:rPr>
          <w:rFonts w:ascii="Arial" w:hAnsi="Arial" w:cs="Arial"/>
          <w:bCs/>
          <w:sz w:val="20"/>
          <w:szCs w:val="20"/>
          <w:lang w:val="es-ES_tradnl"/>
        </w:rPr>
        <w:t xml:space="preserve"> Estudo retrospe</w:t>
      </w:r>
      <w:r w:rsidR="0085608F" w:rsidRPr="00863196">
        <w:rPr>
          <w:rFonts w:ascii="Arial" w:hAnsi="Arial" w:cs="Arial"/>
          <w:bCs/>
          <w:sz w:val="20"/>
          <w:szCs w:val="20"/>
          <w:lang w:val="es-ES_tradnl"/>
        </w:rPr>
        <w:t xml:space="preserve">tivo de 22 </w:t>
      </w:r>
      <w:r w:rsidR="00CC390B" w:rsidRPr="00863196">
        <w:rPr>
          <w:rFonts w:ascii="Arial" w:hAnsi="Arial" w:cs="Arial"/>
          <w:bCs/>
          <w:sz w:val="20"/>
          <w:szCs w:val="20"/>
          <w:lang w:val="es-ES_tradnl"/>
        </w:rPr>
        <w:t>doentes</w:t>
      </w:r>
      <w:r w:rsidR="0085608F" w:rsidRPr="00863196">
        <w:rPr>
          <w:rFonts w:ascii="Arial" w:hAnsi="Arial" w:cs="Arial"/>
          <w:bCs/>
          <w:sz w:val="20"/>
          <w:szCs w:val="20"/>
          <w:lang w:val="es-ES_tradnl"/>
        </w:rPr>
        <w:t xml:space="preserve"> com diagnóstico clínico de deficiência de </w:t>
      </w:r>
      <w:r w:rsidR="00CC390B" w:rsidRPr="00863196">
        <w:rPr>
          <w:rFonts w:ascii="Arial" w:hAnsi="Arial" w:cs="Arial"/>
          <w:bCs/>
          <w:sz w:val="20"/>
          <w:szCs w:val="20"/>
          <w:lang w:val="es-ES_tradnl"/>
        </w:rPr>
        <w:t>21-hidroxílase</w:t>
      </w:r>
      <w:r w:rsidR="0085608F" w:rsidRPr="00863196">
        <w:rPr>
          <w:rFonts w:ascii="Arial" w:hAnsi="Arial" w:cs="Arial"/>
          <w:bCs/>
          <w:sz w:val="20"/>
          <w:szCs w:val="20"/>
          <w:lang w:val="es-ES_tradnl"/>
        </w:rPr>
        <w:t xml:space="preserve">. Foi </w:t>
      </w:r>
      <w:r w:rsidR="00DD5DA4" w:rsidRPr="00863196">
        <w:rPr>
          <w:rFonts w:ascii="Arial" w:hAnsi="Arial" w:cs="Arial"/>
          <w:bCs/>
          <w:sz w:val="20"/>
          <w:szCs w:val="20"/>
          <w:lang w:val="es-ES_tradnl"/>
        </w:rPr>
        <w:t xml:space="preserve">feita </w:t>
      </w:r>
      <w:r w:rsidR="0085608F" w:rsidRPr="00863196">
        <w:rPr>
          <w:rFonts w:ascii="Arial" w:hAnsi="Arial" w:cs="Arial"/>
          <w:bCs/>
          <w:sz w:val="20"/>
          <w:szCs w:val="20"/>
          <w:lang w:val="es-ES_tradnl"/>
        </w:rPr>
        <w:t>anális</w:t>
      </w:r>
      <w:r w:rsidR="002105FC" w:rsidRPr="00863196">
        <w:rPr>
          <w:rFonts w:ascii="Arial" w:hAnsi="Arial" w:cs="Arial"/>
          <w:bCs/>
          <w:sz w:val="20"/>
          <w:szCs w:val="20"/>
          <w:lang w:val="es-ES_tradnl"/>
        </w:rPr>
        <w:t>e molecular do</w:t>
      </w:r>
      <w:r w:rsidR="0085608F" w:rsidRPr="00863196">
        <w:rPr>
          <w:rFonts w:ascii="Arial" w:hAnsi="Arial" w:cs="Arial"/>
          <w:bCs/>
          <w:sz w:val="20"/>
          <w:szCs w:val="20"/>
          <w:lang w:val="es-ES_tradnl"/>
        </w:rPr>
        <w:t xml:space="preserve"> CYP21A2 e </w:t>
      </w:r>
      <w:r w:rsidR="0043159E" w:rsidRPr="00863196">
        <w:rPr>
          <w:rFonts w:ascii="Arial" w:hAnsi="Arial" w:cs="Arial"/>
          <w:bCs/>
          <w:sz w:val="20"/>
          <w:szCs w:val="20"/>
          <w:lang w:val="es-ES_tradnl"/>
        </w:rPr>
        <w:t xml:space="preserve">estabelecida </w:t>
      </w:r>
      <w:r w:rsidR="00CC390B" w:rsidRPr="00863196">
        <w:rPr>
          <w:rFonts w:ascii="Arial" w:hAnsi="Arial" w:cs="Arial"/>
          <w:bCs/>
          <w:sz w:val="20"/>
          <w:szCs w:val="20"/>
          <w:lang w:val="es-ES_tradnl"/>
        </w:rPr>
        <w:t xml:space="preserve">a </w:t>
      </w:r>
      <w:r w:rsidR="0085608F" w:rsidRPr="00863196">
        <w:rPr>
          <w:rFonts w:ascii="Arial" w:hAnsi="Arial" w:cs="Arial"/>
          <w:bCs/>
          <w:sz w:val="20"/>
          <w:szCs w:val="20"/>
          <w:lang w:val="es-ES_tradnl"/>
        </w:rPr>
        <w:t>correlação genótipo-fenótipo</w:t>
      </w:r>
      <w:r w:rsidR="00CC390B" w:rsidRPr="00863196">
        <w:rPr>
          <w:rFonts w:ascii="Arial" w:hAnsi="Arial" w:cs="Arial"/>
          <w:bCs/>
          <w:sz w:val="20"/>
          <w:szCs w:val="20"/>
          <w:lang w:val="es-ES_tradnl"/>
        </w:rPr>
        <w:t>.</w:t>
      </w:r>
      <w:r w:rsidR="0085608F" w:rsidRPr="00863196">
        <w:rPr>
          <w:rFonts w:ascii="Arial" w:hAnsi="Arial" w:cs="Arial"/>
          <w:bCs/>
          <w:sz w:val="20"/>
          <w:szCs w:val="20"/>
          <w:lang w:val="es-ES_tradnl"/>
        </w:rPr>
        <w:t xml:space="preserve"> </w:t>
      </w:r>
    </w:p>
    <w:p w:rsidR="0085608F" w:rsidRPr="00CA5489" w:rsidRDefault="0085608F" w:rsidP="000E3E10">
      <w:pPr>
        <w:pStyle w:val="Default"/>
        <w:spacing w:line="360" w:lineRule="auto"/>
        <w:jc w:val="both"/>
        <w:rPr>
          <w:rFonts w:ascii="Arial" w:hAnsi="Arial" w:cs="Arial"/>
          <w:sz w:val="20"/>
          <w:szCs w:val="20"/>
          <w:lang w:val="pt-PT"/>
        </w:rPr>
      </w:pPr>
      <w:r w:rsidRPr="00863196">
        <w:rPr>
          <w:rFonts w:ascii="Arial" w:hAnsi="Arial" w:cs="Arial"/>
          <w:b/>
          <w:bCs/>
          <w:sz w:val="20"/>
          <w:szCs w:val="20"/>
          <w:lang w:val="es-ES_tradnl"/>
        </w:rPr>
        <w:t>Resultados:</w:t>
      </w:r>
      <w:r w:rsidRPr="00863196">
        <w:rPr>
          <w:rFonts w:ascii="Arial" w:hAnsi="Arial" w:cs="Arial"/>
          <w:bCs/>
          <w:sz w:val="20"/>
          <w:szCs w:val="20"/>
          <w:lang w:val="es-ES_tradnl"/>
        </w:rPr>
        <w:t xml:space="preserve"> </w:t>
      </w:r>
      <w:r w:rsidR="00FC25F9" w:rsidRPr="00863196">
        <w:rPr>
          <w:rFonts w:ascii="Arial" w:hAnsi="Arial" w:cs="Arial"/>
          <w:bCs/>
          <w:sz w:val="20"/>
          <w:szCs w:val="20"/>
          <w:lang w:val="es-ES_tradnl"/>
        </w:rPr>
        <w:t>Foi realizada genotipagem em 22 doentes</w:t>
      </w:r>
      <w:r w:rsidR="00252DB7">
        <w:rPr>
          <w:rFonts w:ascii="Arial" w:hAnsi="Arial" w:cs="Arial"/>
          <w:bCs/>
          <w:sz w:val="20"/>
          <w:szCs w:val="20"/>
          <w:lang w:val="es-ES_tradnl"/>
        </w:rPr>
        <w:t xml:space="preserve"> </w:t>
      </w:r>
      <w:r w:rsidR="00FC25F9" w:rsidRPr="00863196">
        <w:rPr>
          <w:rFonts w:ascii="Arial" w:hAnsi="Arial" w:cs="Arial"/>
          <w:bCs/>
          <w:sz w:val="20"/>
          <w:szCs w:val="20"/>
          <w:lang w:val="es-ES_tradnl"/>
        </w:rPr>
        <w:t>não relacionados: 5 com a forma clássica perdedora de sal</w:t>
      </w:r>
      <w:r w:rsidR="003A2224">
        <w:rPr>
          <w:rFonts w:ascii="Arial" w:hAnsi="Arial" w:cs="Arial"/>
          <w:bCs/>
          <w:sz w:val="20"/>
          <w:szCs w:val="20"/>
          <w:lang w:val="es-ES_tradnl"/>
        </w:rPr>
        <w:t xml:space="preserve"> </w:t>
      </w:r>
      <w:r w:rsidR="003A2224" w:rsidRPr="000E3E10">
        <w:rPr>
          <w:rFonts w:ascii="Arial" w:hAnsi="Arial" w:cs="Arial"/>
          <w:bCs/>
          <w:sz w:val="20"/>
          <w:szCs w:val="20"/>
          <w:highlight w:val="yellow"/>
          <w:lang w:val="es-ES_tradnl"/>
        </w:rPr>
        <w:t>(</w:t>
      </w:r>
      <w:r w:rsidR="000E3E10">
        <w:rPr>
          <w:rFonts w:ascii="Arial" w:hAnsi="Arial" w:cs="Arial"/>
          <w:bCs/>
          <w:sz w:val="20"/>
          <w:szCs w:val="20"/>
          <w:highlight w:val="yellow"/>
          <w:lang w:val="es-ES_tradnl"/>
        </w:rPr>
        <w:t>idade</w:t>
      </w:r>
      <w:r w:rsidR="003A2224" w:rsidRPr="000E3E10">
        <w:rPr>
          <w:rFonts w:ascii="Arial" w:hAnsi="Arial" w:cs="Arial"/>
          <w:bCs/>
          <w:sz w:val="20"/>
          <w:szCs w:val="20"/>
          <w:highlight w:val="yellow"/>
          <w:lang w:val="es-ES_tradnl"/>
        </w:rPr>
        <w:t xml:space="preserve"> média </w:t>
      </w:r>
      <w:r w:rsidR="005B0873" w:rsidRPr="000E3E10">
        <w:rPr>
          <w:rFonts w:ascii="Arial" w:hAnsi="Arial" w:cs="Arial"/>
          <w:bCs/>
          <w:sz w:val="20"/>
          <w:szCs w:val="20"/>
          <w:highlight w:val="yellow"/>
          <w:lang w:val="es-ES_tradnl"/>
        </w:rPr>
        <w:t>ao diagnóstico</w:t>
      </w:r>
      <w:r w:rsidR="003A2224" w:rsidRPr="000E3E10">
        <w:rPr>
          <w:rFonts w:ascii="Arial" w:hAnsi="Arial" w:cs="Arial"/>
          <w:bCs/>
          <w:sz w:val="20"/>
          <w:szCs w:val="20"/>
          <w:highlight w:val="yellow"/>
          <w:lang w:val="es-ES_tradnl"/>
        </w:rPr>
        <w:t xml:space="preserve"> de </w:t>
      </w:r>
      <w:r w:rsidR="003A2224" w:rsidRPr="00CA5489">
        <w:rPr>
          <w:rFonts w:ascii="Arial" w:hAnsi="Arial" w:cs="Arial"/>
          <w:sz w:val="20"/>
          <w:szCs w:val="20"/>
          <w:highlight w:val="yellow"/>
          <w:lang w:val="pt-PT"/>
        </w:rPr>
        <w:t>10,2 dias; mínimo 1, máximo 20 dias)</w:t>
      </w:r>
      <w:r w:rsidR="00FC25F9" w:rsidRPr="00863196">
        <w:rPr>
          <w:rFonts w:ascii="Arial" w:hAnsi="Arial" w:cs="Arial"/>
          <w:bCs/>
          <w:sz w:val="20"/>
          <w:szCs w:val="20"/>
          <w:lang w:val="es-ES_tradnl"/>
        </w:rPr>
        <w:t xml:space="preserve">, 7 com a </w:t>
      </w:r>
      <w:r w:rsidRPr="00863196">
        <w:rPr>
          <w:rFonts w:ascii="Arial" w:hAnsi="Arial" w:cs="Arial"/>
          <w:bCs/>
          <w:sz w:val="20"/>
          <w:szCs w:val="20"/>
          <w:lang w:val="es-ES_tradnl"/>
        </w:rPr>
        <w:t>forma clássica virilizante</w:t>
      </w:r>
      <w:r w:rsidR="00FC25F9" w:rsidRPr="00863196">
        <w:rPr>
          <w:rFonts w:ascii="Arial" w:hAnsi="Arial" w:cs="Arial"/>
          <w:bCs/>
          <w:sz w:val="20"/>
          <w:szCs w:val="20"/>
          <w:lang w:val="es-ES_tradnl"/>
        </w:rPr>
        <w:t xml:space="preserve"> simples</w:t>
      </w:r>
      <w:r w:rsidRPr="00863196">
        <w:rPr>
          <w:rFonts w:ascii="Arial" w:hAnsi="Arial" w:cs="Arial"/>
          <w:bCs/>
          <w:sz w:val="20"/>
          <w:szCs w:val="20"/>
          <w:lang w:val="es-ES_tradnl"/>
        </w:rPr>
        <w:t xml:space="preserve"> </w:t>
      </w:r>
      <w:r w:rsidR="005B0873">
        <w:rPr>
          <w:rFonts w:ascii="Arial" w:hAnsi="Arial" w:cs="Arial"/>
          <w:bCs/>
          <w:sz w:val="20"/>
          <w:szCs w:val="20"/>
          <w:lang w:val="es-ES_tradnl"/>
        </w:rPr>
        <w:t>(</w:t>
      </w:r>
      <w:r w:rsidR="005B0873" w:rsidRPr="00CA5489">
        <w:rPr>
          <w:rFonts w:ascii="Arial" w:hAnsi="Arial" w:cs="Arial"/>
          <w:sz w:val="20"/>
          <w:szCs w:val="20"/>
          <w:highlight w:val="yellow"/>
          <w:lang w:val="pt-PT"/>
        </w:rPr>
        <w:t xml:space="preserve">idade média ao diagnóstico de 3,5 anos; mínimo </w:t>
      </w:r>
      <w:r w:rsidR="00150BCB" w:rsidRPr="00CA5489">
        <w:rPr>
          <w:rFonts w:ascii="Arial" w:hAnsi="Arial" w:cs="Arial"/>
          <w:sz w:val="20"/>
          <w:szCs w:val="20"/>
          <w:highlight w:val="yellow"/>
          <w:lang w:val="pt-PT"/>
        </w:rPr>
        <w:t>0 dias</w:t>
      </w:r>
      <w:r w:rsidR="005B0873" w:rsidRPr="00CA5489">
        <w:rPr>
          <w:rFonts w:ascii="Arial" w:hAnsi="Arial" w:cs="Arial"/>
          <w:sz w:val="20"/>
          <w:szCs w:val="20"/>
          <w:highlight w:val="yellow"/>
          <w:lang w:val="pt-PT"/>
        </w:rPr>
        <w:t>, máximo 7 anos)</w:t>
      </w:r>
      <w:r w:rsidR="005B0873" w:rsidRPr="00CA5489">
        <w:rPr>
          <w:rFonts w:ascii="Arial" w:hAnsi="Arial" w:cs="Arial"/>
          <w:sz w:val="20"/>
          <w:szCs w:val="20"/>
          <w:lang w:val="pt-PT"/>
        </w:rPr>
        <w:t xml:space="preserve"> </w:t>
      </w:r>
      <w:r w:rsidRPr="00863196">
        <w:rPr>
          <w:rFonts w:ascii="Arial" w:hAnsi="Arial" w:cs="Arial"/>
          <w:bCs/>
          <w:sz w:val="20"/>
          <w:szCs w:val="20"/>
          <w:lang w:val="es-ES_tradnl"/>
        </w:rPr>
        <w:t xml:space="preserve">e 10 </w:t>
      </w:r>
      <w:r w:rsidR="00376A9D" w:rsidRPr="00863196">
        <w:rPr>
          <w:rFonts w:ascii="Arial" w:hAnsi="Arial" w:cs="Arial"/>
          <w:bCs/>
          <w:sz w:val="20"/>
          <w:szCs w:val="20"/>
          <w:lang w:val="es-ES_tradnl"/>
        </w:rPr>
        <w:t>com a</w:t>
      </w:r>
      <w:r w:rsidRPr="00863196">
        <w:rPr>
          <w:rFonts w:ascii="Arial" w:hAnsi="Arial" w:cs="Arial"/>
          <w:bCs/>
          <w:sz w:val="20"/>
          <w:szCs w:val="20"/>
          <w:lang w:val="es-ES_tradnl"/>
        </w:rPr>
        <w:t xml:space="preserve"> forma não </w:t>
      </w:r>
      <w:r w:rsidR="005B0873" w:rsidRPr="000E3E10">
        <w:rPr>
          <w:rFonts w:ascii="Arial" w:hAnsi="Arial" w:cs="Arial"/>
          <w:bCs/>
          <w:sz w:val="20"/>
          <w:szCs w:val="20"/>
          <w:highlight w:val="yellow"/>
          <w:lang w:val="es-ES_tradnl"/>
        </w:rPr>
        <w:t>clás</w:t>
      </w:r>
      <w:r w:rsidR="00A944A6">
        <w:rPr>
          <w:rFonts w:ascii="Arial" w:hAnsi="Arial" w:cs="Arial"/>
          <w:bCs/>
          <w:sz w:val="20"/>
          <w:szCs w:val="20"/>
          <w:highlight w:val="yellow"/>
          <w:lang w:val="es-ES_tradnl"/>
        </w:rPr>
        <w:t>s</w:t>
      </w:r>
      <w:r w:rsidR="005B0873" w:rsidRPr="000E3E10">
        <w:rPr>
          <w:rFonts w:ascii="Arial" w:hAnsi="Arial" w:cs="Arial"/>
          <w:bCs/>
          <w:sz w:val="20"/>
          <w:szCs w:val="20"/>
          <w:highlight w:val="yellow"/>
          <w:lang w:val="es-ES_tradnl"/>
        </w:rPr>
        <w:t xml:space="preserve">ica </w:t>
      </w:r>
      <w:r w:rsidR="000E3E10" w:rsidRPr="00CA5489">
        <w:rPr>
          <w:rFonts w:ascii="Arial" w:hAnsi="Arial" w:cs="Arial"/>
          <w:sz w:val="20"/>
          <w:szCs w:val="20"/>
          <w:highlight w:val="yellow"/>
          <w:lang w:val="pt-PT"/>
        </w:rPr>
        <w:t>(idade média ao diagnóstico de</w:t>
      </w:r>
      <w:r w:rsidR="005B0873" w:rsidRPr="00CA5489">
        <w:rPr>
          <w:rFonts w:ascii="Arial" w:hAnsi="Arial" w:cs="Arial"/>
          <w:sz w:val="20"/>
          <w:szCs w:val="20"/>
          <w:highlight w:val="yellow"/>
          <w:lang w:val="pt-PT"/>
        </w:rPr>
        <w:t xml:space="preserve"> 5,7 anos; mínimo 4 anos, máximo 8 anos).</w:t>
      </w:r>
      <w:r w:rsidR="00376A9D" w:rsidRPr="00863196">
        <w:rPr>
          <w:rFonts w:ascii="Arial" w:hAnsi="Arial" w:cs="Arial"/>
          <w:bCs/>
          <w:sz w:val="20"/>
          <w:szCs w:val="20"/>
          <w:lang w:val="es-ES_tradnl"/>
        </w:rPr>
        <w:t xml:space="preserve"> Os defeitos genéticos mais frequ</w:t>
      </w:r>
      <w:r w:rsidRPr="00863196">
        <w:rPr>
          <w:rFonts w:ascii="Arial" w:hAnsi="Arial" w:cs="Arial"/>
          <w:bCs/>
          <w:sz w:val="20"/>
          <w:szCs w:val="20"/>
          <w:lang w:val="es-ES_tradnl"/>
        </w:rPr>
        <w:t>entes nas formas clássicas foram</w:t>
      </w:r>
      <w:r w:rsidR="004662AD" w:rsidRPr="00863196">
        <w:rPr>
          <w:rFonts w:ascii="Arial" w:hAnsi="Arial" w:cs="Arial"/>
          <w:bCs/>
          <w:sz w:val="20"/>
          <w:szCs w:val="20"/>
          <w:lang w:val="es-ES_tradnl"/>
        </w:rPr>
        <w:t xml:space="preserve"> o</w:t>
      </w:r>
      <w:r w:rsidRPr="00863196">
        <w:rPr>
          <w:rFonts w:ascii="Arial" w:hAnsi="Arial" w:cs="Arial"/>
          <w:bCs/>
          <w:sz w:val="20"/>
          <w:szCs w:val="20"/>
          <w:lang w:val="es-ES_tradnl"/>
        </w:rPr>
        <w:t xml:space="preserve"> I2</w:t>
      </w:r>
      <w:r w:rsidR="00376A9D" w:rsidRPr="00863196">
        <w:rPr>
          <w:rFonts w:ascii="Arial" w:hAnsi="Arial" w:cs="Arial"/>
          <w:bCs/>
          <w:sz w:val="20"/>
          <w:szCs w:val="20"/>
          <w:lang w:val="es-ES_tradnl"/>
        </w:rPr>
        <w:t xml:space="preserve"> </w:t>
      </w:r>
      <w:r w:rsidR="00376A9D" w:rsidRPr="00863196">
        <w:rPr>
          <w:rFonts w:ascii="Arial" w:hAnsi="Arial" w:cs="Arial"/>
          <w:bCs/>
          <w:i/>
          <w:sz w:val="20"/>
          <w:szCs w:val="20"/>
          <w:lang w:val="es-ES_tradnl"/>
        </w:rPr>
        <w:t>splice</w:t>
      </w:r>
      <w:r w:rsidRPr="00863196">
        <w:rPr>
          <w:rFonts w:ascii="Arial" w:hAnsi="Arial" w:cs="Arial"/>
          <w:bCs/>
          <w:sz w:val="20"/>
          <w:szCs w:val="20"/>
          <w:lang w:val="es-ES_tradnl"/>
        </w:rPr>
        <w:t xml:space="preserve"> (24%) e I172N (24%), seguindo-se o Q318X (16%) e deleções de genes (16%) e</w:t>
      </w:r>
      <w:r w:rsidR="004662AD" w:rsidRPr="00863196">
        <w:rPr>
          <w:rFonts w:ascii="Arial" w:hAnsi="Arial" w:cs="Arial"/>
          <w:bCs/>
          <w:sz w:val="20"/>
          <w:szCs w:val="20"/>
          <w:lang w:val="es-ES_tradnl"/>
        </w:rPr>
        <w:t>,</w:t>
      </w:r>
      <w:r w:rsidRPr="00863196">
        <w:rPr>
          <w:rFonts w:ascii="Arial" w:hAnsi="Arial" w:cs="Arial"/>
          <w:bCs/>
          <w:sz w:val="20"/>
          <w:szCs w:val="20"/>
          <w:lang w:val="es-ES_tradnl"/>
        </w:rPr>
        <w:t xml:space="preserve"> </w:t>
      </w:r>
      <w:r w:rsidR="00376A9D" w:rsidRPr="00863196">
        <w:rPr>
          <w:rFonts w:ascii="Arial" w:hAnsi="Arial" w:cs="Arial"/>
          <w:bCs/>
          <w:sz w:val="20"/>
          <w:szCs w:val="20"/>
          <w:lang w:val="es-ES_tradnl"/>
        </w:rPr>
        <w:t>na f</w:t>
      </w:r>
      <w:r w:rsidR="00106B63">
        <w:rPr>
          <w:rFonts w:ascii="Arial" w:hAnsi="Arial" w:cs="Arial"/>
          <w:bCs/>
          <w:sz w:val="20"/>
          <w:szCs w:val="20"/>
          <w:lang w:val="es-ES_tradnl"/>
        </w:rPr>
        <w:t xml:space="preserve">orma não </w:t>
      </w:r>
      <w:r w:rsidRPr="00863196">
        <w:rPr>
          <w:rFonts w:ascii="Arial" w:hAnsi="Arial" w:cs="Arial"/>
          <w:bCs/>
          <w:sz w:val="20"/>
          <w:szCs w:val="20"/>
          <w:lang w:val="es-ES_tradnl"/>
        </w:rPr>
        <w:t>clássica,</w:t>
      </w:r>
      <w:r w:rsidR="00376A9D" w:rsidRPr="00863196">
        <w:rPr>
          <w:rFonts w:ascii="Arial" w:hAnsi="Arial" w:cs="Arial"/>
          <w:bCs/>
          <w:sz w:val="20"/>
          <w:szCs w:val="20"/>
          <w:lang w:val="es-ES_tradnl"/>
        </w:rPr>
        <w:t xml:space="preserve"> o</w:t>
      </w:r>
      <w:r w:rsidRPr="00863196">
        <w:rPr>
          <w:rFonts w:ascii="Arial" w:hAnsi="Arial" w:cs="Arial"/>
          <w:bCs/>
          <w:sz w:val="20"/>
          <w:szCs w:val="20"/>
          <w:lang w:val="es-ES_tradnl"/>
        </w:rPr>
        <w:t xml:space="preserve"> V281L (80%). </w:t>
      </w:r>
      <w:r w:rsidR="00E40CDC" w:rsidRPr="00863196">
        <w:rPr>
          <w:rFonts w:ascii="Arial" w:hAnsi="Arial" w:cs="Arial"/>
          <w:bCs/>
          <w:sz w:val="20"/>
          <w:szCs w:val="20"/>
          <w:lang w:val="es-ES_tradnl"/>
        </w:rPr>
        <w:t xml:space="preserve">Verificou-se uma </w:t>
      </w:r>
      <w:r w:rsidRPr="00863196">
        <w:rPr>
          <w:rFonts w:ascii="Arial" w:hAnsi="Arial" w:cs="Arial"/>
          <w:bCs/>
          <w:sz w:val="20"/>
          <w:szCs w:val="20"/>
          <w:lang w:val="es-ES_tradnl"/>
        </w:rPr>
        <w:t>concordância genótipo-fenótipo</w:t>
      </w:r>
      <w:r w:rsidR="00E40CDC" w:rsidRPr="00863196">
        <w:rPr>
          <w:rFonts w:ascii="Arial" w:hAnsi="Arial" w:cs="Arial"/>
          <w:bCs/>
          <w:sz w:val="20"/>
          <w:szCs w:val="20"/>
          <w:lang w:val="es-ES_tradnl"/>
        </w:rPr>
        <w:t xml:space="preserve"> global</w:t>
      </w:r>
      <w:r w:rsidRPr="00863196">
        <w:rPr>
          <w:rFonts w:ascii="Arial" w:hAnsi="Arial" w:cs="Arial"/>
          <w:bCs/>
          <w:sz w:val="20"/>
          <w:szCs w:val="20"/>
          <w:lang w:val="es-ES_tradnl"/>
        </w:rPr>
        <w:t xml:space="preserve"> de 81,8%. </w:t>
      </w:r>
      <w:r w:rsidR="00E40CDC" w:rsidRPr="00863196">
        <w:rPr>
          <w:rFonts w:ascii="Arial" w:hAnsi="Arial" w:cs="Arial"/>
          <w:bCs/>
          <w:sz w:val="20"/>
          <w:szCs w:val="20"/>
          <w:lang w:val="es-ES_tradnl"/>
        </w:rPr>
        <w:t>O genótipo permitiu prever adequadamente o fenótipo em</w:t>
      </w:r>
      <w:r w:rsidRPr="00863196">
        <w:rPr>
          <w:rFonts w:ascii="Arial" w:hAnsi="Arial" w:cs="Arial"/>
          <w:bCs/>
          <w:sz w:val="20"/>
          <w:szCs w:val="20"/>
          <w:lang w:val="es-ES_tradnl"/>
        </w:rPr>
        <w:t xml:space="preserve"> 83,3%, 100% e 90% dos </w:t>
      </w:r>
      <w:r w:rsidR="00E40CDC" w:rsidRPr="00863196">
        <w:rPr>
          <w:rFonts w:ascii="Arial" w:hAnsi="Arial" w:cs="Arial"/>
          <w:bCs/>
          <w:sz w:val="20"/>
          <w:szCs w:val="20"/>
          <w:lang w:val="es-ES_tradnl"/>
        </w:rPr>
        <w:t>doentes</w:t>
      </w:r>
      <w:r w:rsidRPr="00863196">
        <w:rPr>
          <w:rFonts w:ascii="Arial" w:hAnsi="Arial" w:cs="Arial"/>
          <w:bCs/>
          <w:sz w:val="20"/>
          <w:szCs w:val="20"/>
          <w:lang w:val="es-ES_tradnl"/>
        </w:rPr>
        <w:t xml:space="preserve"> com mutações c</w:t>
      </w:r>
      <w:r w:rsidR="00E40CDC" w:rsidRPr="00863196">
        <w:rPr>
          <w:rFonts w:ascii="Arial" w:hAnsi="Arial" w:cs="Arial"/>
          <w:bCs/>
          <w:sz w:val="20"/>
          <w:szCs w:val="20"/>
          <w:lang w:val="es-ES_tradnl"/>
        </w:rPr>
        <w:t>ompatíveis</w:t>
      </w:r>
      <w:r w:rsidRPr="00863196">
        <w:rPr>
          <w:rFonts w:ascii="Arial" w:hAnsi="Arial" w:cs="Arial"/>
          <w:bCs/>
          <w:sz w:val="20"/>
          <w:szCs w:val="20"/>
          <w:lang w:val="es-ES_tradnl"/>
        </w:rPr>
        <w:t xml:space="preserve"> com a forma </w:t>
      </w:r>
      <w:r w:rsidR="00E40CDC" w:rsidRPr="00863196">
        <w:rPr>
          <w:rFonts w:ascii="Arial" w:hAnsi="Arial" w:cs="Arial"/>
          <w:bCs/>
          <w:sz w:val="20"/>
          <w:szCs w:val="20"/>
          <w:lang w:val="es-ES_tradnl"/>
        </w:rPr>
        <w:t>clássica perdedora de sal</w:t>
      </w:r>
      <w:r w:rsidRPr="00863196">
        <w:rPr>
          <w:rFonts w:ascii="Arial" w:hAnsi="Arial" w:cs="Arial"/>
          <w:bCs/>
          <w:sz w:val="20"/>
          <w:szCs w:val="20"/>
          <w:lang w:val="es-ES_tradnl"/>
        </w:rPr>
        <w:t xml:space="preserve">, </w:t>
      </w:r>
      <w:r w:rsidR="00E40CDC" w:rsidRPr="00863196">
        <w:rPr>
          <w:rFonts w:ascii="Arial" w:hAnsi="Arial" w:cs="Arial"/>
          <w:bCs/>
          <w:sz w:val="20"/>
          <w:szCs w:val="20"/>
          <w:lang w:val="es-ES_tradnl"/>
        </w:rPr>
        <w:t>clá</w:t>
      </w:r>
      <w:r w:rsidR="0087462D" w:rsidRPr="00863196">
        <w:rPr>
          <w:rFonts w:ascii="Arial" w:hAnsi="Arial" w:cs="Arial"/>
          <w:bCs/>
          <w:sz w:val="20"/>
          <w:szCs w:val="20"/>
          <w:lang w:val="es-ES_tradnl"/>
        </w:rPr>
        <w:t>s</w:t>
      </w:r>
      <w:r w:rsidR="00E40CDC" w:rsidRPr="00863196">
        <w:rPr>
          <w:rFonts w:ascii="Arial" w:hAnsi="Arial" w:cs="Arial"/>
          <w:bCs/>
          <w:sz w:val="20"/>
          <w:szCs w:val="20"/>
          <w:lang w:val="es-ES_tradnl"/>
        </w:rPr>
        <w:t>sica virilizante simples e não clássica</w:t>
      </w:r>
      <w:r w:rsidRPr="00863196">
        <w:rPr>
          <w:rFonts w:ascii="Arial" w:hAnsi="Arial" w:cs="Arial"/>
          <w:bCs/>
          <w:sz w:val="20"/>
          <w:szCs w:val="20"/>
          <w:lang w:val="es-ES_tradnl"/>
        </w:rPr>
        <w:t>, respectivamente.</w:t>
      </w:r>
    </w:p>
    <w:p w:rsidR="0085608F" w:rsidRPr="00863196" w:rsidRDefault="009F3DB8" w:rsidP="0085608F">
      <w:pPr>
        <w:widowControl w:val="0"/>
        <w:autoSpaceDE w:val="0"/>
        <w:autoSpaceDN w:val="0"/>
        <w:adjustRightInd w:val="0"/>
        <w:spacing w:line="360" w:lineRule="auto"/>
        <w:jc w:val="both"/>
        <w:rPr>
          <w:rFonts w:ascii="Arial" w:hAnsi="Arial" w:cs="Arial"/>
          <w:bCs/>
          <w:sz w:val="20"/>
          <w:szCs w:val="20"/>
          <w:lang w:val="es-ES_tradnl"/>
        </w:rPr>
      </w:pPr>
      <w:r w:rsidRPr="00863196">
        <w:rPr>
          <w:rFonts w:ascii="Arial" w:hAnsi="Arial" w:cs="Arial"/>
          <w:b/>
          <w:bCs/>
          <w:sz w:val="20"/>
          <w:szCs w:val="20"/>
          <w:lang w:val="es-ES_tradnl"/>
        </w:rPr>
        <w:t>Discussão/</w:t>
      </w:r>
      <w:r w:rsidR="0085608F" w:rsidRPr="00863196">
        <w:rPr>
          <w:rFonts w:ascii="Arial" w:hAnsi="Arial" w:cs="Arial"/>
          <w:b/>
          <w:bCs/>
          <w:sz w:val="20"/>
          <w:szCs w:val="20"/>
          <w:lang w:val="es-ES_tradnl"/>
        </w:rPr>
        <w:t>Conclusões:</w:t>
      </w:r>
      <w:r w:rsidR="0087462D" w:rsidRPr="00863196">
        <w:rPr>
          <w:rFonts w:ascii="Arial" w:hAnsi="Arial" w:cs="Arial"/>
          <w:bCs/>
          <w:sz w:val="20"/>
          <w:szCs w:val="20"/>
          <w:lang w:val="es-ES_tradnl"/>
        </w:rPr>
        <w:t xml:space="preserve"> A frequ</w:t>
      </w:r>
      <w:r w:rsidR="0085608F" w:rsidRPr="00863196">
        <w:rPr>
          <w:rFonts w:ascii="Arial" w:hAnsi="Arial" w:cs="Arial"/>
          <w:bCs/>
          <w:sz w:val="20"/>
          <w:szCs w:val="20"/>
          <w:lang w:val="es-ES_tradnl"/>
        </w:rPr>
        <w:t xml:space="preserve">ência de defeitos genéticos observados </w:t>
      </w:r>
      <w:r w:rsidR="0087462D" w:rsidRPr="00863196">
        <w:rPr>
          <w:rFonts w:ascii="Arial" w:hAnsi="Arial" w:cs="Arial"/>
          <w:bCs/>
          <w:sz w:val="20"/>
          <w:szCs w:val="20"/>
          <w:lang w:val="es-ES_tradnl"/>
        </w:rPr>
        <w:t>nos nossos doentes</w:t>
      </w:r>
      <w:r w:rsidR="0085608F" w:rsidRPr="00863196">
        <w:rPr>
          <w:rFonts w:ascii="Arial" w:hAnsi="Arial" w:cs="Arial"/>
          <w:bCs/>
          <w:sz w:val="20"/>
          <w:szCs w:val="20"/>
          <w:lang w:val="es-ES_tradnl"/>
        </w:rPr>
        <w:t xml:space="preserve"> é comparável </w:t>
      </w:r>
      <w:r w:rsidR="002035DF" w:rsidRPr="00863196">
        <w:rPr>
          <w:rFonts w:ascii="Arial" w:hAnsi="Arial" w:cs="Arial"/>
          <w:bCs/>
          <w:sz w:val="20"/>
          <w:szCs w:val="20"/>
          <w:lang w:val="es-ES_tradnl"/>
        </w:rPr>
        <w:t xml:space="preserve">a </w:t>
      </w:r>
      <w:r w:rsidR="0085608F" w:rsidRPr="00863196">
        <w:rPr>
          <w:rFonts w:ascii="Arial" w:hAnsi="Arial" w:cs="Arial"/>
          <w:bCs/>
          <w:sz w:val="20"/>
          <w:szCs w:val="20"/>
          <w:lang w:val="es-ES_tradnl"/>
        </w:rPr>
        <w:t xml:space="preserve">outros estudos semelhantes. Observou-se, na maioria dos casos, uma boa correlação genótipo-fenótipo, </w:t>
      </w:r>
      <w:r w:rsidR="001937E6" w:rsidRPr="00863196">
        <w:rPr>
          <w:rFonts w:ascii="Arial" w:hAnsi="Arial" w:cs="Arial"/>
          <w:bCs/>
          <w:sz w:val="20"/>
          <w:szCs w:val="20"/>
          <w:lang w:val="es-ES_tradnl"/>
        </w:rPr>
        <w:t>demonstrando assim</w:t>
      </w:r>
      <w:r w:rsidR="0085608F" w:rsidRPr="00863196">
        <w:rPr>
          <w:rFonts w:ascii="Arial" w:hAnsi="Arial" w:cs="Arial"/>
          <w:bCs/>
          <w:sz w:val="20"/>
          <w:szCs w:val="20"/>
          <w:lang w:val="es-ES_tradnl"/>
        </w:rPr>
        <w:t xml:space="preserve"> </w:t>
      </w:r>
      <w:r w:rsidR="00062D43" w:rsidRPr="00863196">
        <w:rPr>
          <w:rFonts w:ascii="Arial" w:hAnsi="Arial" w:cs="Arial"/>
          <w:bCs/>
          <w:sz w:val="20"/>
          <w:szCs w:val="20"/>
          <w:lang w:val="es-ES_tradnl"/>
        </w:rPr>
        <w:t>que a</w:t>
      </w:r>
      <w:r w:rsidR="00610551" w:rsidRPr="00863196">
        <w:rPr>
          <w:rFonts w:ascii="Arial" w:hAnsi="Arial" w:cs="Arial"/>
          <w:bCs/>
          <w:sz w:val="20"/>
          <w:szCs w:val="20"/>
          <w:lang w:val="es-ES_tradnl"/>
        </w:rPr>
        <w:t xml:space="preserve"> análise molecular do</w:t>
      </w:r>
      <w:r w:rsidR="0085608F" w:rsidRPr="00863196">
        <w:rPr>
          <w:rFonts w:ascii="Arial" w:hAnsi="Arial" w:cs="Arial"/>
          <w:bCs/>
          <w:sz w:val="20"/>
          <w:szCs w:val="20"/>
          <w:lang w:val="es-ES_tradnl"/>
        </w:rPr>
        <w:t xml:space="preserve"> CYP21A2 </w:t>
      </w:r>
      <w:r w:rsidR="00062D43" w:rsidRPr="00863196">
        <w:rPr>
          <w:rFonts w:ascii="Arial" w:hAnsi="Arial" w:cs="Arial"/>
          <w:bCs/>
          <w:sz w:val="20"/>
          <w:szCs w:val="20"/>
          <w:lang w:val="es-ES_tradnl"/>
        </w:rPr>
        <w:t xml:space="preserve">fornece informação importante relativamente à gravidade </w:t>
      </w:r>
      <w:r w:rsidR="001E5B87" w:rsidRPr="001E5B87">
        <w:rPr>
          <w:rFonts w:ascii="Arial" w:hAnsi="Arial" w:cs="Arial"/>
          <w:bCs/>
          <w:sz w:val="20"/>
          <w:szCs w:val="20"/>
          <w:highlight w:val="yellow"/>
          <w:lang w:val="es-ES_tradnl"/>
        </w:rPr>
        <w:t>da</w:t>
      </w:r>
      <w:r w:rsidR="001E5B87">
        <w:rPr>
          <w:rFonts w:ascii="Arial" w:hAnsi="Arial" w:cs="Arial"/>
          <w:bCs/>
          <w:sz w:val="20"/>
          <w:szCs w:val="20"/>
          <w:lang w:val="es-ES_tradnl"/>
        </w:rPr>
        <w:t xml:space="preserve"> </w:t>
      </w:r>
      <w:r w:rsidR="008755FE" w:rsidRPr="00863196">
        <w:rPr>
          <w:rFonts w:ascii="Arial" w:hAnsi="Arial" w:cs="Arial"/>
          <w:bCs/>
          <w:sz w:val="20"/>
          <w:szCs w:val="20"/>
          <w:lang w:val="es-ES_tradnl"/>
        </w:rPr>
        <w:t>doença e no</w:t>
      </w:r>
      <w:r w:rsidR="00CC7456" w:rsidRPr="00863196">
        <w:rPr>
          <w:rFonts w:ascii="Arial" w:hAnsi="Arial" w:cs="Arial"/>
          <w:bCs/>
          <w:sz w:val="20"/>
          <w:szCs w:val="20"/>
          <w:lang w:val="es-ES_tradnl"/>
        </w:rPr>
        <w:t xml:space="preserve"> </w:t>
      </w:r>
      <w:r w:rsidR="0085608F" w:rsidRPr="00863196">
        <w:rPr>
          <w:rFonts w:ascii="Arial" w:hAnsi="Arial" w:cs="Arial"/>
          <w:bCs/>
          <w:sz w:val="20"/>
          <w:szCs w:val="20"/>
          <w:lang w:val="es-ES_tradnl"/>
        </w:rPr>
        <w:t xml:space="preserve">aconselhamento genético </w:t>
      </w:r>
      <w:r w:rsidR="003A5EB9" w:rsidRPr="00863196">
        <w:rPr>
          <w:rFonts w:ascii="Arial" w:hAnsi="Arial" w:cs="Arial"/>
          <w:bCs/>
          <w:sz w:val="20"/>
          <w:szCs w:val="20"/>
          <w:lang w:val="es-ES_tradnl"/>
        </w:rPr>
        <w:t xml:space="preserve">e </w:t>
      </w:r>
      <w:r w:rsidR="0085608F" w:rsidRPr="00863196">
        <w:rPr>
          <w:rFonts w:ascii="Arial" w:hAnsi="Arial" w:cs="Arial"/>
          <w:bCs/>
          <w:sz w:val="20"/>
          <w:szCs w:val="20"/>
          <w:lang w:val="es-ES_tradnl"/>
        </w:rPr>
        <w:t>pré-natal.</w:t>
      </w:r>
    </w:p>
    <w:p w:rsidR="00EB125B" w:rsidRPr="00863196" w:rsidRDefault="00EB125B" w:rsidP="00EB125B">
      <w:pPr>
        <w:spacing w:line="360" w:lineRule="auto"/>
        <w:jc w:val="both"/>
        <w:rPr>
          <w:rFonts w:ascii="Arial" w:hAnsi="Arial" w:cs="Arial"/>
          <w:bCs/>
          <w:sz w:val="20"/>
          <w:szCs w:val="20"/>
          <w:lang w:val="es-ES_tradnl"/>
        </w:rPr>
      </w:pPr>
      <w:r w:rsidRPr="00863196">
        <w:rPr>
          <w:rFonts w:ascii="Arial" w:hAnsi="Arial" w:cs="Arial"/>
          <w:b/>
          <w:bCs/>
          <w:sz w:val="20"/>
          <w:szCs w:val="20"/>
          <w:lang w:val="es-ES_tradnl"/>
        </w:rPr>
        <w:t>Palavras-chave:</w:t>
      </w:r>
      <w:r w:rsidRPr="00863196">
        <w:rPr>
          <w:rFonts w:ascii="Arial" w:hAnsi="Arial" w:cs="Arial"/>
          <w:bCs/>
          <w:sz w:val="20"/>
          <w:szCs w:val="20"/>
          <w:lang w:val="es-ES_tradnl"/>
        </w:rPr>
        <w:t xml:space="preserve"> </w:t>
      </w:r>
      <w:r w:rsidR="004708E9" w:rsidRPr="00863196">
        <w:rPr>
          <w:rFonts w:ascii="Arial" w:hAnsi="Arial" w:cs="Arial"/>
          <w:bCs/>
          <w:sz w:val="20"/>
          <w:szCs w:val="20"/>
          <w:lang w:val="es-ES_tradnl"/>
        </w:rPr>
        <w:t>Hiperplasia congénita suprarrenal; CYP21A2;</w:t>
      </w:r>
      <w:r w:rsidRPr="00863196">
        <w:rPr>
          <w:rFonts w:ascii="Arial" w:hAnsi="Arial" w:cs="Arial"/>
          <w:bCs/>
          <w:sz w:val="20"/>
          <w:szCs w:val="20"/>
          <w:lang w:val="es-ES_tradnl"/>
        </w:rPr>
        <w:t xml:space="preserve"> genótipo, </w:t>
      </w:r>
      <w:r w:rsidR="00E54A65">
        <w:rPr>
          <w:rFonts w:ascii="Arial" w:hAnsi="Arial" w:cs="Arial"/>
          <w:bCs/>
          <w:sz w:val="20"/>
          <w:szCs w:val="20"/>
          <w:lang w:val="es-ES_tradnl"/>
        </w:rPr>
        <w:t>fenótipo.</w:t>
      </w:r>
    </w:p>
    <w:p w:rsidR="00610551" w:rsidRPr="00863196" w:rsidRDefault="00610551" w:rsidP="0085608F">
      <w:pPr>
        <w:widowControl w:val="0"/>
        <w:autoSpaceDE w:val="0"/>
        <w:autoSpaceDN w:val="0"/>
        <w:adjustRightInd w:val="0"/>
        <w:spacing w:line="360" w:lineRule="auto"/>
        <w:jc w:val="both"/>
        <w:rPr>
          <w:rFonts w:ascii="Arial" w:hAnsi="Arial" w:cs="Arial"/>
          <w:bCs/>
          <w:sz w:val="20"/>
          <w:szCs w:val="20"/>
          <w:lang w:val="es-ES_tradnl"/>
        </w:rPr>
      </w:pPr>
    </w:p>
    <w:p w:rsidR="00EB125B" w:rsidRPr="00863196" w:rsidRDefault="00EB125B" w:rsidP="0085608F">
      <w:pPr>
        <w:widowControl w:val="0"/>
        <w:autoSpaceDE w:val="0"/>
        <w:autoSpaceDN w:val="0"/>
        <w:adjustRightInd w:val="0"/>
        <w:spacing w:line="360" w:lineRule="auto"/>
        <w:jc w:val="both"/>
        <w:rPr>
          <w:rFonts w:ascii="Arial" w:hAnsi="Arial" w:cs="Arial"/>
          <w:bCs/>
          <w:sz w:val="20"/>
          <w:szCs w:val="20"/>
          <w:lang w:val="es-ES_tradnl"/>
        </w:rPr>
      </w:pPr>
    </w:p>
    <w:p w:rsidR="00F6461F" w:rsidRPr="00863196" w:rsidRDefault="00F6461F" w:rsidP="006B64B6">
      <w:pPr>
        <w:widowControl w:val="0"/>
        <w:autoSpaceDE w:val="0"/>
        <w:autoSpaceDN w:val="0"/>
        <w:adjustRightInd w:val="0"/>
        <w:spacing w:line="360" w:lineRule="auto"/>
        <w:jc w:val="both"/>
        <w:rPr>
          <w:rFonts w:ascii="Arial" w:hAnsi="Arial" w:cs="Arial"/>
          <w:b/>
          <w:bCs/>
          <w:sz w:val="20"/>
          <w:szCs w:val="20"/>
          <w:lang w:val="es-ES_tradnl"/>
        </w:rPr>
      </w:pPr>
    </w:p>
    <w:p w:rsidR="00F6461F" w:rsidRPr="00863196" w:rsidRDefault="00F6461F" w:rsidP="006B64B6">
      <w:pPr>
        <w:widowControl w:val="0"/>
        <w:autoSpaceDE w:val="0"/>
        <w:autoSpaceDN w:val="0"/>
        <w:adjustRightInd w:val="0"/>
        <w:spacing w:line="360" w:lineRule="auto"/>
        <w:jc w:val="both"/>
        <w:rPr>
          <w:rFonts w:ascii="Arial" w:hAnsi="Arial" w:cs="Arial"/>
          <w:b/>
          <w:bCs/>
          <w:sz w:val="20"/>
          <w:szCs w:val="20"/>
          <w:lang w:val="es-ES_tradnl"/>
        </w:rPr>
      </w:pPr>
    </w:p>
    <w:p w:rsidR="00863196" w:rsidRDefault="00863196">
      <w:pPr>
        <w:rPr>
          <w:rFonts w:ascii="Arial" w:hAnsi="Arial" w:cs="Arial"/>
          <w:b/>
          <w:bCs/>
          <w:sz w:val="20"/>
          <w:szCs w:val="20"/>
          <w:lang w:val="es-ES_tradnl"/>
        </w:rPr>
      </w:pPr>
      <w:r>
        <w:rPr>
          <w:rFonts w:ascii="Arial" w:hAnsi="Arial" w:cs="Arial"/>
          <w:b/>
          <w:bCs/>
          <w:sz w:val="20"/>
          <w:szCs w:val="20"/>
          <w:lang w:val="es-ES_tradnl"/>
        </w:rPr>
        <w:br w:type="page"/>
      </w:r>
    </w:p>
    <w:p w:rsidR="00C80722" w:rsidRDefault="00C80722" w:rsidP="006B64B6">
      <w:pPr>
        <w:widowControl w:val="0"/>
        <w:autoSpaceDE w:val="0"/>
        <w:autoSpaceDN w:val="0"/>
        <w:adjustRightInd w:val="0"/>
        <w:spacing w:line="360" w:lineRule="auto"/>
        <w:jc w:val="both"/>
        <w:rPr>
          <w:rFonts w:ascii="Arial" w:hAnsi="Arial" w:cs="Arial"/>
          <w:b/>
          <w:bCs/>
          <w:sz w:val="20"/>
          <w:szCs w:val="20"/>
          <w:lang w:val="es-ES_tradnl"/>
        </w:rPr>
      </w:pPr>
      <w:r>
        <w:rPr>
          <w:rFonts w:ascii="Arial" w:hAnsi="Arial" w:cs="Arial"/>
          <w:b/>
          <w:bCs/>
          <w:sz w:val="20"/>
          <w:szCs w:val="20"/>
          <w:lang w:val="es-ES_tradnl"/>
        </w:rPr>
        <w:t>ABSTRACT</w:t>
      </w:r>
    </w:p>
    <w:p w:rsidR="006B64B6" w:rsidRPr="00863196" w:rsidRDefault="006B64B6" w:rsidP="006B64B6">
      <w:pPr>
        <w:widowControl w:val="0"/>
        <w:autoSpaceDE w:val="0"/>
        <w:autoSpaceDN w:val="0"/>
        <w:adjustRightInd w:val="0"/>
        <w:spacing w:line="360" w:lineRule="auto"/>
        <w:jc w:val="both"/>
        <w:rPr>
          <w:rFonts w:ascii="Arial" w:hAnsi="Arial" w:cs="Arial"/>
          <w:b/>
          <w:bCs/>
          <w:sz w:val="20"/>
          <w:szCs w:val="20"/>
          <w:lang w:val="es-ES_tradnl"/>
        </w:rPr>
      </w:pPr>
      <w:r w:rsidRPr="00863196">
        <w:rPr>
          <w:rFonts w:ascii="Arial" w:hAnsi="Arial" w:cs="Arial"/>
          <w:b/>
          <w:bCs/>
          <w:sz w:val="20"/>
          <w:szCs w:val="20"/>
          <w:lang w:val="es-ES_tradnl"/>
        </w:rPr>
        <w:t>Congenital adrenal hyperplasia due to 21-hydroxylase deficiency: genotype-phenotype correlation</w:t>
      </w:r>
    </w:p>
    <w:p w:rsidR="006B64B6" w:rsidRPr="00863196" w:rsidRDefault="006B64B6" w:rsidP="006B64B6">
      <w:pPr>
        <w:widowControl w:val="0"/>
        <w:autoSpaceDE w:val="0"/>
        <w:autoSpaceDN w:val="0"/>
        <w:adjustRightInd w:val="0"/>
        <w:spacing w:line="360" w:lineRule="auto"/>
        <w:jc w:val="both"/>
        <w:rPr>
          <w:rFonts w:ascii="Arial" w:hAnsi="Arial" w:cs="Arial"/>
          <w:b/>
          <w:bCs/>
          <w:sz w:val="20"/>
          <w:szCs w:val="20"/>
          <w:lang w:val="es-ES_tradnl"/>
        </w:rPr>
      </w:pPr>
    </w:p>
    <w:p w:rsidR="001E5A89" w:rsidRPr="00863196" w:rsidRDefault="009F3DB8" w:rsidP="006B64B6">
      <w:pPr>
        <w:autoSpaceDE w:val="0"/>
        <w:autoSpaceDN w:val="0"/>
        <w:adjustRightInd w:val="0"/>
        <w:spacing w:line="360" w:lineRule="auto"/>
        <w:jc w:val="both"/>
        <w:rPr>
          <w:rStyle w:val="Normal1"/>
          <w:rFonts w:ascii="Arial" w:hAnsi="Arial" w:cs="Arial"/>
          <w:b/>
          <w:sz w:val="20"/>
          <w:szCs w:val="20"/>
          <w:lang w:val="es-ES_tradnl"/>
        </w:rPr>
      </w:pPr>
      <w:r w:rsidRPr="00863196">
        <w:rPr>
          <w:rStyle w:val="Normal1"/>
          <w:rFonts w:ascii="Arial" w:hAnsi="Arial" w:cs="Arial"/>
          <w:b/>
          <w:sz w:val="20"/>
          <w:szCs w:val="20"/>
          <w:lang w:val="es-ES_tradnl"/>
        </w:rPr>
        <w:t xml:space="preserve">Introduction: </w:t>
      </w:r>
      <w:r w:rsidR="006B64B6" w:rsidRPr="00863196">
        <w:rPr>
          <w:rStyle w:val="Normal1"/>
          <w:rFonts w:ascii="Arial" w:hAnsi="Arial" w:cs="Arial"/>
          <w:sz w:val="20"/>
          <w:szCs w:val="20"/>
          <w:lang w:val="es-ES_tradnl"/>
        </w:rPr>
        <w:t xml:space="preserve">Congenital adrenal hyperplasia due to 21-hydroxylase deficiency is one of the most frequent inborn conditions. It is caused by distinct mutations in the CYP21A2 gene and in the majority of cases the disease severity correlates with CYP21A2 allelic variation. Our aim </w:t>
      </w:r>
      <w:r w:rsidR="001E5A89" w:rsidRPr="00863196">
        <w:rPr>
          <w:rStyle w:val="Normal1"/>
          <w:rFonts w:ascii="Arial" w:hAnsi="Arial" w:cs="Arial"/>
          <w:sz w:val="20"/>
          <w:szCs w:val="20"/>
          <w:lang w:val="es-ES_tradnl"/>
        </w:rPr>
        <w:t>was</w:t>
      </w:r>
      <w:r w:rsidR="006B64B6" w:rsidRPr="00863196">
        <w:rPr>
          <w:rStyle w:val="Normal1"/>
          <w:rFonts w:ascii="Arial" w:hAnsi="Arial" w:cs="Arial"/>
          <w:sz w:val="20"/>
          <w:szCs w:val="20"/>
          <w:lang w:val="es-ES_tradnl"/>
        </w:rPr>
        <w:t xml:space="preserve"> to d</w:t>
      </w:r>
      <w:r w:rsidR="006B64B6" w:rsidRPr="00863196">
        <w:rPr>
          <w:rStyle w:val="hps"/>
          <w:rFonts w:ascii="Arial" w:hAnsi="Arial" w:cs="Arial"/>
          <w:sz w:val="20"/>
          <w:szCs w:val="20"/>
          <w:lang w:val="es-ES_tradnl"/>
        </w:rPr>
        <w:t>escribe</w:t>
      </w:r>
      <w:r w:rsidR="006B64B6" w:rsidRPr="00863196">
        <w:rPr>
          <w:rFonts w:ascii="Arial" w:hAnsi="Arial" w:cs="Arial"/>
          <w:sz w:val="20"/>
          <w:szCs w:val="20"/>
          <w:lang w:val="es-ES_tradnl"/>
        </w:rPr>
        <w:t xml:space="preserve"> </w:t>
      </w:r>
      <w:r w:rsidR="006B64B6" w:rsidRPr="00863196">
        <w:rPr>
          <w:rStyle w:val="hps"/>
          <w:rFonts w:ascii="Arial" w:hAnsi="Arial" w:cs="Arial"/>
          <w:sz w:val="20"/>
          <w:szCs w:val="20"/>
          <w:lang w:val="es-ES_tradnl"/>
        </w:rPr>
        <w:t xml:space="preserve">the mutational spectrum of CYP21A2 and </w:t>
      </w:r>
      <w:r w:rsidR="006B64B6" w:rsidRPr="00863196">
        <w:rPr>
          <w:rFonts w:ascii="Arial" w:hAnsi="Arial" w:cs="Arial"/>
          <w:sz w:val="20"/>
          <w:szCs w:val="20"/>
          <w:lang w:val="es-ES_tradnl"/>
        </w:rPr>
        <w:t>evaluate genotype-phenotype correlation</w:t>
      </w:r>
      <w:r w:rsidR="006B64B6" w:rsidRPr="00863196">
        <w:rPr>
          <w:rStyle w:val="hps"/>
          <w:rFonts w:ascii="Arial" w:hAnsi="Arial" w:cs="Arial"/>
          <w:sz w:val="20"/>
          <w:szCs w:val="20"/>
          <w:lang w:val="es-ES_tradnl"/>
        </w:rPr>
        <w:t xml:space="preserve"> in a cohort of </w:t>
      </w:r>
      <w:r w:rsidR="00106B63">
        <w:rPr>
          <w:rFonts w:ascii="Arial" w:hAnsi="Arial" w:cs="Arial"/>
          <w:sz w:val="20"/>
          <w:szCs w:val="20"/>
          <w:lang w:val="es-ES_tradnl"/>
        </w:rPr>
        <w:t>p</w:t>
      </w:r>
      <w:r w:rsidR="006B64B6" w:rsidRPr="00863196">
        <w:rPr>
          <w:rFonts w:ascii="Arial" w:hAnsi="Arial" w:cs="Arial"/>
          <w:sz w:val="20"/>
          <w:szCs w:val="20"/>
          <w:lang w:val="es-ES_tradnl"/>
        </w:rPr>
        <w:t xml:space="preserve">ortuguese patients </w:t>
      </w:r>
      <w:r w:rsidR="006B64B6" w:rsidRPr="00863196">
        <w:rPr>
          <w:rStyle w:val="hps"/>
          <w:rFonts w:ascii="Arial" w:hAnsi="Arial" w:cs="Arial"/>
          <w:sz w:val="20"/>
          <w:szCs w:val="20"/>
          <w:lang w:val="es-ES_tradnl"/>
        </w:rPr>
        <w:t xml:space="preserve">with </w:t>
      </w:r>
      <w:r w:rsidR="001E5A89" w:rsidRPr="00863196">
        <w:rPr>
          <w:rStyle w:val="Normal1"/>
          <w:rFonts w:ascii="Arial" w:hAnsi="Arial" w:cs="Arial"/>
          <w:sz w:val="20"/>
          <w:szCs w:val="20"/>
          <w:lang w:val="es-ES_tradnl"/>
        </w:rPr>
        <w:t xml:space="preserve">21-hydroxylase </w:t>
      </w:r>
      <w:r w:rsidR="006B64B6" w:rsidRPr="00863196">
        <w:rPr>
          <w:rStyle w:val="Normal1"/>
          <w:rFonts w:ascii="Arial" w:hAnsi="Arial" w:cs="Arial"/>
          <w:sz w:val="20"/>
          <w:szCs w:val="20"/>
          <w:lang w:val="es-ES_tradnl"/>
        </w:rPr>
        <w:t>deficiency</w:t>
      </w:r>
      <w:r w:rsidR="006B64B6" w:rsidRPr="00863196">
        <w:rPr>
          <w:rStyle w:val="Normal1"/>
          <w:rFonts w:ascii="Arial" w:hAnsi="Arial" w:cs="Arial"/>
          <w:b/>
          <w:sz w:val="20"/>
          <w:szCs w:val="20"/>
          <w:lang w:val="es-ES_tradnl"/>
        </w:rPr>
        <w:t xml:space="preserve">. </w:t>
      </w:r>
    </w:p>
    <w:p w:rsidR="00BD1EE0" w:rsidRPr="00863196" w:rsidRDefault="001E5A89" w:rsidP="006B64B6">
      <w:pPr>
        <w:autoSpaceDE w:val="0"/>
        <w:autoSpaceDN w:val="0"/>
        <w:adjustRightInd w:val="0"/>
        <w:spacing w:line="360" w:lineRule="auto"/>
        <w:jc w:val="both"/>
        <w:rPr>
          <w:rStyle w:val="Normal1"/>
          <w:rFonts w:ascii="Arial" w:hAnsi="Arial" w:cs="Arial"/>
          <w:sz w:val="20"/>
          <w:szCs w:val="20"/>
          <w:lang w:val="es-ES_tradnl"/>
        </w:rPr>
      </w:pPr>
      <w:r w:rsidRPr="00863196">
        <w:rPr>
          <w:rStyle w:val="Normal1"/>
          <w:rFonts w:ascii="Arial" w:hAnsi="Arial" w:cs="Arial"/>
          <w:b/>
          <w:sz w:val="20"/>
          <w:szCs w:val="20"/>
          <w:lang w:val="es-ES_tradnl"/>
        </w:rPr>
        <w:t xml:space="preserve">Material and Methods: </w:t>
      </w:r>
      <w:r w:rsidR="006B64B6" w:rsidRPr="00863196">
        <w:rPr>
          <w:rStyle w:val="Normal1"/>
          <w:rFonts w:ascii="Arial" w:hAnsi="Arial" w:cs="Arial"/>
          <w:sz w:val="20"/>
          <w:szCs w:val="20"/>
          <w:lang w:val="es-ES_tradnl"/>
        </w:rPr>
        <w:t xml:space="preserve">Retrospective study of 22 patients with clinical diagnosis of </w:t>
      </w:r>
      <w:r w:rsidRPr="00863196">
        <w:rPr>
          <w:rStyle w:val="Normal1"/>
          <w:rFonts w:ascii="Arial" w:hAnsi="Arial" w:cs="Arial"/>
          <w:sz w:val="20"/>
          <w:szCs w:val="20"/>
          <w:lang w:val="es-ES_tradnl"/>
        </w:rPr>
        <w:t xml:space="preserve">21-hydroxylase </w:t>
      </w:r>
      <w:r w:rsidR="006B64B6" w:rsidRPr="00863196">
        <w:rPr>
          <w:rStyle w:val="Normal1"/>
          <w:rFonts w:ascii="Arial" w:hAnsi="Arial" w:cs="Arial"/>
          <w:sz w:val="20"/>
          <w:szCs w:val="20"/>
          <w:lang w:val="es-ES_tradnl"/>
        </w:rPr>
        <w:t xml:space="preserve">deficiency. Molecular analysis of CYP21A2 was performed and genotype-phenotype correlation was then established. </w:t>
      </w:r>
    </w:p>
    <w:p w:rsidR="006B64B6" w:rsidRPr="00863196" w:rsidRDefault="006B64B6" w:rsidP="006B64B6">
      <w:pPr>
        <w:spacing w:line="360" w:lineRule="auto"/>
        <w:jc w:val="both"/>
        <w:rPr>
          <w:rFonts w:ascii="Arial" w:eastAsia="Times New Roman" w:hAnsi="Arial" w:cs="Arial"/>
          <w:sz w:val="20"/>
          <w:szCs w:val="20"/>
          <w:lang w:val="es-ES_tradnl"/>
        </w:rPr>
      </w:pPr>
      <w:r w:rsidRPr="00863196">
        <w:rPr>
          <w:rStyle w:val="Normal1"/>
          <w:rFonts w:ascii="Arial" w:hAnsi="Arial" w:cs="Arial"/>
          <w:b/>
          <w:sz w:val="20"/>
          <w:szCs w:val="20"/>
          <w:lang w:val="es-ES_tradnl"/>
        </w:rPr>
        <w:t>Results:</w:t>
      </w:r>
      <w:r w:rsidRPr="00863196">
        <w:rPr>
          <w:rStyle w:val="Normal1"/>
          <w:rFonts w:ascii="Arial" w:hAnsi="Arial" w:cs="Arial"/>
          <w:sz w:val="20"/>
          <w:szCs w:val="20"/>
          <w:lang w:val="es-ES_tradnl"/>
        </w:rPr>
        <w:t xml:space="preserve"> Genotyping was performed in 22 unrelated patie</w:t>
      </w:r>
      <w:r w:rsidR="001E5A89" w:rsidRPr="00863196">
        <w:rPr>
          <w:rStyle w:val="Normal1"/>
          <w:rFonts w:ascii="Arial" w:hAnsi="Arial" w:cs="Arial"/>
          <w:sz w:val="20"/>
          <w:szCs w:val="20"/>
          <w:lang w:val="es-ES_tradnl"/>
        </w:rPr>
        <w:t xml:space="preserve">nts: 5 </w:t>
      </w:r>
      <w:r w:rsidR="00BE3823" w:rsidRPr="00863196">
        <w:rPr>
          <w:rStyle w:val="Normal1"/>
          <w:rFonts w:ascii="Arial" w:hAnsi="Arial" w:cs="Arial"/>
          <w:sz w:val="20"/>
          <w:szCs w:val="20"/>
          <w:lang w:val="es-ES_tradnl"/>
        </w:rPr>
        <w:t xml:space="preserve">with </w:t>
      </w:r>
      <w:r w:rsidR="00B62310" w:rsidRPr="00863196">
        <w:rPr>
          <w:rStyle w:val="Normal1"/>
          <w:rFonts w:ascii="Arial" w:hAnsi="Arial" w:cs="Arial"/>
          <w:sz w:val="20"/>
          <w:szCs w:val="20"/>
          <w:lang w:val="es-ES_tradnl"/>
        </w:rPr>
        <w:t xml:space="preserve">classic </w:t>
      </w:r>
      <w:r w:rsidR="00BE3823" w:rsidRPr="00863196">
        <w:rPr>
          <w:rStyle w:val="Normal1"/>
          <w:rFonts w:ascii="Arial" w:hAnsi="Arial" w:cs="Arial"/>
          <w:sz w:val="20"/>
          <w:szCs w:val="20"/>
          <w:lang w:val="es-ES_tradnl"/>
        </w:rPr>
        <w:t>salt-wasting</w:t>
      </w:r>
      <w:r w:rsidR="00150BCB">
        <w:rPr>
          <w:rStyle w:val="Normal1"/>
          <w:rFonts w:ascii="Arial" w:hAnsi="Arial" w:cs="Arial"/>
          <w:sz w:val="20"/>
          <w:szCs w:val="20"/>
          <w:lang w:val="es-ES_tradnl"/>
        </w:rPr>
        <w:t xml:space="preserve"> </w:t>
      </w:r>
      <w:r w:rsidR="00150BCB" w:rsidRPr="005949BA">
        <w:rPr>
          <w:rStyle w:val="Normal1"/>
          <w:rFonts w:ascii="Arial" w:hAnsi="Arial" w:cs="Arial"/>
          <w:sz w:val="20"/>
          <w:szCs w:val="20"/>
          <w:highlight w:val="yellow"/>
          <w:lang w:val="es-ES_tradnl"/>
        </w:rPr>
        <w:t>(average age at diagnosis of 10,2 days; minimum 1, m</w:t>
      </w:r>
      <w:r w:rsidR="00ED339E" w:rsidRPr="005949BA">
        <w:rPr>
          <w:rStyle w:val="Normal1"/>
          <w:rFonts w:ascii="Arial" w:hAnsi="Arial" w:cs="Arial"/>
          <w:sz w:val="20"/>
          <w:szCs w:val="20"/>
          <w:highlight w:val="yellow"/>
          <w:lang w:val="es-ES_tradnl"/>
        </w:rPr>
        <w:t>aximum</w:t>
      </w:r>
      <w:r w:rsidR="00150BCB" w:rsidRPr="005949BA">
        <w:rPr>
          <w:rStyle w:val="Normal1"/>
          <w:rFonts w:ascii="Arial" w:hAnsi="Arial" w:cs="Arial"/>
          <w:sz w:val="20"/>
          <w:szCs w:val="20"/>
          <w:highlight w:val="yellow"/>
          <w:lang w:val="es-ES_tradnl"/>
        </w:rPr>
        <w:t xml:space="preserve"> 20 days)</w:t>
      </w:r>
      <w:r w:rsidR="00376A9D" w:rsidRPr="005949BA">
        <w:rPr>
          <w:rStyle w:val="Normal1"/>
          <w:rFonts w:ascii="Arial" w:hAnsi="Arial" w:cs="Arial"/>
          <w:sz w:val="20"/>
          <w:szCs w:val="20"/>
          <w:highlight w:val="yellow"/>
          <w:lang w:val="es-ES_tradnl"/>
        </w:rPr>
        <w:t>,</w:t>
      </w:r>
      <w:r w:rsidR="00376A9D" w:rsidRPr="00863196">
        <w:rPr>
          <w:rStyle w:val="Normal1"/>
          <w:rFonts w:ascii="Arial" w:hAnsi="Arial" w:cs="Arial"/>
          <w:sz w:val="20"/>
          <w:szCs w:val="20"/>
          <w:lang w:val="es-ES_tradnl"/>
        </w:rPr>
        <w:t xml:space="preserve"> 7</w:t>
      </w:r>
      <w:r w:rsidRPr="00863196">
        <w:rPr>
          <w:rStyle w:val="Normal1"/>
          <w:rFonts w:ascii="Arial" w:hAnsi="Arial" w:cs="Arial"/>
          <w:sz w:val="20"/>
          <w:szCs w:val="20"/>
          <w:lang w:val="es-ES_tradnl"/>
        </w:rPr>
        <w:t xml:space="preserve"> with </w:t>
      </w:r>
      <w:r w:rsidR="00B62310" w:rsidRPr="00863196">
        <w:rPr>
          <w:rStyle w:val="Normal1"/>
          <w:rFonts w:ascii="Arial" w:hAnsi="Arial" w:cs="Arial"/>
          <w:sz w:val="20"/>
          <w:szCs w:val="20"/>
          <w:lang w:val="es-ES_tradnl"/>
        </w:rPr>
        <w:t xml:space="preserve">classic </w:t>
      </w:r>
      <w:r w:rsidRPr="00863196">
        <w:rPr>
          <w:rStyle w:val="Normal1"/>
          <w:rFonts w:ascii="Arial" w:hAnsi="Arial" w:cs="Arial"/>
          <w:sz w:val="20"/>
          <w:szCs w:val="20"/>
          <w:lang w:val="es-ES_tradnl"/>
        </w:rPr>
        <w:t xml:space="preserve">simple virilizing </w:t>
      </w:r>
      <w:r w:rsidR="00ED339E" w:rsidRPr="005949BA">
        <w:rPr>
          <w:rStyle w:val="Normal1"/>
          <w:rFonts w:ascii="Arial" w:hAnsi="Arial" w:cs="Arial"/>
          <w:sz w:val="20"/>
          <w:szCs w:val="20"/>
          <w:highlight w:val="yellow"/>
          <w:lang w:val="es-ES_tradnl"/>
        </w:rPr>
        <w:t>(average ag</w:t>
      </w:r>
      <w:r w:rsidR="006D4118">
        <w:rPr>
          <w:rStyle w:val="Normal1"/>
          <w:rFonts w:ascii="Arial" w:hAnsi="Arial" w:cs="Arial"/>
          <w:sz w:val="20"/>
          <w:szCs w:val="20"/>
          <w:highlight w:val="yellow"/>
          <w:lang w:val="es-ES_tradnl"/>
        </w:rPr>
        <w:t>e at diagnosis of 3,5 years</w:t>
      </w:r>
      <w:r w:rsidR="00ED339E" w:rsidRPr="005949BA">
        <w:rPr>
          <w:rStyle w:val="Normal1"/>
          <w:rFonts w:ascii="Arial" w:hAnsi="Arial" w:cs="Arial"/>
          <w:sz w:val="20"/>
          <w:szCs w:val="20"/>
          <w:highlight w:val="yellow"/>
          <w:lang w:val="es-ES_tradnl"/>
        </w:rPr>
        <w:t xml:space="preserve">; minimum </w:t>
      </w:r>
      <w:r w:rsidR="00BE1D73" w:rsidRPr="005949BA">
        <w:rPr>
          <w:rStyle w:val="Normal1"/>
          <w:rFonts w:ascii="Arial" w:hAnsi="Arial" w:cs="Arial"/>
          <w:sz w:val="20"/>
          <w:szCs w:val="20"/>
          <w:highlight w:val="yellow"/>
          <w:lang w:val="es-ES_tradnl"/>
        </w:rPr>
        <w:t>0 days</w:t>
      </w:r>
      <w:r w:rsidR="00ED339E" w:rsidRPr="005949BA">
        <w:rPr>
          <w:rStyle w:val="Normal1"/>
          <w:rFonts w:ascii="Arial" w:hAnsi="Arial" w:cs="Arial"/>
          <w:sz w:val="20"/>
          <w:szCs w:val="20"/>
          <w:highlight w:val="yellow"/>
          <w:lang w:val="es-ES_tradnl"/>
        </w:rPr>
        <w:t>, maximum 7 years)</w:t>
      </w:r>
      <w:r w:rsidR="00ED339E">
        <w:rPr>
          <w:rStyle w:val="Normal1"/>
          <w:rFonts w:ascii="Arial" w:hAnsi="Arial" w:cs="Arial"/>
          <w:sz w:val="20"/>
          <w:szCs w:val="20"/>
          <w:lang w:val="es-ES_tradnl"/>
        </w:rPr>
        <w:t xml:space="preserve"> </w:t>
      </w:r>
      <w:r w:rsidRPr="00863196">
        <w:rPr>
          <w:rStyle w:val="Normal1"/>
          <w:rFonts w:ascii="Arial" w:hAnsi="Arial" w:cs="Arial"/>
          <w:sz w:val="20"/>
          <w:szCs w:val="20"/>
          <w:lang w:val="es-ES_tradnl"/>
        </w:rPr>
        <w:t xml:space="preserve">and </w:t>
      </w:r>
      <w:r w:rsidR="008A586E">
        <w:rPr>
          <w:rStyle w:val="Normal1"/>
          <w:rFonts w:ascii="Arial" w:hAnsi="Arial" w:cs="Arial"/>
          <w:sz w:val="20"/>
          <w:szCs w:val="20"/>
          <w:lang w:val="es-ES_tradnl"/>
        </w:rPr>
        <w:t>10 with nonclassical form</w:t>
      </w:r>
      <w:r w:rsidR="00ED339E">
        <w:rPr>
          <w:rStyle w:val="Normal1"/>
          <w:rFonts w:ascii="Arial" w:hAnsi="Arial" w:cs="Arial"/>
          <w:sz w:val="20"/>
          <w:szCs w:val="20"/>
          <w:lang w:val="es-ES_tradnl"/>
        </w:rPr>
        <w:t xml:space="preserve"> </w:t>
      </w:r>
      <w:r w:rsidR="00ED339E" w:rsidRPr="005949BA">
        <w:rPr>
          <w:rStyle w:val="Normal1"/>
          <w:rFonts w:ascii="Arial" w:hAnsi="Arial" w:cs="Arial"/>
          <w:sz w:val="20"/>
          <w:szCs w:val="20"/>
          <w:highlight w:val="yellow"/>
          <w:lang w:val="es-ES_tradnl"/>
        </w:rPr>
        <w:t xml:space="preserve">(average age at diagnosis of 5,7 years; minimum 4 years, maximum </w:t>
      </w:r>
      <w:r w:rsidR="00BE1D73" w:rsidRPr="005949BA">
        <w:rPr>
          <w:rStyle w:val="Normal1"/>
          <w:rFonts w:ascii="Arial" w:hAnsi="Arial" w:cs="Arial"/>
          <w:sz w:val="20"/>
          <w:szCs w:val="20"/>
          <w:highlight w:val="yellow"/>
          <w:lang w:val="es-ES_tradnl"/>
        </w:rPr>
        <w:t>8 years</w:t>
      </w:r>
      <w:r w:rsidR="00ED339E" w:rsidRPr="005949BA">
        <w:rPr>
          <w:rStyle w:val="Normal1"/>
          <w:rFonts w:ascii="Arial" w:hAnsi="Arial" w:cs="Arial"/>
          <w:sz w:val="20"/>
          <w:szCs w:val="20"/>
          <w:highlight w:val="yellow"/>
          <w:lang w:val="es-ES_tradnl"/>
        </w:rPr>
        <w:t>)</w:t>
      </w:r>
      <w:r w:rsidRPr="005949BA">
        <w:rPr>
          <w:rStyle w:val="Normal1"/>
          <w:rFonts w:ascii="Arial" w:hAnsi="Arial" w:cs="Arial"/>
          <w:sz w:val="20"/>
          <w:szCs w:val="20"/>
          <w:highlight w:val="yellow"/>
          <w:lang w:val="es-ES_tradnl"/>
        </w:rPr>
        <w:t>.</w:t>
      </w:r>
      <w:r w:rsidRPr="00863196">
        <w:rPr>
          <w:rStyle w:val="Normal1"/>
          <w:rFonts w:ascii="Arial" w:hAnsi="Arial" w:cs="Arial"/>
          <w:sz w:val="20"/>
          <w:szCs w:val="20"/>
          <w:lang w:val="es-ES_tradnl"/>
        </w:rPr>
        <w:t xml:space="preserve"> The most frequent genetic defects in the classic forms were I2 splice (24%) and I172N (24%), followed by Q318X (16%) and gene deletions (16%) and in the nonclassical form, the V281L (80%). </w:t>
      </w:r>
      <w:r w:rsidRPr="00863196">
        <w:rPr>
          <w:rFonts w:ascii="Arial" w:eastAsia="Times New Roman" w:hAnsi="Arial" w:cs="Arial"/>
          <w:sz w:val="20"/>
          <w:szCs w:val="20"/>
          <w:lang w:val="es-ES_tradnl"/>
        </w:rPr>
        <w:t>The overall concordance between genotype and phenotype was</w:t>
      </w:r>
      <w:r w:rsidRPr="00863196">
        <w:rPr>
          <w:rStyle w:val="Normal1"/>
          <w:rFonts w:ascii="Arial" w:hAnsi="Arial" w:cs="Arial"/>
          <w:sz w:val="20"/>
          <w:szCs w:val="20"/>
          <w:lang w:val="es-ES_tradnl"/>
        </w:rPr>
        <w:t xml:space="preserve"> 81,8%. Genotype accura</w:t>
      </w:r>
      <w:r w:rsidR="00F80354">
        <w:rPr>
          <w:rStyle w:val="Normal1"/>
          <w:rFonts w:ascii="Arial" w:hAnsi="Arial" w:cs="Arial"/>
          <w:sz w:val="20"/>
          <w:szCs w:val="20"/>
          <w:lang w:val="es-ES_tradnl"/>
        </w:rPr>
        <w:t>tely predicted phenotype in 83,</w:t>
      </w:r>
      <w:r w:rsidRPr="00863196">
        <w:rPr>
          <w:rStyle w:val="Normal1"/>
          <w:rFonts w:ascii="Arial" w:hAnsi="Arial" w:cs="Arial"/>
          <w:sz w:val="20"/>
          <w:szCs w:val="20"/>
          <w:lang w:val="es-ES_tradnl"/>
        </w:rPr>
        <w:t xml:space="preserve">3%, 100% and 90% of patients with </w:t>
      </w:r>
      <w:r w:rsidR="00440FAA" w:rsidRPr="00863196">
        <w:rPr>
          <w:rStyle w:val="Normal1"/>
          <w:rFonts w:ascii="Arial" w:hAnsi="Arial" w:cs="Arial"/>
          <w:sz w:val="20"/>
          <w:szCs w:val="20"/>
          <w:lang w:val="es-ES_tradnl"/>
        </w:rPr>
        <w:t>classic salt-wasting</w:t>
      </w:r>
      <w:r w:rsidRPr="00863196">
        <w:rPr>
          <w:rFonts w:ascii="Arial" w:eastAsia="Times New Roman" w:hAnsi="Arial" w:cs="Arial"/>
          <w:sz w:val="20"/>
          <w:szCs w:val="20"/>
          <w:lang w:val="es-ES_tradnl"/>
        </w:rPr>
        <w:t xml:space="preserve">, </w:t>
      </w:r>
      <w:r w:rsidR="00440FAA" w:rsidRPr="00863196">
        <w:rPr>
          <w:rStyle w:val="Normal1"/>
          <w:rFonts w:ascii="Arial" w:hAnsi="Arial" w:cs="Arial"/>
          <w:sz w:val="20"/>
          <w:szCs w:val="20"/>
          <w:lang w:val="es-ES_tradnl"/>
        </w:rPr>
        <w:t>classic simple virilizing</w:t>
      </w:r>
      <w:r w:rsidRPr="00863196">
        <w:rPr>
          <w:rFonts w:ascii="Arial" w:eastAsia="Times New Roman" w:hAnsi="Arial" w:cs="Arial"/>
          <w:sz w:val="20"/>
          <w:szCs w:val="20"/>
          <w:lang w:val="es-ES_tradnl"/>
        </w:rPr>
        <w:t xml:space="preserve"> and </w:t>
      </w:r>
      <w:r w:rsidR="00440FAA">
        <w:rPr>
          <w:rStyle w:val="Normal1"/>
          <w:rFonts w:ascii="Arial" w:hAnsi="Arial" w:cs="Arial"/>
          <w:sz w:val="20"/>
          <w:szCs w:val="20"/>
          <w:lang w:val="es-ES_tradnl"/>
        </w:rPr>
        <w:t>nonclassical</w:t>
      </w:r>
      <w:r w:rsidRPr="00863196">
        <w:rPr>
          <w:rStyle w:val="Normal1"/>
          <w:rFonts w:ascii="Arial" w:hAnsi="Arial" w:cs="Arial"/>
          <w:sz w:val="20"/>
          <w:szCs w:val="20"/>
          <w:lang w:val="es-ES_tradnl"/>
        </w:rPr>
        <w:t xml:space="preserve"> </w:t>
      </w:r>
      <w:r w:rsidRPr="00863196">
        <w:rPr>
          <w:rFonts w:ascii="Arial" w:eastAsia="Times New Roman" w:hAnsi="Arial" w:cs="Arial"/>
          <w:sz w:val="20"/>
          <w:szCs w:val="20"/>
          <w:lang w:val="es-ES_tradnl"/>
        </w:rPr>
        <w:t>mutations, respectively</w:t>
      </w:r>
      <w:r w:rsidRPr="00863196">
        <w:rPr>
          <w:rFonts w:ascii="Arial" w:hAnsi="Arial" w:cs="Arial"/>
          <w:color w:val="343434"/>
          <w:sz w:val="20"/>
          <w:szCs w:val="20"/>
        </w:rPr>
        <w:t>.</w:t>
      </w:r>
    </w:p>
    <w:p w:rsidR="006B64B6" w:rsidRPr="00863196" w:rsidRDefault="00F153F5" w:rsidP="006B64B6">
      <w:pPr>
        <w:spacing w:line="360" w:lineRule="auto"/>
        <w:jc w:val="both"/>
        <w:rPr>
          <w:rStyle w:val="Normal1"/>
          <w:rFonts w:ascii="Arial" w:eastAsia="Times New Roman" w:hAnsi="Arial" w:cs="Arial"/>
          <w:sz w:val="20"/>
          <w:szCs w:val="20"/>
          <w:lang w:val="es-ES_tradnl"/>
        </w:rPr>
      </w:pPr>
      <w:r w:rsidRPr="00863196">
        <w:rPr>
          <w:rStyle w:val="Normal1"/>
          <w:rFonts w:ascii="Arial" w:hAnsi="Arial" w:cs="Arial"/>
          <w:b/>
          <w:sz w:val="20"/>
          <w:szCs w:val="20"/>
          <w:lang w:val="es-ES_tradnl"/>
        </w:rPr>
        <w:t>Discussion/</w:t>
      </w:r>
      <w:r w:rsidR="006B64B6" w:rsidRPr="00863196">
        <w:rPr>
          <w:rStyle w:val="Normal1"/>
          <w:rFonts w:ascii="Arial" w:hAnsi="Arial" w:cs="Arial"/>
          <w:b/>
          <w:sz w:val="20"/>
          <w:szCs w:val="20"/>
          <w:lang w:val="es-ES_tradnl"/>
        </w:rPr>
        <w:t xml:space="preserve">Conclusions: </w:t>
      </w:r>
      <w:r w:rsidR="006B64B6" w:rsidRPr="00863196">
        <w:rPr>
          <w:rStyle w:val="Normal1"/>
          <w:rFonts w:ascii="Arial" w:hAnsi="Arial" w:cs="Arial"/>
          <w:sz w:val="20"/>
          <w:szCs w:val="20"/>
          <w:lang w:val="es-ES_tradnl"/>
        </w:rPr>
        <w:t>The frequency of genetic defects in our patients was comparable to other similar studies. I</w:t>
      </w:r>
      <w:r w:rsidR="006B64B6" w:rsidRPr="00863196">
        <w:rPr>
          <w:rFonts w:ascii="Arial" w:eastAsia="Times New Roman" w:hAnsi="Arial" w:cs="Arial"/>
          <w:sz w:val="20"/>
          <w:szCs w:val="20"/>
          <w:lang w:val="es-ES_tradnl"/>
        </w:rPr>
        <w:t xml:space="preserve">n most cases there was a good correlation between genotype and phenotype, which highlights the concept that the molecular analysis of CYP21A2 provides useful information in terms of prediction of disease severity, genetic and prenatal counseling. </w:t>
      </w:r>
    </w:p>
    <w:p w:rsidR="006B64B6" w:rsidRPr="00863196" w:rsidRDefault="006B64B6" w:rsidP="001A66E0">
      <w:pPr>
        <w:rPr>
          <w:rStyle w:val="Normal1"/>
          <w:rFonts w:ascii="Arial" w:hAnsi="Arial" w:cs="Arial"/>
          <w:b/>
          <w:sz w:val="20"/>
          <w:szCs w:val="20"/>
          <w:lang w:val="es-ES_tradnl"/>
        </w:rPr>
      </w:pPr>
      <w:r w:rsidRPr="00863196">
        <w:rPr>
          <w:rStyle w:val="Normal1"/>
          <w:rFonts w:ascii="Arial" w:hAnsi="Arial" w:cs="Arial"/>
          <w:b/>
          <w:sz w:val="20"/>
          <w:szCs w:val="20"/>
          <w:lang w:val="es-ES_tradnl"/>
        </w:rPr>
        <w:t>Keywords:</w:t>
      </w:r>
      <w:r w:rsidR="00EB125B" w:rsidRPr="00863196">
        <w:rPr>
          <w:rStyle w:val="Normal1"/>
          <w:rFonts w:ascii="Arial" w:hAnsi="Arial" w:cs="Arial"/>
          <w:sz w:val="20"/>
          <w:szCs w:val="20"/>
          <w:lang w:val="es-ES_tradnl"/>
        </w:rPr>
        <w:t xml:space="preserve"> Congenital adrenal hyperplasia; CYP21A2; genotype;</w:t>
      </w:r>
      <w:r w:rsidRPr="00863196">
        <w:rPr>
          <w:rStyle w:val="Normal1"/>
          <w:rFonts w:ascii="Arial" w:hAnsi="Arial" w:cs="Arial"/>
          <w:sz w:val="20"/>
          <w:szCs w:val="20"/>
          <w:lang w:val="es-ES_tradnl"/>
        </w:rPr>
        <w:t xml:space="preserve"> phenotype</w:t>
      </w:r>
      <w:r w:rsidR="00E54A65">
        <w:rPr>
          <w:rStyle w:val="Normal1"/>
          <w:rFonts w:ascii="Arial" w:hAnsi="Arial" w:cs="Arial"/>
          <w:sz w:val="20"/>
          <w:szCs w:val="20"/>
          <w:lang w:val="es-ES_tradnl"/>
        </w:rPr>
        <w:t>.</w:t>
      </w:r>
    </w:p>
    <w:p w:rsidR="00812B8F" w:rsidRDefault="00812B8F">
      <w:pPr>
        <w:rPr>
          <w:rFonts w:ascii="Arial" w:hAnsi="Arial" w:cs="Arial"/>
          <w:b/>
          <w:bCs/>
          <w:sz w:val="20"/>
          <w:szCs w:val="20"/>
          <w:lang w:val="es-ES_tradnl"/>
        </w:rPr>
      </w:pPr>
      <w:r>
        <w:rPr>
          <w:rFonts w:ascii="Arial" w:hAnsi="Arial" w:cs="Arial"/>
          <w:b/>
          <w:bCs/>
          <w:sz w:val="20"/>
          <w:szCs w:val="20"/>
          <w:lang w:val="es-ES_tradnl"/>
        </w:rPr>
        <w:br w:type="page"/>
      </w:r>
    </w:p>
    <w:p w:rsidR="00F414BE" w:rsidRPr="00863196" w:rsidRDefault="00812B8F" w:rsidP="00812B8F">
      <w:pPr>
        <w:spacing w:line="360" w:lineRule="auto"/>
        <w:rPr>
          <w:rFonts w:ascii="Arial" w:hAnsi="Arial" w:cs="Arial"/>
          <w:b/>
          <w:bCs/>
          <w:sz w:val="20"/>
          <w:szCs w:val="20"/>
          <w:lang w:val="es-ES_tradnl"/>
        </w:rPr>
      </w:pPr>
      <w:r>
        <w:rPr>
          <w:rFonts w:ascii="Arial" w:hAnsi="Arial" w:cs="Arial"/>
          <w:b/>
          <w:bCs/>
          <w:sz w:val="20"/>
          <w:szCs w:val="20"/>
          <w:lang w:val="es-ES_tradnl"/>
        </w:rPr>
        <w:t>INTRODUÇÃO</w:t>
      </w:r>
    </w:p>
    <w:p w:rsidR="00574491" w:rsidRPr="00CA5489" w:rsidRDefault="00574491" w:rsidP="00812B8F">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A Hiperplasia congénita da suprarenal (HCSR) compreende um grupo de doenças hereditárias autosómicas recessivas que comprometem a síntese do cortisol. Trata-se de uma das patologias hereditárias mais comuns e cerca de 95% dos casos ocorrem por deficiência da enzima 21-hidroxílase</w:t>
      </w:r>
      <w:r w:rsidR="000F0060" w:rsidRPr="00CA5489">
        <w:rPr>
          <w:rFonts w:ascii="Arial" w:hAnsi="Arial" w:cs="Arial"/>
          <w:sz w:val="20"/>
          <w:szCs w:val="20"/>
          <w:lang w:val="pt-PT"/>
        </w:rPr>
        <w:t xml:space="preserve"> (21-OH)</w:t>
      </w:r>
      <w:r w:rsidR="008E020B" w:rsidRPr="00CA5489">
        <w:rPr>
          <w:rFonts w:ascii="Arial" w:hAnsi="Arial" w:cs="Arial"/>
          <w:sz w:val="20"/>
          <w:szCs w:val="20"/>
          <w:lang w:val="pt-PT"/>
        </w:rPr>
        <w:t>.</w:t>
      </w:r>
      <w:r w:rsidR="00191ED7" w:rsidRPr="00CA5489">
        <w:rPr>
          <w:rFonts w:ascii="Arial" w:hAnsi="Arial" w:cs="Arial"/>
          <w:sz w:val="20"/>
          <w:szCs w:val="20"/>
          <w:vertAlign w:val="superscript"/>
          <w:lang w:val="pt-PT"/>
        </w:rPr>
        <w:t>1</w:t>
      </w:r>
      <w:r w:rsidRPr="00CA5489">
        <w:rPr>
          <w:rFonts w:ascii="Arial" w:hAnsi="Arial" w:cs="Arial"/>
          <w:sz w:val="20"/>
          <w:szCs w:val="20"/>
          <w:lang w:val="pt-PT"/>
        </w:rPr>
        <w:t xml:space="preserve"> Esta enzima é responsável pela conversão da 17-hidroxiprogesterona (17-OHP) em 11-desoxicortisol, um precursor do cortisol, e da progesterona em desoxicortisona, um percursor da aldosterona</w:t>
      </w:r>
      <w:r w:rsidR="008E020B" w:rsidRPr="00CA5489">
        <w:rPr>
          <w:rFonts w:ascii="Arial" w:hAnsi="Arial" w:cs="Arial"/>
          <w:sz w:val="20"/>
          <w:szCs w:val="20"/>
          <w:lang w:val="pt-PT"/>
        </w:rPr>
        <w:t>.</w:t>
      </w:r>
      <w:r w:rsidRPr="00CA5489">
        <w:rPr>
          <w:rFonts w:ascii="Arial" w:hAnsi="Arial" w:cs="Arial"/>
          <w:sz w:val="20"/>
          <w:szCs w:val="20"/>
          <w:vertAlign w:val="superscript"/>
          <w:lang w:val="pt-PT"/>
        </w:rPr>
        <w:t>2</w:t>
      </w:r>
    </w:p>
    <w:p w:rsidR="000F0060" w:rsidRPr="00CA5489" w:rsidRDefault="000F0060" w:rsidP="00DF0C25">
      <w:pPr>
        <w:pStyle w:val="Default"/>
        <w:spacing w:line="360" w:lineRule="auto"/>
        <w:ind w:firstLine="720"/>
        <w:jc w:val="both"/>
        <w:rPr>
          <w:rFonts w:ascii="Arial" w:hAnsi="Arial" w:cs="Arial"/>
          <w:sz w:val="20"/>
          <w:szCs w:val="20"/>
          <w:vertAlign w:val="superscript"/>
          <w:lang w:val="pt-PT"/>
        </w:rPr>
      </w:pPr>
      <w:r w:rsidRPr="00CA5489">
        <w:rPr>
          <w:rFonts w:ascii="Arial" w:hAnsi="Arial" w:cs="Arial"/>
          <w:sz w:val="20"/>
          <w:szCs w:val="20"/>
          <w:lang w:val="pt-PT"/>
        </w:rPr>
        <w:t>O gene que codifica a 21-OH, o CYP21A2, localiza-se no braço curto do cromossoma 6, em estreita proximidade ao seu pseudogene e altamente homólogo, o CYP21A1P.</w:t>
      </w:r>
      <w:r w:rsidR="00191ED7" w:rsidRPr="00CA5489">
        <w:rPr>
          <w:rFonts w:ascii="Arial" w:hAnsi="Arial" w:cs="Arial"/>
          <w:sz w:val="20"/>
          <w:szCs w:val="20"/>
          <w:vertAlign w:val="superscript"/>
          <w:lang w:val="pt-PT"/>
        </w:rPr>
        <w:t>3</w:t>
      </w:r>
      <w:r w:rsidRPr="00CA5489">
        <w:rPr>
          <w:rFonts w:ascii="Arial" w:hAnsi="Arial" w:cs="Arial"/>
          <w:sz w:val="20"/>
          <w:szCs w:val="20"/>
          <w:lang w:val="pt-PT"/>
        </w:rPr>
        <w:t xml:space="preserve"> As mutações responsáveis pela deficiência de</w:t>
      </w:r>
      <w:r w:rsidR="00ED3528" w:rsidRPr="00CA5489">
        <w:rPr>
          <w:rFonts w:ascii="Arial" w:hAnsi="Arial" w:cs="Arial"/>
          <w:sz w:val="20"/>
          <w:szCs w:val="20"/>
          <w:lang w:val="pt-PT"/>
        </w:rPr>
        <w:t xml:space="preserve"> 21-OH resultam, tipicamente, da</w:t>
      </w:r>
      <w:r w:rsidRPr="00CA5489">
        <w:rPr>
          <w:rFonts w:ascii="Arial" w:hAnsi="Arial" w:cs="Arial"/>
          <w:sz w:val="20"/>
          <w:szCs w:val="20"/>
          <w:lang w:val="pt-PT"/>
        </w:rPr>
        <w:t xml:space="preserve"> recombinação desigual entre o CYPA21A2 e o CYP21AP1, designadas conversão de genes.</w:t>
      </w:r>
      <w:r w:rsidR="00EA3041" w:rsidRPr="00CA5489">
        <w:rPr>
          <w:rFonts w:ascii="Arial" w:hAnsi="Arial" w:cs="Arial"/>
          <w:sz w:val="20"/>
          <w:szCs w:val="20"/>
          <w:vertAlign w:val="superscript"/>
          <w:lang w:val="pt-PT"/>
        </w:rPr>
        <w:t>4</w:t>
      </w:r>
      <w:r w:rsidRPr="00CA5489">
        <w:rPr>
          <w:rFonts w:ascii="Arial" w:hAnsi="Arial" w:cs="Arial"/>
          <w:sz w:val="20"/>
          <w:szCs w:val="20"/>
          <w:lang w:val="pt-PT"/>
        </w:rPr>
        <w:t xml:space="preserve"> A maioria das mutações devem-se à transferência de sequências curtas do pseudogene para o CYPA21A2 durante a meiose.</w:t>
      </w:r>
      <w:r w:rsidR="00185394" w:rsidRPr="00CA5489">
        <w:rPr>
          <w:rFonts w:ascii="Arial" w:hAnsi="Arial" w:cs="Arial"/>
          <w:sz w:val="20"/>
          <w:szCs w:val="20"/>
          <w:vertAlign w:val="superscript"/>
          <w:lang w:val="pt-PT"/>
        </w:rPr>
        <w:t>5</w:t>
      </w:r>
      <w:r w:rsidRPr="00CA5489">
        <w:rPr>
          <w:rFonts w:ascii="Arial" w:hAnsi="Arial" w:cs="Arial"/>
          <w:sz w:val="20"/>
          <w:szCs w:val="20"/>
          <w:lang w:val="pt-PT"/>
        </w:rPr>
        <w:t xml:space="preserve"> Cerca de 75% dos doentes são heterozigóticos compostos para as mutações responsáveis pela doença e a gravidade</w:t>
      </w:r>
      <w:r w:rsidR="00E96FCA" w:rsidRPr="00CA5489">
        <w:rPr>
          <w:rFonts w:ascii="Arial" w:hAnsi="Arial" w:cs="Arial"/>
          <w:sz w:val="20"/>
          <w:szCs w:val="20"/>
          <w:lang w:val="pt-PT"/>
        </w:rPr>
        <w:t xml:space="preserve"> da doença é determinada pela a</w:t>
      </w:r>
      <w:r w:rsidRPr="00CA5489">
        <w:rPr>
          <w:rFonts w:ascii="Arial" w:hAnsi="Arial" w:cs="Arial"/>
          <w:sz w:val="20"/>
          <w:szCs w:val="20"/>
          <w:lang w:val="pt-PT"/>
        </w:rPr>
        <w:t>tividade do alelo que se encontra menos gravemente afecta</w:t>
      </w:r>
      <w:r w:rsidR="00E96FCA" w:rsidRPr="00CA5489">
        <w:rPr>
          <w:rFonts w:ascii="Arial" w:hAnsi="Arial" w:cs="Arial"/>
          <w:sz w:val="20"/>
          <w:szCs w:val="20"/>
          <w:lang w:val="pt-PT"/>
        </w:rPr>
        <w:t>do e, consequentemente, com a a</w:t>
      </w:r>
      <w:r w:rsidRPr="00CA5489">
        <w:rPr>
          <w:rFonts w:ascii="Arial" w:hAnsi="Arial" w:cs="Arial"/>
          <w:sz w:val="20"/>
          <w:szCs w:val="20"/>
          <w:lang w:val="pt-PT"/>
        </w:rPr>
        <w:t>ti</w:t>
      </w:r>
      <w:r w:rsidR="00703090" w:rsidRPr="00CA5489">
        <w:rPr>
          <w:rFonts w:ascii="Arial" w:hAnsi="Arial" w:cs="Arial"/>
          <w:sz w:val="20"/>
          <w:szCs w:val="20"/>
          <w:lang w:val="pt-PT"/>
        </w:rPr>
        <w:t>vidade residual da 21-OH.</w:t>
      </w:r>
      <w:r w:rsidRPr="00CA5489">
        <w:rPr>
          <w:rFonts w:ascii="Arial" w:hAnsi="Arial" w:cs="Arial"/>
          <w:sz w:val="20"/>
          <w:szCs w:val="20"/>
          <w:vertAlign w:val="superscript"/>
          <w:lang w:val="pt-PT"/>
        </w:rPr>
        <w:t>6-9</w:t>
      </w:r>
    </w:p>
    <w:p w:rsidR="00185394" w:rsidRPr="00CA5489" w:rsidRDefault="001E6F76" w:rsidP="00185394">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 xml:space="preserve">A HCSR classifica-se </w:t>
      </w:r>
      <w:r w:rsidR="00185394" w:rsidRPr="00CA5489">
        <w:rPr>
          <w:rFonts w:ascii="Arial" w:hAnsi="Arial" w:cs="Arial"/>
          <w:sz w:val="20"/>
          <w:szCs w:val="20"/>
          <w:lang w:val="pt-PT"/>
        </w:rPr>
        <w:t>em dois grupos: forma clássica e forma não clássica. A forma clássica é subdivida em forma clássica perdedora de sal (CPS) e forma clássica não perdedora de sal, também designada virilizante simples (CVS).</w:t>
      </w:r>
    </w:p>
    <w:p w:rsidR="00185394" w:rsidRPr="00CA5489" w:rsidRDefault="00185394" w:rsidP="00185394">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A forma clássica</w:t>
      </w:r>
      <w:r w:rsidR="00AF7C79" w:rsidRPr="00CA5489">
        <w:rPr>
          <w:rFonts w:ascii="Arial" w:hAnsi="Arial" w:cs="Arial"/>
          <w:sz w:val="20"/>
          <w:szCs w:val="20"/>
          <w:lang w:val="pt-PT"/>
        </w:rPr>
        <w:t xml:space="preserve"> ocorre em cerca de 1 em cada 7000-15</w:t>
      </w:r>
      <w:r w:rsidRPr="00CA5489">
        <w:rPr>
          <w:rFonts w:ascii="Arial" w:hAnsi="Arial" w:cs="Arial"/>
          <w:sz w:val="20"/>
          <w:szCs w:val="20"/>
          <w:lang w:val="pt-PT"/>
        </w:rPr>
        <w:t>000 nascimentos, na maioria das populações.</w:t>
      </w:r>
      <w:r w:rsidR="006431C4" w:rsidRPr="00CA5489">
        <w:rPr>
          <w:rFonts w:ascii="Arial" w:hAnsi="Arial" w:cs="Arial"/>
          <w:sz w:val="20"/>
          <w:szCs w:val="20"/>
          <w:vertAlign w:val="superscript"/>
          <w:lang w:val="pt-PT"/>
        </w:rPr>
        <w:t>10</w:t>
      </w:r>
      <w:r w:rsidRPr="00CA5489">
        <w:rPr>
          <w:rFonts w:ascii="Arial" w:hAnsi="Arial" w:cs="Arial"/>
          <w:sz w:val="20"/>
          <w:szCs w:val="20"/>
          <w:lang w:val="pt-PT"/>
        </w:rPr>
        <w:t xml:space="preserve"> A incidência da forma não clássica encontra-se menos definida, mas estima-se que seja aproxidamente 1 em cada 1000 nascimentos</w:t>
      </w:r>
      <w:r w:rsidR="006431C4" w:rsidRPr="00CA5489">
        <w:rPr>
          <w:rFonts w:ascii="Arial" w:hAnsi="Arial" w:cs="Arial"/>
          <w:sz w:val="20"/>
          <w:szCs w:val="20"/>
          <w:lang w:val="pt-PT"/>
        </w:rPr>
        <w:t>.</w:t>
      </w:r>
      <w:r w:rsidR="006431C4" w:rsidRPr="00CA5489">
        <w:rPr>
          <w:rFonts w:ascii="Arial" w:hAnsi="Arial" w:cs="Arial"/>
          <w:sz w:val="20"/>
          <w:szCs w:val="20"/>
          <w:vertAlign w:val="superscript"/>
          <w:lang w:val="pt-PT"/>
        </w:rPr>
        <w:t>11</w:t>
      </w:r>
    </w:p>
    <w:p w:rsidR="00185394" w:rsidRPr="00CA5489" w:rsidRDefault="00185394" w:rsidP="0057164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O que distingue a forma CPS da forma CVS é que</w:t>
      </w:r>
      <w:r w:rsidR="00907CE6" w:rsidRPr="00CA5489">
        <w:rPr>
          <w:rFonts w:ascii="Arial" w:hAnsi="Arial" w:cs="Arial"/>
          <w:sz w:val="20"/>
          <w:szCs w:val="20"/>
          <w:lang w:val="pt-PT"/>
        </w:rPr>
        <w:t>,</w:t>
      </w:r>
      <w:r w:rsidRPr="00CA5489">
        <w:rPr>
          <w:rFonts w:ascii="Arial" w:hAnsi="Arial" w:cs="Arial"/>
          <w:sz w:val="20"/>
          <w:szCs w:val="20"/>
          <w:lang w:val="pt-PT"/>
        </w:rPr>
        <w:t xml:space="preserve"> na primeira</w:t>
      </w:r>
      <w:r w:rsidR="00907CE6" w:rsidRPr="00CA5489">
        <w:rPr>
          <w:rFonts w:ascii="Arial" w:hAnsi="Arial" w:cs="Arial"/>
          <w:sz w:val="20"/>
          <w:szCs w:val="20"/>
          <w:lang w:val="pt-PT"/>
        </w:rPr>
        <w:t>,</w:t>
      </w:r>
      <w:r w:rsidRPr="00CA5489">
        <w:rPr>
          <w:rFonts w:ascii="Arial" w:hAnsi="Arial" w:cs="Arial"/>
          <w:sz w:val="20"/>
          <w:szCs w:val="20"/>
          <w:lang w:val="pt-PT"/>
        </w:rPr>
        <w:t xml:space="preserve"> os doentes são incapazes de sintetizar aldosterona suficiente </w:t>
      </w:r>
      <w:r w:rsidR="00354E11" w:rsidRPr="00CA5489">
        <w:rPr>
          <w:rFonts w:ascii="Arial" w:hAnsi="Arial" w:cs="Arial"/>
          <w:sz w:val="20"/>
          <w:szCs w:val="20"/>
          <w:highlight w:val="yellow"/>
          <w:lang w:val="pt-PT"/>
        </w:rPr>
        <w:t>para</w:t>
      </w:r>
      <w:r w:rsidR="00354E11" w:rsidRPr="00CA5489">
        <w:rPr>
          <w:rFonts w:ascii="Arial" w:hAnsi="Arial" w:cs="Arial"/>
          <w:sz w:val="20"/>
          <w:szCs w:val="20"/>
          <w:lang w:val="pt-PT"/>
        </w:rPr>
        <w:t xml:space="preserve"> </w:t>
      </w:r>
      <w:r w:rsidRPr="00CA5489">
        <w:rPr>
          <w:rFonts w:ascii="Arial" w:hAnsi="Arial" w:cs="Arial"/>
          <w:sz w:val="20"/>
          <w:szCs w:val="20"/>
          <w:lang w:val="pt-PT"/>
        </w:rPr>
        <w:t>manter o balanço de sódio.</w:t>
      </w:r>
      <w:r w:rsidR="00CF1FBF" w:rsidRPr="00CA5489">
        <w:rPr>
          <w:rFonts w:ascii="Arial" w:hAnsi="Arial" w:cs="Arial"/>
          <w:sz w:val="20"/>
          <w:szCs w:val="20"/>
          <w:vertAlign w:val="superscript"/>
          <w:lang w:val="pt-PT"/>
        </w:rPr>
        <w:t>6-9</w:t>
      </w:r>
      <w:r w:rsidRPr="00CA5489">
        <w:rPr>
          <w:rFonts w:ascii="Arial" w:hAnsi="Arial" w:cs="Arial"/>
          <w:sz w:val="20"/>
          <w:szCs w:val="20"/>
          <w:lang w:val="pt-PT"/>
        </w:rPr>
        <w:t xml:space="preserve"> Corresponde à forma mais grave da doença e afecta cerca de 75% dos indivíduos que manifestam a forma clássica</w:t>
      </w:r>
      <w:r w:rsidR="00CF1FBF" w:rsidRPr="00CA5489">
        <w:rPr>
          <w:rFonts w:ascii="Arial" w:hAnsi="Arial" w:cs="Arial"/>
          <w:sz w:val="20"/>
          <w:szCs w:val="20"/>
          <w:lang w:val="pt-PT"/>
        </w:rPr>
        <w:t>.</w:t>
      </w:r>
      <w:r w:rsidR="00CF1FBF" w:rsidRPr="00CA5489">
        <w:rPr>
          <w:rFonts w:ascii="Arial" w:hAnsi="Arial" w:cs="Arial"/>
          <w:sz w:val="20"/>
          <w:szCs w:val="20"/>
          <w:vertAlign w:val="superscript"/>
          <w:lang w:val="pt-PT"/>
        </w:rPr>
        <w:t>12</w:t>
      </w:r>
    </w:p>
    <w:p w:rsidR="00402959" w:rsidRPr="00CA5489" w:rsidRDefault="00402959" w:rsidP="00402959">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 xml:space="preserve">Para além dos sinais de virilização e hipocortisolismo, os doentes apresentam insuficiência mineralocorticóide, com predisposição para episódios de </w:t>
      </w:r>
      <w:r w:rsidR="001D3B37" w:rsidRPr="00CA5489">
        <w:rPr>
          <w:rFonts w:ascii="Arial" w:hAnsi="Arial" w:cs="Arial"/>
          <w:sz w:val="20"/>
          <w:szCs w:val="20"/>
          <w:highlight w:val="yellow"/>
          <w:lang w:val="pt-PT"/>
        </w:rPr>
        <w:t xml:space="preserve">hipotensão, </w:t>
      </w:r>
      <w:r w:rsidRPr="00CA5489">
        <w:rPr>
          <w:rFonts w:ascii="Arial" w:hAnsi="Arial" w:cs="Arial"/>
          <w:sz w:val="20"/>
          <w:szCs w:val="20"/>
          <w:lang w:val="pt-PT"/>
        </w:rPr>
        <w:t>desidratação hiponatrémica</w:t>
      </w:r>
      <w:r w:rsidR="00D639B0" w:rsidRPr="00CA5489">
        <w:rPr>
          <w:rFonts w:ascii="Arial" w:hAnsi="Arial" w:cs="Arial"/>
          <w:sz w:val="20"/>
          <w:szCs w:val="20"/>
          <w:lang w:val="pt-PT"/>
        </w:rPr>
        <w:t xml:space="preserve"> com hipercalémia</w:t>
      </w:r>
      <w:r w:rsidRPr="00CA5489">
        <w:rPr>
          <w:rFonts w:ascii="Arial" w:hAnsi="Arial" w:cs="Arial"/>
          <w:sz w:val="20"/>
          <w:szCs w:val="20"/>
          <w:lang w:val="pt-PT"/>
        </w:rPr>
        <w:t xml:space="preserve"> </w:t>
      </w:r>
      <w:r w:rsidR="001D3B37" w:rsidRPr="00CA5489">
        <w:rPr>
          <w:rFonts w:ascii="Arial" w:hAnsi="Arial" w:cs="Arial"/>
          <w:sz w:val="20"/>
          <w:szCs w:val="20"/>
          <w:highlight w:val="yellow"/>
          <w:lang w:val="pt-PT"/>
        </w:rPr>
        <w:t>e choque hipovolémico</w:t>
      </w:r>
      <w:r w:rsidR="001D3B37" w:rsidRPr="00CA5489">
        <w:rPr>
          <w:rFonts w:ascii="Arial" w:hAnsi="Arial" w:cs="Arial"/>
          <w:sz w:val="20"/>
          <w:szCs w:val="20"/>
          <w:lang w:val="pt-PT"/>
        </w:rPr>
        <w:t xml:space="preserve"> </w:t>
      </w:r>
      <w:r w:rsidRPr="00CA5489">
        <w:rPr>
          <w:rFonts w:ascii="Arial" w:hAnsi="Arial" w:cs="Arial"/>
          <w:sz w:val="20"/>
          <w:szCs w:val="20"/>
          <w:lang w:val="pt-PT"/>
        </w:rPr>
        <w:t>potencialmente fatais no período neonatal.</w:t>
      </w:r>
      <w:r w:rsidRPr="00CA5489">
        <w:rPr>
          <w:rFonts w:ascii="Arial" w:hAnsi="Arial" w:cs="Arial"/>
          <w:sz w:val="20"/>
          <w:szCs w:val="20"/>
          <w:vertAlign w:val="superscript"/>
          <w:lang w:val="pt-PT"/>
        </w:rPr>
        <w:t>6-9,12</w:t>
      </w:r>
      <w:r w:rsidRPr="00CA5489">
        <w:rPr>
          <w:rFonts w:ascii="Arial" w:hAnsi="Arial" w:cs="Arial"/>
          <w:sz w:val="20"/>
          <w:szCs w:val="20"/>
          <w:lang w:val="pt-PT"/>
        </w:rPr>
        <w:t xml:space="preserve"> No sexo feminino, o diagnóstico é habitualmente precoce pela presença virilização genital, secundária ao excesso de </w:t>
      </w:r>
      <w:r w:rsidR="00545559" w:rsidRPr="00CA5489">
        <w:rPr>
          <w:rFonts w:ascii="Arial" w:hAnsi="Arial" w:cs="Arial"/>
          <w:sz w:val="20"/>
          <w:szCs w:val="20"/>
          <w:lang w:val="pt-PT"/>
        </w:rPr>
        <w:t>androgénios durante a gestação</w:t>
      </w:r>
      <w:r w:rsidRPr="00CA5489">
        <w:rPr>
          <w:rFonts w:ascii="Arial" w:hAnsi="Arial" w:cs="Arial"/>
          <w:sz w:val="20"/>
          <w:szCs w:val="20"/>
          <w:lang w:val="pt-PT"/>
        </w:rPr>
        <w:t xml:space="preserve">. </w:t>
      </w:r>
      <w:r w:rsidR="00F57179" w:rsidRPr="00CA5489">
        <w:rPr>
          <w:rFonts w:ascii="Arial" w:hAnsi="Arial" w:cs="Arial"/>
          <w:sz w:val="20"/>
          <w:szCs w:val="20"/>
          <w:lang w:val="pt-PT"/>
        </w:rPr>
        <w:t>No</w:t>
      </w:r>
      <w:r w:rsidRPr="00CA5489">
        <w:rPr>
          <w:rFonts w:ascii="Arial" w:hAnsi="Arial" w:cs="Arial"/>
          <w:sz w:val="20"/>
          <w:szCs w:val="20"/>
          <w:lang w:val="pt-PT"/>
        </w:rPr>
        <w:t xml:space="preserve">s </w:t>
      </w:r>
      <w:r w:rsidR="007A60EC" w:rsidRPr="00CA5489">
        <w:rPr>
          <w:rFonts w:ascii="Arial" w:hAnsi="Arial" w:cs="Arial"/>
          <w:sz w:val="20"/>
          <w:szCs w:val="20"/>
          <w:lang w:val="pt-PT"/>
        </w:rPr>
        <w:t xml:space="preserve">recém-nascidos do sexo </w:t>
      </w:r>
      <w:r w:rsidR="00F57179" w:rsidRPr="00CA5489">
        <w:rPr>
          <w:rFonts w:ascii="Arial" w:hAnsi="Arial" w:cs="Arial"/>
          <w:sz w:val="20"/>
          <w:szCs w:val="20"/>
          <w:lang w:val="pt-PT"/>
        </w:rPr>
        <w:t>masculino</w:t>
      </w:r>
      <w:r w:rsidR="007A60EC" w:rsidRPr="00CA5489">
        <w:rPr>
          <w:rFonts w:ascii="Arial" w:hAnsi="Arial" w:cs="Arial"/>
          <w:sz w:val="20"/>
          <w:szCs w:val="20"/>
          <w:lang w:val="pt-PT"/>
        </w:rPr>
        <w:t xml:space="preserve"> </w:t>
      </w:r>
      <w:r w:rsidR="00F57179" w:rsidRPr="00CA5489">
        <w:rPr>
          <w:rFonts w:ascii="Arial" w:hAnsi="Arial" w:cs="Arial"/>
          <w:sz w:val="20"/>
          <w:szCs w:val="20"/>
          <w:lang w:val="pt-PT"/>
        </w:rPr>
        <w:t>as manifestações clínicas são mais subtis, como a</w:t>
      </w:r>
      <w:r w:rsidRPr="00CA5489">
        <w:rPr>
          <w:rFonts w:ascii="Arial" w:hAnsi="Arial" w:cs="Arial"/>
          <w:sz w:val="20"/>
          <w:szCs w:val="20"/>
          <w:lang w:val="pt-PT"/>
        </w:rPr>
        <w:t xml:space="preserve"> hiperpigmentação do escroto e dos genitais ao nascimento, dificuldades alimentares e má evolução ponderal. O diagnóstico pode ser mais tardio, podendo instalar-se uma crise adisoniana.</w:t>
      </w:r>
      <w:r w:rsidR="00F57179" w:rsidRPr="00CA5489">
        <w:rPr>
          <w:rFonts w:ascii="Arial" w:hAnsi="Arial" w:cs="Arial"/>
          <w:sz w:val="20"/>
          <w:szCs w:val="20"/>
          <w:vertAlign w:val="superscript"/>
          <w:lang w:val="pt-PT"/>
        </w:rPr>
        <w:t>6-9,12</w:t>
      </w:r>
    </w:p>
    <w:p w:rsidR="00791DEC" w:rsidRPr="00CA5489" w:rsidRDefault="00791DEC" w:rsidP="00791DEC">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A forma CVS cursa com sinais de</w:t>
      </w:r>
      <w:r w:rsidR="00571645" w:rsidRPr="00CA5489">
        <w:rPr>
          <w:rFonts w:ascii="Arial" w:hAnsi="Arial" w:cs="Arial"/>
          <w:sz w:val="20"/>
          <w:szCs w:val="20"/>
          <w:lang w:val="pt-PT"/>
        </w:rPr>
        <w:t xml:space="preserve"> virilização pré-natal dos geni</w:t>
      </w:r>
      <w:r w:rsidRPr="00CA5489">
        <w:rPr>
          <w:rFonts w:ascii="Arial" w:hAnsi="Arial" w:cs="Arial"/>
          <w:sz w:val="20"/>
          <w:szCs w:val="20"/>
          <w:lang w:val="pt-PT"/>
        </w:rPr>
        <w:t>tais externos no sexo feminino e por hipocortisolismo e pseudo-puberdade precoce em ambos os sexos.</w:t>
      </w:r>
      <w:r w:rsidR="000E085F" w:rsidRPr="00CA5489">
        <w:rPr>
          <w:rFonts w:ascii="Arial" w:hAnsi="Arial" w:cs="Arial"/>
          <w:sz w:val="20"/>
          <w:szCs w:val="20"/>
          <w:vertAlign w:val="superscript"/>
          <w:lang w:val="pt-PT"/>
        </w:rPr>
        <w:t>11,12</w:t>
      </w:r>
      <w:r w:rsidRPr="00CA5489">
        <w:rPr>
          <w:rFonts w:ascii="Arial" w:hAnsi="Arial" w:cs="Arial"/>
          <w:sz w:val="20"/>
          <w:szCs w:val="20"/>
          <w:lang w:val="pt-PT"/>
        </w:rPr>
        <w:t xml:space="preserve">  Pode manifestar-se por aceleração do crescimento e da maturação esquelética, crescimento do pénis nos rapazes e clitoromegalia nas meninas</w:t>
      </w:r>
      <w:r w:rsidR="00F6133C" w:rsidRPr="00CA5489">
        <w:rPr>
          <w:rFonts w:ascii="Arial" w:hAnsi="Arial" w:cs="Arial"/>
          <w:sz w:val="20"/>
          <w:szCs w:val="20"/>
          <w:lang w:val="pt-PT"/>
        </w:rPr>
        <w:t>.</w:t>
      </w:r>
      <w:r w:rsidR="00F6133C" w:rsidRPr="00CA5489">
        <w:rPr>
          <w:rFonts w:ascii="Arial" w:hAnsi="Arial" w:cs="Arial"/>
          <w:sz w:val="20"/>
          <w:szCs w:val="20"/>
          <w:vertAlign w:val="superscript"/>
          <w:lang w:val="pt-PT"/>
        </w:rPr>
        <w:t>7,11,12</w:t>
      </w:r>
    </w:p>
    <w:p w:rsidR="00791DEC" w:rsidRPr="00CA5489" w:rsidRDefault="00791DEC" w:rsidP="00791DEC">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A forma mais ligeira é designada não clássica (NC) ou de início tardio. Não se manifesta por virilização genital neonatal, mas sim por sinais de hiperandrogenismo numa fase mais tardia. Na infância pode manifestar-se por aparecimento de pêlo púbico, acne e aceleração da idade óssea; na adolescência por acne, hirsutismo e irregularidades menstruais. No sexo masculino pode ser assintomática.</w:t>
      </w:r>
      <w:r w:rsidR="00B31C71" w:rsidRPr="00CA5489">
        <w:rPr>
          <w:rFonts w:ascii="Arial" w:hAnsi="Arial" w:cs="Arial"/>
          <w:sz w:val="20"/>
          <w:szCs w:val="20"/>
          <w:vertAlign w:val="superscript"/>
          <w:lang w:val="pt-PT"/>
        </w:rPr>
        <w:t>11,12</w:t>
      </w:r>
      <w:r w:rsidRPr="00CA5489">
        <w:rPr>
          <w:rFonts w:ascii="Arial" w:hAnsi="Arial" w:cs="Arial"/>
          <w:sz w:val="20"/>
          <w:szCs w:val="20"/>
          <w:lang w:val="pt-PT"/>
        </w:rPr>
        <w:t xml:space="preserve"> </w:t>
      </w:r>
    </w:p>
    <w:p w:rsidR="001827AC" w:rsidRPr="00CA5489" w:rsidRDefault="001827AC" w:rsidP="001827AC">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A</w:t>
      </w:r>
      <w:r w:rsidR="00F07B47" w:rsidRPr="00CA5489">
        <w:rPr>
          <w:rFonts w:ascii="Arial" w:hAnsi="Arial" w:cs="Arial"/>
          <w:sz w:val="20"/>
          <w:szCs w:val="20"/>
          <w:lang w:val="pt-PT"/>
        </w:rPr>
        <w:t xml:space="preserve"> alteração bioquímica mais carac</w:t>
      </w:r>
      <w:r w:rsidRPr="00CA5489">
        <w:rPr>
          <w:rFonts w:ascii="Arial" w:hAnsi="Arial" w:cs="Arial"/>
          <w:sz w:val="20"/>
          <w:szCs w:val="20"/>
          <w:lang w:val="pt-PT"/>
        </w:rPr>
        <w:t>terística da defi</w:t>
      </w:r>
      <w:r w:rsidR="001E1B46" w:rsidRPr="00CA5489">
        <w:rPr>
          <w:rFonts w:ascii="Arial" w:hAnsi="Arial" w:cs="Arial"/>
          <w:sz w:val="20"/>
          <w:szCs w:val="20"/>
          <w:lang w:val="pt-PT"/>
        </w:rPr>
        <w:t>ci</w:t>
      </w:r>
      <w:r w:rsidRPr="00CA5489">
        <w:rPr>
          <w:rFonts w:ascii="Arial" w:hAnsi="Arial" w:cs="Arial"/>
          <w:sz w:val="20"/>
          <w:szCs w:val="20"/>
          <w:lang w:val="pt-PT"/>
        </w:rPr>
        <w:t>ência de 21-</w:t>
      </w:r>
      <w:r w:rsidR="00B62CE7" w:rsidRPr="00CA5489">
        <w:rPr>
          <w:rFonts w:ascii="Arial" w:hAnsi="Arial" w:cs="Arial"/>
          <w:sz w:val="20"/>
          <w:szCs w:val="20"/>
          <w:lang w:val="pt-PT"/>
        </w:rPr>
        <w:t>OH</w:t>
      </w:r>
      <w:r w:rsidRPr="00CA5489">
        <w:rPr>
          <w:rFonts w:ascii="Arial" w:hAnsi="Arial" w:cs="Arial"/>
          <w:sz w:val="20"/>
          <w:szCs w:val="20"/>
          <w:lang w:val="pt-PT"/>
        </w:rPr>
        <w:t xml:space="preserve"> é a elevação da 17-OHP, o principal substrato da enzima. Os valores basais </w:t>
      </w:r>
      <w:r w:rsidR="00AF7C79" w:rsidRPr="00CA5489">
        <w:rPr>
          <w:rFonts w:ascii="Arial" w:hAnsi="Arial" w:cs="Arial"/>
          <w:sz w:val="20"/>
          <w:szCs w:val="20"/>
          <w:lang w:val="pt-PT"/>
        </w:rPr>
        <w:t>da 17-OHP geralmente excedem 10</w:t>
      </w:r>
      <w:r w:rsidRPr="00CA5489">
        <w:rPr>
          <w:rFonts w:ascii="Arial" w:hAnsi="Arial" w:cs="Arial"/>
          <w:sz w:val="20"/>
          <w:szCs w:val="20"/>
          <w:lang w:val="pt-PT"/>
        </w:rPr>
        <w:t>000 ng/dL, embora cerca de 10% dos recém-nascidos possam apresentar níveis incialmente normais no período neonatal, especialmente se obtidos no primeiro dia de vida. Na forma não clássica, a 17-OHP basal pode ser normal ou ligeiramente elevada, mas mostra elevação significativa após pro</w:t>
      </w:r>
      <w:r w:rsidR="00AF7C79" w:rsidRPr="00CA5489">
        <w:rPr>
          <w:rFonts w:ascii="Arial" w:hAnsi="Arial" w:cs="Arial"/>
          <w:sz w:val="20"/>
          <w:szCs w:val="20"/>
          <w:lang w:val="pt-PT"/>
        </w:rPr>
        <w:t>va de estimulação com a ACTH (1500 a 10</w:t>
      </w:r>
      <w:r w:rsidRPr="00CA5489">
        <w:rPr>
          <w:rFonts w:ascii="Arial" w:hAnsi="Arial" w:cs="Arial"/>
          <w:sz w:val="20"/>
          <w:szCs w:val="20"/>
          <w:lang w:val="pt-PT"/>
        </w:rPr>
        <w:t>000</w:t>
      </w:r>
      <w:r w:rsidR="000268CD" w:rsidRPr="00CA5489">
        <w:rPr>
          <w:rFonts w:ascii="Arial" w:hAnsi="Arial" w:cs="Arial"/>
          <w:sz w:val="20"/>
          <w:szCs w:val="20"/>
          <w:lang w:val="pt-PT"/>
        </w:rPr>
        <w:t xml:space="preserve"> </w:t>
      </w:r>
      <w:r w:rsidRPr="00CA5489">
        <w:rPr>
          <w:rFonts w:ascii="Arial" w:hAnsi="Arial" w:cs="Arial"/>
          <w:sz w:val="20"/>
          <w:szCs w:val="20"/>
          <w:lang w:val="pt-PT"/>
        </w:rPr>
        <w:t>ng/dL)</w:t>
      </w:r>
      <w:r w:rsidR="000268CD" w:rsidRPr="00CA5489">
        <w:rPr>
          <w:rFonts w:ascii="Arial" w:hAnsi="Arial" w:cs="Arial"/>
          <w:sz w:val="20"/>
          <w:szCs w:val="20"/>
          <w:lang w:val="pt-PT"/>
        </w:rPr>
        <w:t>.</w:t>
      </w:r>
      <w:r w:rsidR="000268CD" w:rsidRPr="00CA5489">
        <w:rPr>
          <w:rFonts w:ascii="Arial" w:hAnsi="Arial" w:cs="Arial"/>
          <w:sz w:val="20"/>
          <w:szCs w:val="20"/>
          <w:vertAlign w:val="superscript"/>
          <w:lang w:val="pt-PT"/>
        </w:rPr>
        <w:t>12</w:t>
      </w:r>
      <w:r w:rsidRPr="00CA5489">
        <w:rPr>
          <w:rFonts w:ascii="Arial" w:hAnsi="Arial" w:cs="Arial"/>
          <w:sz w:val="20"/>
          <w:szCs w:val="20"/>
          <w:vertAlign w:val="superscript"/>
          <w:lang w:val="pt-PT"/>
        </w:rPr>
        <w:t xml:space="preserve"> </w:t>
      </w:r>
    </w:p>
    <w:p w:rsidR="001827AC" w:rsidRPr="00CA5489" w:rsidRDefault="001827AC" w:rsidP="001827AC">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Vários estudos analisaram a correlação entre o genótipo CYP21A2 e o fenótipo</w:t>
      </w:r>
      <w:r w:rsidRPr="00CA5489">
        <w:rPr>
          <w:rFonts w:ascii="Arial" w:hAnsi="Arial" w:cs="Arial"/>
          <w:sz w:val="20"/>
          <w:szCs w:val="20"/>
          <w:vertAlign w:val="superscript"/>
          <w:lang w:val="pt-PT"/>
        </w:rPr>
        <w:t>6,7,9</w:t>
      </w:r>
      <w:r w:rsidRPr="00CA5489">
        <w:rPr>
          <w:rFonts w:ascii="Arial" w:hAnsi="Arial" w:cs="Arial"/>
          <w:sz w:val="20"/>
          <w:szCs w:val="20"/>
          <w:lang w:val="pt-PT"/>
        </w:rPr>
        <w:t xml:space="preserve"> e concluíram que esta era elevada (80-90%), embora não seja sempre possível prever o fenótipo com base no genótipo.</w:t>
      </w:r>
      <w:r w:rsidR="000D26CD" w:rsidRPr="00CA5489">
        <w:rPr>
          <w:rFonts w:ascii="Arial" w:hAnsi="Arial" w:cs="Arial"/>
          <w:sz w:val="20"/>
          <w:szCs w:val="20"/>
          <w:vertAlign w:val="superscript"/>
          <w:lang w:val="pt-PT"/>
        </w:rPr>
        <w:t>8,13</w:t>
      </w:r>
      <w:r w:rsidRPr="00CA5489">
        <w:rPr>
          <w:rFonts w:ascii="Arial" w:hAnsi="Arial" w:cs="Arial"/>
          <w:sz w:val="20"/>
          <w:szCs w:val="20"/>
          <w:lang w:val="pt-PT"/>
        </w:rPr>
        <w:t xml:space="preserve"> </w:t>
      </w:r>
    </w:p>
    <w:p w:rsidR="005F4476" w:rsidRPr="00863196" w:rsidRDefault="001827AC" w:rsidP="001827AC">
      <w:pPr>
        <w:pStyle w:val="Default"/>
        <w:spacing w:line="360" w:lineRule="auto"/>
        <w:ind w:firstLine="720"/>
        <w:jc w:val="both"/>
        <w:rPr>
          <w:rFonts w:ascii="Arial" w:hAnsi="Arial" w:cs="Arial"/>
          <w:sz w:val="20"/>
          <w:szCs w:val="20"/>
          <w:lang w:val="es-ES_tradnl"/>
        </w:rPr>
      </w:pPr>
      <w:r w:rsidRPr="00CA5489">
        <w:rPr>
          <w:rFonts w:ascii="Arial" w:hAnsi="Arial" w:cs="Arial"/>
          <w:sz w:val="20"/>
          <w:szCs w:val="20"/>
          <w:lang w:val="pt-PT"/>
        </w:rPr>
        <w:t>Neste estudo pretende-se descrever o espectro de mutações do gene CYP21A2 em doentes com hiperplasia congénita da suprarrenal e avaliar a correlação genótipo-f</w:t>
      </w:r>
      <w:r w:rsidR="00FF316A" w:rsidRPr="00CA5489">
        <w:rPr>
          <w:rFonts w:ascii="Arial" w:hAnsi="Arial" w:cs="Arial"/>
          <w:sz w:val="20"/>
          <w:szCs w:val="20"/>
          <w:lang w:val="pt-PT"/>
        </w:rPr>
        <w:t>enótipo numa coorte de doentes p</w:t>
      </w:r>
      <w:r w:rsidRPr="00CA5489">
        <w:rPr>
          <w:rFonts w:ascii="Arial" w:hAnsi="Arial" w:cs="Arial"/>
          <w:sz w:val="20"/>
          <w:szCs w:val="20"/>
          <w:lang w:val="pt-PT"/>
        </w:rPr>
        <w:t>ortugueses com deficiência de 21-hidroxílase, em idade pediátrica</w:t>
      </w:r>
      <w:r w:rsidR="00E14ABA" w:rsidRPr="00CA5489">
        <w:rPr>
          <w:rFonts w:ascii="Arial" w:hAnsi="Arial" w:cs="Arial"/>
          <w:sz w:val="20"/>
          <w:szCs w:val="20"/>
          <w:lang w:val="pt-PT"/>
        </w:rPr>
        <w:t>.</w:t>
      </w:r>
    </w:p>
    <w:p w:rsidR="00791DEC" w:rsidRPr="00863196" w:rsidRDefault="00791DEC" w:rsidP="000C4EED">
      <w:pPr>
        <w:pStyle w:val="Default"/>
        <w:spacing w:line="360" w:lineRule="auto"/>
        <w:ind w:firstLine="720"/>
        <w:jc w:val="both"/>
        <w:rPr>
          <w:rFonts w:ascii="Arial" w:hAnsi="Arial" w:cs="Arial"/>
          <w:sz w:val="20"/>
          <w:szCs w:val="20"/>
          <w:lang w:val="es-ES_tradnl"/>
        </w:rPr>
      </w:pPr>
    </w:p>
    <w:p w:rsidR="006E6DFE" w:rsidRPr="00FF316A" w:rsidRDefault="00FF316A" w:rsidP="00045735">
      <w:pPr>
        <w:pStyle w:val="Default"/>
        <w:spacing w:line="360" w:lineRule="auto"/>
        <w:jc w:val="both"/>
        <w:rPr>
          <w:rFonts w:ascii="Arial" w:hAnsi="Arial" w:cs="Arial"/>
          <w:bCs/>
          <w:sz w:val="20"/>
          <w:szCs w:val="20"/>
          <w:lang w:val="es-ES_tradnl"/>
        </w:rPr>
      </w:pPr>
      <w:r w:rsidRPr="00863196">
        <w:rPr>
          <w:rFonts w:ascii="Arial" w:hAnsi="Arial" w:cs="Arial"/>
          <w:b/>
          <w:bCs/>
          <w:sz w:val="20"/>
          <w:szCs w:val="20"/>
          <w:lang w:val="es-ES_tradnl"/>
        </w:rPr>
        <w:t>MATERIAL E MÉTODOS:</w:t>
      </w:r>
      <w:r w:rsidRPr="00863196">
        <w:rPr>
          <w:rFonts w:ascii="Arial" w:hAnsi="Arial" w:cs="Arial"/>
          <w:bCs/>
          <w:sz w:val="20"/>
          <w:szCs w:val="20"/>
          <w:lang w:val="es-ES_tradnl"/>
        </w:rPr>
        <w:t xml:space="preserve"> </w:t>
      </w:r>
    </w:p>
    <w:p w:rsidR="00616DDF" w:rsidRPr="00CA5489" w:rsidRDefault="00CD1325" w:rsidP="00616DDF">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Estudo retrospetivo, que incluiu 22 crianças</w:t>
      </w:r>
      <w:r w:rsidR="00854D91" w:rsidRPr="00CA5489">
        <w:rPr>
          <w:rFonts w:ascii="Arial" w:hAnsi="Arial" w:cs="Arial"/>
          <w:sz w:val="20"/>
          <w:szCs w:val="20"/>
          <w:lang w:val="pt-PT"/>
        </w:rPr>
        <w:t xml:space="preserve"> em </w:t>
      </w:r>
      <w:r w:rsidR="00854D91" w:rsidRPr="00CA5489">
        <w:rPr>
          <w:rFonts w:ascii="Arial" w:hAnsi="Arial" w:cs="Arial"/>
          <w:sz w:val="20"/>
          <w:szCs w:val="20"/>
          <w:highlight w:val="yellow"/>
          <w:lang w:val="pt-PT"/>
        </w:rPr>
        <w:t>idade pediátrica</w:t>
      </w:r>
      <w:r w:rsidR="00ED39FB" w:rsidRPr="00CA5489">
        <w:rPr>
          <w:rFonts w:ascii="Arial" w:hAnsi="Arial" w:cs="Arial"/>
          <w:sz w:val="20"/>
          <w:szCs w:val="20"/>
          <w:lang w:val="pt-PT"/>
        </w:rPr>
        <w:t xml:space="preserve"> </w:t>
      </w:r>
      <w:r w:rsidRPr="00CA5489">
        <w:rPr>
          <w:rFonts w:ascii="Arial" w:hAnsi="Arial" w:cs="Arial"/>
          <w:sz w:val="20"/>
          <w:szCs w:val="20"/>
          <w:lang w:val="pt-PT"/>
        </w:rPr>
        <w:t>com critérios clínicos e laboratoriais de deficência de 21-</w:t>
      </w:r>
      <w:r w:rsidR="00C537DA" w:rsidRPr="00CA5489">
        <w:rPr>
          <w:rFonts w:ascii="Arial" w:hAnsi="Arial" w:cs="Arial"/>
          <w:sz w:val="20"/>
          <w:szCs w:val="20"/>
          <w:lang w:val="pt-PT"/>
        </w:rPr>
        <w:t>OH</w:t>
      </w:r>
      <w:r w:rsidRPr="00CA5489">
        <w:rPr>
          <w:rFonts w:ascii="Arial" w:hAnsi="Arial" w:cs="Arial"/>
          <w:sz w:val="20"/>
          <w:szCs w:val="20"/>
          <w:lang w:val="pt-PT"/>
        </w:rPr>
        <w:t xml:space="preserve">, seguidas na Unidade de Endocrinologia do Centro Hospitalar do Porto entre </w:t>
      </w:r>
      <w:r w:rsidR="00C34852" w:rsidRPr="00CA5489">
        <w:rPr>
          <w:rFonts w:ascii="Arial" w:hAnsi="Arial" w:cs="Arial"/>
          <w:sz w:val="20"/>
          <w:szCs w:val="20"/>
          <w:lang w:val="pt-PT"/>
        </w:rPr>
        <w:t>2000 e 2013</w:t>
      </w:r>
      <w:r w:rsidR="00F20360" w:rsidRPr="00CA5489">
        <w:rPr>
          <w:rFonts w:ascii="Arial" w:hAnsi="Arial" w:cs="Arial"/>
          <w:sz w:val="20"/>
          <w:szCs w:val="20"/>
          <w:lang w:val="pt-PT"/>
        </w:rPr>
        <w:t>.</w:t>
      </w:r>
    </w:p>
    <w:p w:rsidR="0072387A" w:rsidRPr="00CA5489" w:rsidRDefault="00CD1325" w:rsidP="00616DDF">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O estudo mo</w:t>
      </w:r>
      <w:r w:rsidR="00C067C4" w:rsidRPr="00CA5489">
        <w:rPr>
          <w:rFonts w:ascii="Arial" w:hAnsi="Arial" w:cs="Arial"/>
          <w:sz w:val="20"/>
          <w:szCs w:val="20"/>
          <w:lang w:val="pt-PT"/>
        </w:rPr>
        <w:t>lecular do gene CYP21A2 foi efe</w:t>
      </w:r>
      <w:r w:rsidRPr="00CA5489">
        <w:rPr>
          <w:rFonts w:ascii="Arial" w:hAnsi="Arial" w:cs="Arial"/>
          <w:sz w:val="20"/>
          <w:szCs w:val="20"/>
          <w:lang w:val="pt-PT"/>
        </w:rPr>
        <w:t xml:space="preserve">tuado </w:t>
      </w:r>
      <w:r w:rsidR="00F01441" w:rsidRPr="00CA5489">
        <w:rPr>
          <w:rFonts w:ascii="Arial" w:hAnsi="Arial" w:cs="Arial"/>
          <w:sz w:val="20"/>
          <w:szCs w:val="20"/>
          <w:lang w:val="pt-PT"/>
        </w:rPr>
        <w:t>nos 22</w:t>
      </w:r>
      <w:r w:rsidRPr="00CA5489">
        <w:rPr>
          <w:rFonts w:ascii="Arial" w:hAnsi="Arial" w:cs="Arial"/>
          <w:sz w:val="20"/>
          <w:szCs w:val="20"/>
          <w:lang w:val="pt-PT"/>
        </w:rPr>
        <w:t xml:space="preserve"> doentes, a partir da extração de DNA de sangue periférico. Foram analisadas as mutações mais comuns e as deleções/conversões no gene do CYP21A2: P30L (exão 1), I2 splice (intrão 2), I172N (exão 4), V281L (exão 7), Q318X e R356W (exão 8), cluster E6 (exão 6), P453S (exão 10)</w:t>
      </w:r>
      <w:r w:rsidR="005B3703" w:rsidRPr="00CA5489">
        <w:rPr>
          <w:rFonts w:ascii="Arial" w:hAnsi="Arial" w:cs="Arial"/>
          <w:sz w:val="20"/>
          <w:szCs w:val="20"/>
          <w:lang w:val="pt-PT"/>
        </w:rPr>
        <w:t>.</w:t>
      </w:r>
      <w:r w:rsidR="0063375B" w:rsidRPr="00CA5489">
        <w:rPr>
          <w:rFonts w:ascii="Arial" w:hAnsi="Arial" w:cs="Arial"/>
          <w:sz w:val="20"/>
          <w:szCs w:val="20"/>
          <w:lang w:val="pt-PT"/>
        </w:rPr>
        <w:t xml:space="preserve"> </w:t>
      </w:r>
    </w:p>
    <w:p w:rsidR="00CD1325" w:rsidRPr="00CA5489" w:rsidRDefault="008E13EF" w:rsidP="00616DDF">
      <w:pPr>
        <w:pStyle w:val="Default"/>
        <w:spacing w:line="360" w:lineRule="auto"/>
        <w:ind w:firstLine="720"/>
        <w:jc w:val="both"/>
        <w:rPr>
          <w:rFonts w:ascii="Arial" w:hAnsi="Arial" w:cs="Arial"/>
          <w:sz w:val="20"/>
          <w:szCs w:val="20"/>
          <w:lang w:val="pt-PT"/>
        </w:rPr>
      </w:pPr>
      <w:r w:rsidRPr="00CA5489">
        <w:rPr>
          <w:rFonts w:ascii="Arial" w:hAnsi="Arial" w:cs="Arial"/>
          <w:sz w:val="20"/>
          <w:szCs w:val="20"/>
          <w:highlight w:val="yellow"/>
          <w:lang w:val="pt-PT"/>
        </w:rPr>
        <w:t>O estudo molecular não inclui</w:t>
      </w:r>
      <w:r w:rsidR="0072387A" w:rsidRPr="00CA5489">
        <w:rPr>
          <w:rFonts w:ascii="Arial" w:hAnsi="Arial" w:cs="Arial"/>
          <w:sz w:val="20"/>
          <w:szCs w:val="20"/>
          <w:highlight w:val="yellow"/>
          <w:lang w:val="pt-PT"/>
        </w:rPr>
        <w:t>u a</w:t>
      </w:r>
      <w:r w:rsidR="0063375B" w:rsidRPr="00CA5489">
        <w:rPr>
          <w:rFonts w:ascii="Arial" w:hAnsi="Arial" w:cs="Arial"/>
          <w:sz w:val="20"/>
          <w:szCs w:val="20"/>
          <w:highlight w:val="yellow"/>
          <w:lang w:val="pt-PT"/>
        </w:rPr>
        <w:t xml:space="preserve"> sequenciaçã</w:t>
      </w:r>
      <w:r w:rsidR="0072387A" w:rsidRPr="00CA5489">
        <w:rPr>
          <w:rFonts w:ascii="Arial" w:hAnsi="Arial" w:cs="Arial"/>
          <w:sz w:val="20"/>
          <w:szCs w:val="20"/>
          <w:highlight w:val="yellow"/>
          <w:lang w:val="pt-PT"/>
        </w:rPr>
        <w:t>o de todo o gene nos casos em que não foram encontradas mutações.</w:t>
      </w:r>
    </w:p>
    <w:p w:rsidR="00A42190" w:rsidRPr="00CA5489" w:rsidRDefault="00AD00DE" w:rsidP="00A42190">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A pesquisa de grandes dele</w:t>
      </w:r>
      <w:r w:rsidR="00A42190" w:rsidRPr="00CA5489">
        <w:rPr>
          <w:rFonts w:ascii="Arial" w:hAnsi="Arial" w:cs="Arial"/>
          <w:sz w:val="20"/>
          <w:szCs w:val="20"/>
          <w:lang w:val="pt-PT"/>
        </w:rPr>
        <w:t xml:space="preserve">ções/conversões no gene CYP21A2 foi realizada através da técnica de multiplex ligation-dependent probe amplification (MRC Holland). </w:t>
      </w:r>
    </w:p>
    <w:p w:rsidR="00A42190" w:rsidRPr="00CA5489" w:rsidRDefault="00A42190" w:rsidP="00A42190">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 xml:space="preserve">A classificação fenotípica dos doentes foi determinada </w:t>
      </w:r>
      <w:r w:rsidR="00805B3D" w:rsidRPr="00CA5489">
        <w:rPr>
          <w:rFonts w:ascii="Arial" w:hAnsi="Arial" w:cs="Arial"/>
          <w:sz w:val="20"/>
          <w:szCs w:val="20"/>
          <w:highlight w:val="yellow"/>
          <w:lang w:val="pt-PT"/>
        </w:rPr>
        <w:t>após revisão em conjunto</w:t>
      </w:r>
      <w:r w:rsidR="004E6F10" w:rsidRPr="00CA5489">
        <w:rPr>
          <w:rFonts w:ascii="Arial" w:hAnsi="Arial" w:cs="Arial"/>
          <w:sz w:val="20"/>
          <w:szCs w:val="20"/>
          <w:highlight w:val="yellow"/>
          <w:lang w:val="pt-PT"/>
        </w:rPr>
        <w:t xml:space="preserve"> pelos três Endocrinologistas Pediátricos da Unidade, </w:t>
      </w:r>
      <w:r w:rsidR="006C402F" w:rsidRPr="00CA5489">
        <w:rPr>
          <w:rFonts w:ascii="Arial" w:hAnsi="Arial" w:cs="Arial"/>
          <w:sz w:val="20"/>
          <w:szCs w:val="20"/>
          <w:highlight w:val="yellow"/>
          <w:lang w:val="pt-PT"/>
        </w:rPr>
        <w:t>baseada</w:t>
      </w:r>
      <w:r w:rsidRPr="00CA5489">
        <w:rPr>
          <w:rFonts w:ascii="Arial" w:hAnsi="Arial" w:cs="Arial"/>
          <w:sz w:val="20"/>
          <w:szCs w:val="20"/>
          <w:lang w:val="pt-PT"/>
        </w:rPr>
        <w:t xml:space="preserve"> em critérios clínicos e hormonais, através da </w:t>
      </w:r>
      <w:r w:rsidR="00404D54" w:rsidRPr="00CA5489">
        <w:rPr>
          <w:rFonts w:ascii="Arial" w:hAnsi="Arial" w:cs="Arial"/>
          <w:sz w:val="20"/>
          <w:szCs w:val="20"/>
          <w:highlight w:val="yellow"/>
          <w:lang w:val="pt-PT"/>
        </w:rPr>
        <w:t>análise</w:t>
      </w:r>
      <w:r w:rsidRPr="00CA5489">
        <w:rPr>
          <w:rFonts w:ascii="Arial" w:hAnsi="Arial" w:cs="Arial"/>
          <w:sz w:val="20"/>
          <w:szCs w:val="20"/>
          <w:lang w:val="pt-PT"/>
        </w:rPr>
        <w:t xml:space="preserve"> retrospetiva do registo clínico. Na presença de sinais clínicos e bioquímicos evidentes de crise adrenérgica </w:t>
      </w:r>
      <w:r w:rsidRPr="00CA5489">
        <w:rPr>
          <w:rFonts w:ascii="Arial" w:hAnsi="Arial" w:cs="Arial"/>
          <w:sz w:val="20"/>
          <w:szCs w:val="20"/>
          <w:highlight w:val="yellow"/>
          <w:lang w:val="pt-PT"/>
        </w:rPr>
        <w:t>(</w:t>
      </w:r>
      <w:r w:rsidRPr="00CA5489">
        <w:rPr>
          <w:rFonts w:ascii="Arial" w:hAnsi="Arial" w:cs="Arial"/>
          <w:strike/>
          <w:sz w:val="20"/>
          <w:szCs w:val="20"/>
          <w:highlight w:val="yellow"/>
          <w:lang w:val="pt-PT"/>
        </w:rPr>
        <w:t>virilização dos genitais externos,</w:t>
      </w:r>
      <w:r w:rsidRPr="00CA5489">
        <w:rPr>
          <w:rFonts w:ascii="Arial" w:hAnsi="Arial" w:cs="Arial"/>
          <w:sz w:val="20"/>
          <w:szCs w:val="20"/>
          <w:lang w:val="pt-PT"/>
        </w:rPr>
        <w:t xml:space="preserve"> má evolução ponderal,</w:t>
      </w:r>
      <w:r w:rsidR="00E96FCA" w:rsidRPr="00CA5489">
        <w:rPr>
          <w:rFonts w:ascii="Arial" w:hAnsi="Arial" w:cs="Arial"/>
          <w:sz w:val="20"/>
          <w:szCs w:val="20"/>
          <w:lang w:val="pt-PT"/>
        </w:rPr>
        <w:t xml:space="preserve"> hiponatrémia, hipercalémia e </w:t>
      </w:r>
      <w:r w:rsidR="00E96FCA" w:rsidRPr="00CA5489">
        <w:rPr>
          <w:rFonts w:ascii="Arial" w:hAnsi="Arial" w:cs="Arial"/>
          <w:strike/>
          <w:sz w:val="20"/>
          <w:szCs w:val="20"/>
          <w:highlight w:val="yellow"/>
          <w:lang w:val="pt-PT"/>
        </w:rPr>
        <w:t>a</w:t>
      </w:r>
      <w:r w:rsidRPr="00CA5489">
        <w:rPr>
          <w:rFonts w:ascii="Arial" w:hAnsi="Arial" w:cs="Arial"/>
          <w:strike/>
          <w:sz w:val="20"/>
          <w:szCs w:val="20"/>
          <w:highlight w:val="yellow"/>
          <w:lang w:val="pt-PT"/>
        </w:rPr>
        <w:t>tividade plasmática da</w:t>
      </w:r>
      <w:r w:rsidRPr="00CA5489">
        <w:rPr>
          <w:rFonts w:ascii="Arial" w:hAnsi="Arial" w:cs="Arial"/>
          <w:sz w:val="20"/>
          <w:szCs w:val="20"/>
          <w:lang w:val="pt-PT"/>
        </w:rPr>
        <w:t xml:space="preserve"> renina elevada) os doentes eram classificados na forma CPS. Neste grupo, o valor de 17-OHP</w:t>
      </w:r>
      <w:r w:rsidR="00927C32" w:rsidRPr="00CA5489">
        <w:rPr>
          <w:rFonts w:ascii="Arial" w:hAnsi="Arial" w:cs="Arial"/>
          <w:sz w:val="20"/>
          <w:szCs w:val="20"/>
          <w:lang w:val="pt-PT"/>
        </w:rPr>
        <w:t xml:space="preserve"> no primeiro mês de vida era &gt;2</w:t>
      </w:r>
      <w:r w:rsidRPr="00CA5489">
        <w:rPr>
          <w:rFonts w:ascii="Arial" w:hAnsi="Arial" w:cs="Arial"/>
          <w:sz w:val="20"/>
          <w:szCs w:val="20"/>
          <w:lang w:val="pt-PT"/>
        </w:rPr>
        <w:t xml:space="preserve">500 ng/dL </w:t>
      </w:r>
      <w:r w:rsidRPr="00CA5489">
        <w:rPr>
          <w:rFonts w:ascii="Arial" w:hAnsi="Arial" w:cs="Arial"/>
          <w:strike/>
          <w:sz w:val="20"/>
          <w:szCs w:val="20"/>
          <w:highlight w:val="yellow"/>
          <w:lang w:val="pt-PT"/>
        </w:rPr>
        <w:t>(&gt;75 nmol/l).</w:t>
      </w:r>
      <w:r w:rsidRPr="00CA5489">
        <w:rPr>
          <w:rFonts w:ascii="Arial" w:hAnsi="Arial" w:cs="Arial"/>
          <w:sz w:val="20"/>
          <w:szCs w:val="20"/>
          <w:lang w:val="pt-PT"/>
        </w:rPr>
        <w:t xml:space="preserve"> Os doentes do sex</w:t>
      </w:r>
      <w:r w:rsidR="00150A14" w:rsidRPr="00CA5489">
        <w:rPr>
          <w:rFonts w:ascii="Arial" w:hAnsi="Arial" w:cs="Arial"/>
          <w:sz w:val="20"/>
          <w:szCs w:val="20"/>
          <w:lang w:val="pt-PT"/>
        </w:rPr>
        <w:t>o feminino com genitais ambíguo</w:t>
      </w:r>
      <w:r w:rsidRPr="00CA5489">
        <w:rPr>
          <w:rFonts w:ascii="Arial" w:hAnsi="Arial" w:cs="Arial"/>
          <w:sz w:val="20"/>
          <w:szCs w:val="20"/>
          <w:lang w:val="pt-PT"/>
        </w:rPr>
        <w:t xml:space="preserve">s, </w:t>
      </w:r>
      <w:r w:rsidR="0010163F" w:rsidRPr="00CA5489">
        <w:rPr>
          <w:rFonts w:ascii="Arial" w:hAnsi="Arial" w:cs="Arial"/>
          <w:sz w:val="20"/>
          <w:szCs w:val="20"/>
          <w:lang w:val="pt-PT"/>
        </w:rPr>
        <w:t xml:space="preserve">com </w:t>
      </w:r>
      <w:r w:rsidRPr="00CA5489">
        <w:rPr>
          <w:rFonts w:ascii="Arial" w:hAnsi="Arial" w:cs="Arial"/>
          <w:sz w:val="20"/>
          <w:szCs w:val="20"/>
          <w:lang w:val="pt-PT"/>
        </w:rPr>
        <w:t xml:space="preserve">17-OHP elevada </w:t>
      </w:r>
      <w:r w:rsidRPr="00CA5489">
        <w:rPr>
          <w:rFonts w:ascii="Arial" w:hAnsi="Arial" w:cs="Arial"/>
          <w:strike/>
          <w:sz w:val="20"/>
          <w:szCs w:val="20"/>
          <w:highlight w:val="yellow"/>
          <w:lang w:val="pt-PT"/>
        </w:rPr>
        <w:t>(&gt;75 nmol/l)</w:t>
      </w:r>
      <w:r w:rsidRPr="00CA5489">
        <w:rPr>
          <w:rFonts w:ascii="Arial" w:hAnsi="Arial" w:cs="Arial"/>
          <w:strike/>
          <w:sz w:val="20"/>
          <w:szCs w:val="20"/>
          <w:lang w:val="pt-PT"/>
        </w:rPr>
        <w:t xml:space="preserve"> </w:t>
      </w:r>
      <w:r w:rsidRPr="00CA5489">
        <w:rPr>
          <w:rFonts w:ascii="Arial" w:hAnsi="Arial" w:cs="Arial"/>
          <w:sz w:val="20"/>
          <w:szCs w:val="20"/>
          <w:lang w:val="pt-PT"/>
        </w:rPr>
        <w:t xml:space="preserve">mas sem desequilíbrios hidroelectrolíticos </w:t>
      </w:r>
      <w:r w:rsidR="004B437F" w:rsidRPr="00CA5489">
        <w:rPr>
          <w:rFonts w:ascii="Arial" w:hAnsi="Arial" w:cs="Arial"/>
          <w:sz w:val="20"/>
          <w:szCs w:val="20"/>
          <w:lang w:val="pt-PT"/>
        </w:rPr>
        <w:t>ou no</w:t>
      </w:r>
      <w:r w:rsidR="00AD00DE" w:rsidRPr="00CA5489">
        <w:rPr>
          <w:rFonts w:ascii="Arial" w:hAnsi="Arial" w:cs="Arial"/>
          <w:sz w:val="20"/>
          <w:szCs w:val="20"/>
          <w:lang w:val="pt-PT"/>
        </w:rPr>
        <w:t>s quais foi dete</w:t>
      </w:r>
      <w:r w:rsidRPr="00CA5489">
        <w:rPr>
          <w:rFonts w:ascii="Arial" w:hAnsi="Arial" w:cs="Arial"/>
          <w:sz w:val="20"/>
          <w:szCs w:val="20"/>
          <w:lang w:val="pt-PT"/>
        </w:rPr>
        <w:t xml:space="preserve">tada virilização precoce para além do período neonatal, foram classificadas como forma </w:t>
      </w:r>
      <w:r w:rsidR="004B437F" w:rsidRPr="00CA5489">
        <w:rPr>
          <w:rFonts w:ascii="Arial" w:hAnsi="Arial" w:cs="Arial"/>
          <w:sz w:val="20"/>
          <w:szCs w:val="20"/>
          <w:lang w:val="pt-PT"/>
        </w:rPr>
        <w:t>C</w:t>
      </w:r>
      <w:r w:rsidRPr="00CA5489">
        <w:rPr>
          <w:rFonts w:ascii="Arial" w:hAnsi="Arial" w:cs="Arial"/>
          <w:sz w:val="20"/>
          <w:szCs w:val="20"/>
          <w:lang w:val="pt-PT"/>
        </w:rPr>
        <w:t>VS.</w:t>
      </w:r>
    </w:p>
    <w:p w:rsidR="00A37516" w:rsidRPr="00CA5489" w:rsidRDefault="002F264E" w:rsidP="00DD0A41">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Foram também incluídos neste grupo os rapazes que de</w:t>
      </w:r>
      <w:r w:rsidR="00F81E6F" w:rsidRPr="00CA5489">
        <w:rPr>
          <w:rFonts w:ascii="Arial" w:hAnsi="Arial" w:cs="Arial"/>
          <w:sz w:val="20"/>
          <w:szCs w:val="20"/>
          <w:lang w:val="pt-PT"/>
        </w:rPr>
        <w:t>sen</w:t>
      </w:r>
      <w:r w:rsidRPr="00CA5489">
        <w:rPr>
          <w:rFonts w:ascii="Arial" w:hAnsi="Arial" w:cs="Arial"/>
          <w:sz w:val="20"/>
          <w:szCs w:val="20"/>
          <w:lang w:val="pt-PT"/>
        </w:rPr>
        <w:t xml:space="preserve">volveram sinais e sintomas de hiperandrogenismo, aceleração do crescimento ou da idade óssea precocemente, 17-OHP elevada, mas sem evidência de perda de sal. A presença de sintomas de hiperandrogenismo em idade pré-púbere (aparecimento de pêlo púbico, acne, hirsustismo, odor corporal adulto e </w:t>
      </w:r>
      <w:r w:rsidR="00FA63D0" w:rsidRPr="00CA5489">
        <w:rPr>
          <w:rFonts w:ascii="Arial" w:hAnsi="Arial" w:cs="Arial"/>
          <w:sz w:val="20"/>
          <w:szCs w:val="20"/>
          <w:lang w:val="pt-PT"/>
        </w:rPr>
        <w:t>ausência de virilização completa</w:t>
      </w:r>
      <w:r w:rsidRPr="00CA5489">
        <w:rPr>
          <w:rFonts w:ascii="Arial" w:hAnsi="Arial" w:cs="Arial"/>
          <w:sz w:val="20"/>
          <w:szCs w:val="20"/>
          <w:lang w:val="pt-PT"/>
        </w:rPr>
        <w:t xml:space="preserve"> dos genitais) e 17-OHP elevada foi utilizada</w:t>
      </w:r>
      <w:r w:rsidR="00E91960" w:rsidRPr="00CA5489">
        <w:rPr>
          <w:rFonts w:ascii="Arial" w:hAnsi="Arial" w:cs="Arial"/>
          <w:sz w:val="20"/>
          <w:szCs w:val="20"/>
          <w:lang w:val="pt-PT"/>
        </w:rPr>
        <w:t xml:space="preserve"> para diagnosticar os doentes com forma NC. Estes doentes apresentavam valores de 17-OHP ≥ 500 ng/dl </w:t>
      </w:r>
      <w:r w:rsidR="00E91960" w:rsidRPr="00CA5489">
        <w:rPr>
          <w:rFonts w:ascii="Arial" w:hAnsi="Arial" w:cs="Arial"/>
          <w:strike/>
          <w:sz w:val="20"/>
          <w:szCs w:val="20"/>
          <w:highlight w:val="yellow"/>
          <w:lang w:val="pt-PT"/>
        </w:rPr>
        <w:t>(15 nmol/l).</w:t>
      </w:r>
    </w:p>
    <w:p w:rsidR="00A37516" w:rsidRPr="00CA5489" w:rsidRDefault="00A37516" w:rsidP="00A37516">
      <w:pPr>
        <w:pStyle w:val="Default"/>
        <w:spacing w:line="360" w:lineRule="auto"/>
        <w:jc w:val="both"/>
        <w:rPr>
          <w:rFonts w:ascii="Arial" w:hAnsi="Arial" w:cs="Arial"/>
          <w:sz w:val="20"/>
          <w:szCs w:val="20"/>
          <w:u w:val="single"/>
          <w:lang w:val="pt-PT"/>
        </w:rPr>
      </w:pPr>
      <w:r w:rsidRPr="00CA5489">
        <w:rPr>
          <w:rFonts w:ascii="Arial" w:hAnsi="Arial" w:cs="Arial"/>
          <w:sz w:val="20"/>
          <w:szCs w:val="20"/>
          <w:u w:val="single"/>
          <w:lang w:val="pt-PT"/>
        </w:rPr>
        <w:t>Categorização em grupos de mutações</w:t>
      </w:r>
      <w:r w:rsidR="003076DC" w:rsidRPr="00CA5489">
        <w:rPr>
          <w:rFonts w:ascii="Arial" w:hAnsi="Arial" w:cs="Arial"/>
          <w:sz w:val="20"/>
          <w:szCs w:val="20"/>
          <w:u w:val="single"/>
          <w:lang w:val="pt-PT"/>
        </w:rPr>
        <w:t>:</w:t>
      </w:r>
    </w:p>
    <w:p w:rsidR="00A37516" w:rsidRPr="00CA5489" w:rsidRDefault="00A37516" w:rsidP="00A37516">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 xml:space="preserve">As mutações responsáveis pela doença foram distribuídas em 4 grupos, dependendo do grau de atividade enzimática estimada para cada mutação, de acordo com os estudos </w:t>
      </w:r>
      <w:r w:rsidRPr="00CA5489">
        <w:rPr>
          <w:rFonts w:ascii="Arial" w:hAnsi="Arial" w:cs="Arial"/>
          <w:i/>
          <w:sz w:val="20"/>
          <w:szCs w:val="20"/>
          <w:lang w:val="pt-PT"/>
        </w:rPr>
        <w:t>in vitro</w:t>
      </w:r>
      <w:r w:rsidRPr="00CA5489">
        <w:rPr>
          <w:rFonts w:ascii="Arial" w:hAnsi="Arial" w:cs="Arial"/>
          <w:sz w:val="20"/>
          <w:szCs w:val="20"/>
          <w:lang w:val="pt-PT"/>
        </w:rPr>
        <w:t xml:space="preserve"> publicados na literatura.</w:t>
      </w:r>
      <w:r w:rsidR="00746B6B" w:rsidRPr="00CA5489">
        <w:rPr>
          <w:rFonts w:ascii="Arial" w:hAnsi="Arial" w:cs="Arial"/>
          <w:sz w:val="20"/>
          <w:szCs w:val="20"/>
          <w:vertAlign w:val="superscript"/>
          <w:lang w:val="pt-PT"/>
        </w:rPr>
        <w:t>6,7</w:t>
      </w:r>
      <w:r w:rsidRPr="00CA5489">
        <w:rPr>
          <w:rFonts w:ascii="Arial" w:hAnsi="Arial" w:cs="Arial"/>
          <w:sz w:val="20"/>
          <w:szCs w:val="20"/>
          <w:lang w:val="pt-PT"/>
        </w:rPr>
        <w:t xml:space="preserve"> O grupo </w:t>
      </w:r>
      <w:r w:rsidR="005206B1" w:rsidRPr="00CA5489">
        <w:rPr>
          <w:rFonts w:ascii="Arial" w:hAnsi="Arial" w:cs="Arial"/>
          <w:sz w:val="20"/>
          <w:szCs w:val="20"/>
          <w:lang w:val="pt-PT"/>
        </w:rPr>
        <w:t xml:space="preserve">0, </w:t>
      </w:r>
      <w:r w:rsidR="00E96FCA" w:rsidRPr="00CA5489">
        <w:rPr>
          <w:rFonts w:ascii="Arial" w:hAnsi="Arial" w:cs="Arial"/>
          <w:sz w:val="20"/>
          <w:szCs w:val="20"/>
          <w:lang w:val="pt-PT"/>
        </w:rPr>
        <w:t>com a</w:t>
      </w:r>
      <w:r w:rsidRPr="00CA5489">
        <w:rPr>
          <w:rFonts w:ascii="Arial" w:hAnsi="Arial" w:cs="Arial"/>
          <w:sz w:val="20"/>
          <w:szCs w:val="20"/>
          <w:lang w:val="pt-PT"/>
        </w:rPr>
        <w:t>tividade nula incluiu os doentes com mutações em ambos os alelos d</w:t>
      </w:r>
      <w:r w:rsidR="00E96FCA" w:rsidRPr="00CA5489">
        <w:rPr>
          <w:rFonts w:ascii="Arial" w:hAnsi="Arial" w:cs="Arial"/>
          <w:sz w:val="20"/>
          <w:szCs w:val="20"/>
          <w:lang w:val="pt-PT"/>
        </w:rPr>
        <w:t>as quais resultam ausência de a</w:t>
      </w:r>
      <w:r w:rsidRPr="00CA5489">
        <w:rPr>
          <w:rFonts w:ascii="Arial" w:hAnsi="Arial" w:cs="Arial"/>
          <w:sz w:val="20"/>
          <w:szCs w:val="20"/>
          <w:lang w:val="pt-PT"/>
        </w:rPr>
        <w:t xml:space="preserve">tividade enzimática </w:t>
      </w:r>
      <w:r w:rsidR="005206B1" w:rsidRPr="00CA5489">
        <w:rPr>
          <w:rFonts w:ascii="Arial" w:hAnsi="Arial" w:cs="Arial"/>
          <w:sz w:val="20"/>
          <w:szCs w:val="20"/>
          <w:lang w:val="pt-PT"/>
        </w:rPr>
        <w:t>(</w:t>
      </w:r>
      <w:r w:rsidR="008672A8" w:rsidRPr="00CA5489">
        <w:rPr>
          <w:rFonts w:ascii="Arial" w:hAnsi="Arial" w:cs="Arial"/>
          <w:sz w:val="20"/>
          <w:szCs w:val="20"/>
          <w:lang w:val="pt-PT"/>
        </w:rPr>
        <w:t>dele</w:t>
      </w:r>
      <w:r w:rsidRPr="00CA5489">
        <w:rPr>
          <w:rFonts w:ascii="Arial" w:hAnsi="Arial" w:cs="Arial"/>
          <w:sz w:val="20"/>
          <w:szCs w:val="20"/>
          <w:lang w:val="pt-PT"/>
        </w:rPr>
        <w:t xml:space="preserve">ções/conversões de genes, ∆8bp, F306+t, cluster E6, Q318X, R356W). O grupo A incluiu os doentes homozigóticos para I2 </w:t>
      </w:r>
      <w:r w:rsidRPr="00CA5489">
        <w:rPr>
          <w:rFonts w:ascii="Arial" w:hAnsi="Arial" w:cs="Arial"/>
          <w:i/>
          <w:sz w:val="20"/>
          <w:szCs w:val="20"/>
          <w:lang w:val="pt-PT"/>
        </w:rPr>
        <w:t>splice</w:t>
      </w:r>
      <w:r w:rsidRPr="00CA5489">
        <w:rPr>
          <w:rFonts w:ascii="Arial" w:hAnsi="Arial" w:cs="Arial"/>
          <w:sz w:val="20"/>
          <w:szCs w:val="20"/>
          <w:lang w:val="pt-PT"/>
        </w:rPr>
        <w:t xml:space="preserve"> ou heterozigóticos compostos para I2 </w:t>
      </w:r>
      <w:r w:rsidRPr="00CA5489">
        <w:rPr>
          <w:rFonts w:ascii="Arial" w:hAnsi="Arial" w:cs="Arial"/>
          <w:i/>
          <w:sz w:val="20"/>
          <w:szCs w:val="20"/>
          <w:lang w:val="pt-PT"/>
        </w:rPr>
        <w:t>splice</w:t>
      </w:r>
      <w:r w:rsidR="00151432" w:rsidRPr="00CA5489">
        <w:rPr>
          <w:rFonts w:ascii="Arial" w:hAnsi="Arial" w:cs="Arial"/>
          <w:sz w:val="20"/>
          <w:szCs w:val="20"/>
          <w:lang w:val="pt-PT"/>
        </w:rPr>
        <w:t xml:space="preserve"> e mutação</w:t>
      </w:r>
      <w:r w:rsidRPr="00CA5489">
        <w:rPr>
          <w:rFonts w:ascii="Arial" w:hAnsi="Arial" w:cs="Arial"/>
          <w:sz w:val="20"/>
          <w:szCs w:val="20"/>
          <w:lang w:val="pt-PT"/>
        </w:rPr>
        <w:t xml:space="preserve"> anulado</w:t>
      </w:r>
      <w:r w:rsidR="00E96FCA" w:rsidRPr="00CA5489">
        <w:rPr>
          <w:rFonts w:ascii="Arial" w:hAnsi="Arial" w:cs="Arial"/>
          <w:sz w:val="20"/>
          <w:szCs w:val="20"/>
          <w:lang w:val="pt-PT"/>
        </w:rPr>
        <w:t>ra, com a</w:t>
      </w:r>
      <w:r w:rsidR="008F2377" w:rsidRPr="00CA5489">
        <w:rPr>
          <w:rFonts w:ascii="Arial" w:hAnsi="Arial" w:cs="Arial"/>
          <w:sz w:val="20"/>
          <w:szCs w:val="20"/>
          <w:lang w:val="pt-PT"/>
        </w:rPr>
        <w:t>tividade enzimática mí</w:t>
      </w:r>
      <w:r w:rsidRPr="00CA5489">
        <w:rPr>
          <w:rFonts w:ascii="Arial" w:hAnsi="Arial" w:cs="Arial"/>
          <w:sz w:val="20"/>
          <w:szCs w:val="20"/>
          <w:lang w:val="pt-PT"/>
        </w:rPr>
        <w:t>nima (0-1%). O grupo B incluiu os do</w:t>
      </w:r>
      <w:r w:rsidR="00E96FCA" w:rsidRPr="00CA5489">
        <w:rPr>
          <w:rFonts w:ascii="Arial" w:hAnsi="Arial" w:cs="Arial"/>
          <w:sz w:val="20"/>
          <w:szCs w:val="20"/>
          <w:lang w:val="pt-PT"/>
        </w:rPr>
        <w:t>entes com mutações I172N (com a</w:t>
      </w:r>
      <w:r w:rsidRPr="00CA5489">
        <w:rPr>
          <w:rFonts w:ascii="Arial" w:hAnsi="Arial" w:cs="Arial"/>
          <w:sz w:val="20"/>
          <w:szCs w:val="20"/>
          <w:lang w:val="pt-PT"/>
        </w:rPr>
        <w:t>tividade enzimática residual de ~2%), em homozigotia ou heterozigótic</w:t>
      </w:r>
      <w:r w:rsidR="008D742B" w:rsidRPr="00CA5489">
        <w:rPr>
          <w:rFonts w:ascii="Arial" w:hAnsi="Arial" w:cs="Arial"/>
          <w:sz w:val="20"/>
          <w:szCs w:val="20"/>
          <w:lang w:val="pt-PT"/>
        </w:rPr>
        <w:t xml:space="preserve">os compostos com os grupos 0, </w:t>
      </w:r>
      <w:r w:rsidRPr="00CA5489">
        <w:rPr>
          <w:rFonts w:ascii="Arial" w:hAnsi="Arial" w:cs="Arial"/>
          <w:sz w:val="20"/>
          <w:szCs w:val="20"/>
          <w:lang w:val="pt-PT"/>
        </w:rPr>
        <w:t>A</w:t>
      </w:r>
      <w:r w:rsidR="008D742B" w:rsidRPr="00CA5489">
        <w:rPr>
          <w:rFonts w:ascii="Arial" w:hAnsi="Arial" w:cs="Arial"/>
          <w:sz w:val="20"/>
          <w:szCs w:val="20"/>
          <w:lang w:val="pt-PT"/>
        </w:rPr>
        <w:t xml:space="preserve"> ou B</w:t>
      </w:r>
      <w:r w:rsidRPr="00CA5489">
        <w:rPr>
          <w:rFonts w:ascii="Arial" w:hAnsi="Arial" w:cs="Arial"/>
          <w:sz w:val="20"/>
          <w:szCs w:val="20"/>
          <w:lang w:val="pt-PT"/>
        </w:rPr>
        <w:t>.</w:t>
      </w:r>
      <w:r w:rsidR="00CE14E5" w:rsidRPr="00CA5489">
        <w:rPr>
          <w:rFonts w:ascii="Arial" w:hAnsi="Arial" w:cs="Arial"/>
          <w:sz w:val="20"/>
          <w:szCs w:val="20"/>
          <w:lang w:val="pt-PT"/>
        </w:rPr>
        <w:t xml:space="preserve"> </w:t>
      </w:r>
      <w:r w:rsidRPr="00CA5489">
        <w:rPr>
          <w:rFonts w:ascii="Arial" w:hAnsi="Arial" w:cs="Arial"/>
          <w:sz w:val="20"/>
          <w:szCs w:val="20"/>
          <w:lang w:val="pt-PT"/>
        </w:rPr>
        <w:t>O grupo C incluiu os genótipo</w:t>
      </w:r>
      <w:r w:rsidR="009D133E" w:rsidRPr="00CA5489">
        <w:rPr>
          <w:rFonts w:ascii="Arial" w:hAnsi="Arial" w:cs="Arial"/>
          <w:sz w:val="20"/>
          <w:szCs w:val="20"/>
          <w:lang w:val="pt-PT"/>
        </w:rPr>
        <w:t>s</w:t>
      </w:r>
      <w:r w:rsidRPr="00CA5489">
        <w:rPr>
          <w:rFonts w:ascii="Arial" w:hAnsi="Arial" w:cs="Arial"/>
          <w:sz w:val="20"/>
          <w:szCs w:val="20"/>
          <w:lang w:val="pt-PT"/>
        </w:rPr>
        <w:t xml:space="preserve"> compostos por uma mutação ligeira em pelo menos um dos alelos: V28</w:t>
      </w:r>
      <w:r w:rsidR="00E96FCA" w:rsidRPr="00CA5489">
        <w:rPr>
          <w:rFonts w:ascii="Arial" w:hAnsi="Arial" w:cs="Arial"/>
          <w:sz w:val="20"/>
          <w:szCs w:val="20"/>
          <w:lang w:val="pt-PT"/>
        </w:rPr>
        <w:t>1L, P30L ou P453s (~20-60% de a</w:t>
      </w:r>
      <w:r w:rsidRPr="00CA5489">
        <w:rPr>
          <w:rFonts w:ascii="Arial" w:hAnsi="Arial" w:cs="Arial"/>
          <w:sz w:val="20"/>
          <w:szCs w:val="20"/>
          <w:lang w:val="pt-PT"/>
        </w:rPr>
        <w:t xml:space="preserve">tividade enzimática residual, em homozigotia ou heterozigótico composto com os grupos 0, A ou B. </w:t>
      </w:r>
      <w:r w:rsidR="00CE14E5" w:rsidRPr="00CA5489">
        <w:rPr>
          <w:rFonts w:ascii="Arial" w:hAnsi="Arial" w:cs="Arial"/>
          <w:sz w:val="20"/>
          <w:szCs w:val="20"/>
          <w:lang w:val="pt-PT"/>
        </w:rPr>
        <w:t>Um quinto grupo (sem classificação), incluiu d</w:t>
      </w:r>
      <w:r w:rsidR="008A7442" w:rsidRPr="00CA5489">
        <w:rPr>
          <w:rFonts w:ascii="Arial" w:hAnsi="Arial" w:cs="Arial"/>
          <w:sz w:val="20"/>
          <w:szCs w:val="20"/>
          <w:lang w:val="pt-PT"/>
        </w:rPr>
        <w:t>oentes nos quais apenas se dete</w:t>
      </w:r>
      <w:r w:rsidR="00CE14E5" w:rsidRPr="00CA5489">
        <w:rPr>
          <w:rFonts w:ascii="Arial" w:hAnsi="Arial" w:cs="Arial"/>
          <w:sz w:val="20"/>
          <w:szCs w:val="20"/>
          <w:lang w:val="pt-PT"/>
        </w:rPr>
        <w:t xml:space="preserve">tou uma mutação num dos alelos do </w:t>
      </w:r>
      <w:r w:rsidR="00CE14E5" w:rsidRPr="00863196">
        <w:rPr>
          <w:rFonts w:ascii="Arial" w:hAnsi="Arial" w:cs="Arial"/>
          <w:sz w:val="20"/>
          <w:szCs w:val="20"/>
          <w:lang w:val="es-ES_tradnl"/>
        </w:rPr>
        <w:t>CYP21A2</w:t>
      </w:r>
      <w:r w:rsidRPr="00CA5489">
        <w:rPr>
          <w:rFonts w:ascii="Arial" w:hAnsi="Arial" w:cs="Arial"/>
          <w:sz w:val="20"/>
          <w:szCs w:val="20"/>
          <w:lang w:val="pt-PT"/>
        </w:rPr>
        <w:t>.</w:t>
      </w:r>
    </w:p>
    <w:p w:rsidR="005543EE" w:rsidRPr="00CA5489" w:rsidRDefault="005543EE" w:rsidP="005543EE">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 xml:space="preserve">O fenótipo esperado para os grupos 0 e A é CPS, </w:t>
      </w:r>
      <w:r w:rsidR="00153E64" w:rsidRPr="00CA5489">
        <w:rPr>
          <w:rFonts w:ascii="Arial" w:hAnsi="Arial" w:cs="Arial"/>
          <w:sz w:val="20"/>
          <w:szCs w:val="20"/>
          <w:lang w:val="pt-PT"/>
        </w:rPr>
        <w:t xml:space="preserve">para o </w:t>
      </w:r>
      <w:r w:rsidRPr="00CA5489">
        <w:rPr>
          <w:rFonts w:ascii="Arial" w:hAnsi="Arial" w:cs="Arial"/>
          <w:sz w:val="20"/>
          <w:szCs w:val="20"/>
          <w:lang w:val="pt-PT"/>
        </w:rPr>
        <w:t xml:space="preserve">grupo B </w:t>
      </w:r>
      <w:r w:rsidR="00153E64" w:rsidRPr="00CA5489">
        <w:rPr>
          <w:rFonts w:ascii="Arial" w:hAnsi="Arial" w:cs="Arial"/>
          <w:sz w:val="20"/>
          <w:szCs w:val="20"/>
          <w:lang w:val="pt-PT"/>
        </w:rPr>
        <w:t>C</w:t>
      </w:r>
      <w:r w:rsidRPr="00CA5489">
        <w:rPr>
          <w:rFonts w:ascii="Arial" w:hAnsi="Arial" w:cs="Arial"/>
          <w:sz w:val="20"/>
          <w:szCs w:val="20"/>
          <w:lang w:val="pt-PT"/>
        </w:rPr>
        <w:t>VS e grupo C NC.</w:t>
      </w:r>
    </w:p>
    <w:p w:rsidR="005543EE" w:rsidRPr="00CA5489" w:rsidRDefault="005543EE" w:rsidP="005543EE">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Tendo em conta o genótipo dos doentes, estabeleceu-se o fenótip</w:t>
      </w:r>
      <w:r w:rsidR="00E96FCA" w:rsidRPr="00CA5489">
        <w:rPr>
          <w:rFonts w:ascii="Arial" w:hAnsi="Arial" w:cs="Arial"/>
          <w:sz w:val="20"/>
          <w:szCs w:val="20"/>
          <w:lang w:val="pt-PT"/>
        </w:rPr>
        <w:t>o previsível, de acordo com a a</w:t>
      </w:r>
      <w:r w:rsidRPr="00CA5489">
        <w:rPr>
          <w:rFonts w:ascii="Arial" w:hAnsi="Arial" w:cs="Arial"/>
          <w:sz w:val="20"/>
          <w:szCs w:val="20"/>
          <w:lang w:val="pt-PT"/>
        </w:rPr>
        <w:t>tividade enzimática permitida pelo alelo menos afectado, e avaliou-se o gr</w:t>
      </w:r>
      <w:r w:rsidR="00904446" w:rsidRPr="00CA5489">
        <w:rPr>
          <w:rFonts w:ascii="Arial" w:hAnsi="Arial" w:cs="Arial"/>
          <w:sz w:val="20"/>
          <w:szCs w:val="20"/>
          <w:lang w:val="pt-PT"/>
        </w:rPr>
        <w:t>au de concordância entre o f</w:t>
      </w:r>
      <w:r w:rsidR="008A7442" w:rsidRPr="00CA5489">
        <w:rPr>
          <w:rFonts w:ascii="Arial" w:hAnsi="Arial" w:cs="Arial"/>
          <w:sz w:val="20"/>
          <w:szCs w:val="20"/>
          <w:lang w:val="pt-PT"/>
        </w:rPr>
        <w:t>en</w:t>
      </w:r>
      <w:r w:rsidR="00904446" w:rsidRPr="00CA5489">
        <w:rPr>
          <w:rFonts w:ascii="Arial" w:hAnsi="Arial" w:cs="Arial"/>
          <w:sz w:val="20"/>
          <w:szCs w:val="20"/>
          <w:lang w:val="pt-PT"/>
        </w:rPr>
        <w:t>ótipo esperado e o observado</w:t>
      </w:r>
      <w:r w:rsidRPr="00CA5489">
        <w:rPr>
          <w:rFonts w:ascii="Arial" w:hAnsi="Arial" w:cs="Arial"/>
          <w:sz w:val="20"/>
          <w:szCs w:val="20"/>
          <w:lang w:val="pt-PT"/>
        </w:rPr>
        <w:t xml:space="preserve">.  </w:t>
      </w:r>
    </w:p>
    <w:p w:rsidR="002331CA" w:rsidRPr="00863196" w:rsidRDefault="002331CA" w:rsidP="00045735">
      <w:pPr>
        <w:pStyle w:val="Default"/>
        <w:spacing w:line="360" w:lineRule="auto"/>
        <w:ind w:firstLine="720"/>
        <w:jc w:val="both"/>
        <w:rPr>
          <w:rFonts w:ascii="Arial" w:hAnsi="Arial" w:cs="Arial"/>
          <w:sz w:val="20"/>
          <w:szCs w:val="20"/>
          <w:lang w:val="es-ES_tradnl"/>
        </w:rPr>
      </w:pPr>
    </w:p>
    <w:p w:rsidR="001A2BCE" w:rsidRPr="00863196" w:rsidRDefault="001A2BCE">
      <w:pPr>
        <w:rPr>
          <w:rFonts w:ascii="Arial" w:hAnsi="Arial" w:cs="Arial"/>
          <w:b/>
          <w:color w:val="000000"/>
          <w:sz w:val="20"/>
          <w:szCs w:val="20"/>
          <w:lang w:val="es-ES_tradnl"/>
        </w:rPr>
      </w:pPr>
      <w:r w:rsidRPr="00863196">
        <w:rPr>
          <w:rFonts w:ascii="Arial" w:hAnsi="Arial" w:cs="Arial"/>
          <w:b/>
          <w:sz w:val="20"/>
          <w:szCs w:val="20"/>
          <w:lang w:val="es-ES_tradnl"/>
        </w:rPr>
        <w:br w:type="page"/>
      </w:r>
    </w:p>
    <w:p w:rsidR="001A423A" w:rsidRPr="00CA5489" w:rsidRDefault="001A423A" w:rsidP="008C1305">
      <w:pPr>
        <w:pStyle w:val="Default"/>
        <w:spacing w:line="360" w:lineRule="auto"/>
        <w:jc w:val="both"/>
        <w:rPr>
          <w:rFonts w:ascii="Arial" w:hAnsi="Arial" w:cs="Arial"/>
          <w:sz w:val="20"/>
          <w:szCs w:val="20"/>
          <w:lang w:val="pt-PT"/>
        </w:rPr>
      </w:pPr>
      <w:r w:rsidRPr="00CA5489">
        <w:rPr>
          <w:rFonts w:ascii="Arial" w:hAnsi="Arial" w:cs="Arial"/>
          <w:b/>
          <w:sz w:val="20"/>
          <w:szCs w:val="20"/>
          <w:lang w:val="pt-PT"/>
        </w:rPr>
        <w:t>RESULTADOS</w:t>
      </w:r>
    </w:p>
    <w:p w:rsidR="002331CA" w:rsidRPr="00863196" w:rsidRDefault="00DD0A41" w:rsidP="00D70B05">
      <w:pPr>
        <w:pStyle w:val="Default"/>
        <w:spacing w:line="360" w:lineRule="auto"/>
        <w:ind w:firstLine="720"/>
        <w:jc w:val="both"/>
        <w:outlineLvl w:val="0"/>
        <w:rPr>
          <w:rFonts w:ascii="Arial" w:hAnsi="Arial" w:cs="Arial"/>
          <w:sz w:val="20"/>
          <w:szCs w:val="20"/>
          <w:lang w:val="es-ES_tradnl"/>
        </w:rPr>
      </w:pPr>
      <w:r w:rsidRPr="00CA5489">
        <w:rPr>
          <w:rFonts w:ascii="Arial" w:hAnsi="Arial" w:cs="Arial"/>
          <w:sz w:val="20"/>
          <w:szCs w:val="20"/>
          <w:lang w:val="pt-PT"/>
        </w:rPr>
        <w:t>Foi efe</w:t>
      </w:r>
      <w:r w:rsidR="001A423A" w:rsidRPr="00CA5489">
        <w:rPr>
          <w:rFonts w:ascii="Arial" w:hAnsi="Arial" w:cs="Arial"/>
          <w:sz w:val="20"/>
          <w:szCs w:val="20"/>
          <w:lang w:val="pt-PT"/>
        </w:rPr>
        <w:t xml:space="preserve">tuada genotipagem em </w:t>
      </w:r>
      <w:r w:rsidR="00044A2A" w:rsidRPr="00CA5489">
        <w:rPr>
          <w:rFonts w:ascii="Arial" w:hAnsi="Arial" w:cs="Arial"/>
          <w:sz w:val="20"/>
          <w:szCs w:val="20"/>
          <w:lang w:val="pt-PT"/>
        </w:rPr>
        <w:t>22</w:t>
      </w:r>
      <w:r w:rsidR="00854D91" w:rsidRPr="00CA5489">
        <w:rPr>
          <w:rFonts w:ascii="Arial" w:hAnsi="Arial" w:cs="Arial"/>
          <w:sz w:val="20"/>
          <w:szCs w:val="20"/>
          <w:lang w:val="pt-PT"/>
        </w:rPr>
        <w:t xml:space="preserve"> doentes </w:t>
      </w:r>
      <w:r w:rsidR="001A423A" w:rsidRPr="00CA5489">
        <w:rPr>
          <w:rFonts w:ascii="Arial" w:hAnsi="Arial" w:cs="Arial"/>
          <w:sz w:val="20"/>
          <w:szCs w:val="20"/>
          <w:lang w:val="pt-PT"/>
        </w:rPr>
        <w:t>não relacionados com diagnóstico de H</w:t>
      </w:r>
      <w:r w:rsidR="000749DF" w:rsidRPr="00CA5489">
        <w:rPr>
          <w:rFonts w:ascii="Arial" w:hAnsi="Arial" w:cs="Arial"/>
          <w:sz w:val="20"/>
          <w:szCs w:val="20"/>
          <w:lang w:val="pt-PT"/>
        </w:rPr>
        <w:t>CSR</w:t>
      </w:r>
      <w:r w:rsidR="001A423A" w:rsidRPr="00CA5489">
        <w:rPr>
          <w:rFonts w:ascii="Arial" w:hAnsi="Arial" w:cs="Arial"/>
          <w:sz w:val="20"/>
          <w:szCs w:val="20"/>
          <w:lang w:val="pt-PT"/>
        </w:rPr>
        <w:t xml:space="preserve"> por deficiência de 21-hidroxílase. O tipo de defeitos moleculares, os dados clínicos e b</w:t>
      </w:r>
      <w:r w:rsidR="00C15CFE" w:rsidRPr="00CA5489">
        <w:rPr>
          <w:rFonts w:ascii="Arial" w:hAnsi="Arial" w:cs="Arial"/>
          <w:sz w:val="20"/>
          <w:szCs w:val="20"/>
          <w:lang w:val="pt-PT"/>
        </w:rPr>
        <w:t>ioquímicos são apresentados na T</w:t>
      </w:r>
      <w:r w:rsidR="001A423A" w:rsidRPr="00CA5489">
        <w:rPr>
          <w:rFonts w:ascii="Arial" w:hAnsi="Arial" w:cs="Arial"/>
          <w:sz w:val="20"/>
          <w:szCs w:val="20"/>
          <w:lang w:val="pt-PT"/>
        </w:rPr>
        <w:t>abela 1. Relativamente ao fenótipo clínico, 12</w:t>
      </w:r>
      <w:r w:rsidR="000749DF" w:rsidRPr="00CA5489">
        <w:rPr>
          <w:rFonts w:ascii="Arial" w:hAnsi="Arial" w:cs="Arial"/>
          <w:sz w:val="20"/>
          <w:szCs w:val="20"/>
          <w:lang w:val="pt-PT"/>
        </w:rPr>
        <w:t xml:space="preserve"> doentes (54,5</w:t>
      </w:r>
      <w:r w:rsidR="001A423A" w:rsidRPr="00CA5489">
        <w:rPr>
          <w:rFonts w:ascii="Arial" w:hAnsi="Arial" w:cs="Arial"/>
          <w:sz w:val="20"/>
          <w:szCs w:val="20"/>
          <w:lang w:val="pt-PT"/>
        </w:rPr>
        <w:t xml:space="preserve">%) apresentaram a forma clássica da doença, </w:t>
      </w:r>
      <w:r w:rsidR="000749DF" w:rsidRPr="00CA5489">
        <w:rPr>
          <w:rFonts w:ascii="Arial" w:hAnsi="Arial" w:cs="Arial"/>
          <w:sz w:val="20"/>
          <w:szCs w:val="20"/>
          <w:lang w:val="pt-PT"/>
        </w:rPr>
        <w:t>5</w:t>
      </w:r>
      <w:r w:rsidR="001A423A" w:rsidRPr="00CA5489">
        <w:rPr>
          <w:rFonts w:ascii="Arial" w:hAnsi="Arial" w:cs="Arial"/>
          <w:sz w:val="20"/>
          <w:szCs w:val="20"/>
          <w:lang w:val="pt-PT"/>
        </w:rPr>
        <w:t xml:space="preserve"> </w:t>
      </w:r>
      <w:r w:rsidR="000749DF" w:rsidRPr="00CA5489">
        <w:rPr>
          <w:rFonts w:ascii="Arial" w:hAnsi="Arial" w:cs="Arial"/>
          <w:sz w:val="20"/>
          <w:szCs w:val="20"/>
          <w:lang w:val="pt-PT"/>
        </w:rPr>
        <w:t>CPS (41,7</w:t>
      </w:r>
      <w:r w:rsidR="001A423A" w:rsidRPr="00CA5489">
        <w:rPr>
          <w:rFonts w:ascii="Arial" w:hAnsi="Arial" w:cs="Arial"/>
          <w:sz w:val="20"/>
          <w:szCs w:val="20"/>
          <w:lang w:val="pt-PT"/>
        </w:rPr>
        <w:t>%) e</w:t>
      </w:r>
      <w:r w:rsidR="0079413B" w:rsidRPr="00CA5489">
        <w:rPr>
          <w:rFonts w:ascii="Arial" w:hAnsi="Arial" w:cs="Arial"/>
          <w:sz w:val="20"/>
          <w:szCs w:val="20"/>
          <w:lang w:val="pt-PT"/>
        </w:rPr>
        <w:t xml:space="preserve"> 7</w:t>
      </w:r>
      <w:r w:rsidR="001A423A" w:rsidRPr="00CA5489">
        <w:rPr>
          <w:rFonts w:ascii="Arial" w:hAnsi="Arial" w:cs="Arial"/>
          <w:sz w:val="20"/>
          <w:szCs w:val="20"/>
          <w:lang w:val="pt-PT"/>
        </w:rPr>
        <w:t xml:space="preserve"> </w:t>
      </w:r>
      <w:r w:rsidR="0079413B" w:rsidRPr="00CA5489">
        <w:rPr>
          <w:rFonts w:ascii="Arial" w:hAnsi="Arial" w:cs="Arial"/>
          <w:sz w:val="20"/>
          <w:szCs w:val="20"/>
          <w:lang w:val="pt-PT"/>
        </w:rPr>
        <w:t>CVS (58,3</w:t>
      </w:r>
      <w:r w:rsidR="001A423A" w:rsidRPr="00CA5489">
        <w:rPr>
          <w:rFonts w:ascii="Arial" w:hAnsi="Arial" w:cs="Arial"/>
          <w:sz w:val="20"/>
          <w:szCs w:val="20"/>
          <w:lang w:val="pt-PT"/>
        </w:rPr>
        <w:t xml:space="preserve">%), e </w:t>
      </w:r>
      <w:r w:rsidR="0079413B" w:rsidRPr="00CA5489">
        <w:rPr>
          <w:rFonts w:ascii="Arial" w:hAnsi="Arial" w:cs="Arial"/>
          <w:sz w:val="20"/>
          <w:szCs w:val="20"/>
          <w:lang w:val="pt-PT"/>
        </w:rPr>
        <w:t>10</w:t>
      </w:r>
      <w:r w:rsidR="001A423A" w:rsidRPr="00CA5489">
        <w:rPr>
          <w:rFonts w:ascii="Arial" w:hAnsi="Arial" w:cs="Arial"/>
          <w:sz w:val="20"/>
          <w:szCs w:val="20"/>
          <w:lang w:val="pt-PT"/>
        </w:rPr>
        <w:t xml:space="preserve"> doentes </w:t>
      </w:r>
      <w:r w:rsidR="0079413B" w:rsidRPr="00CA5489">
        <w:rPr>
          <w:rFonts w:ascii="Arial" w:hAnsi="Arial" w:cs="Arial"/>
          <w:sz w:val="20"/>
          <w:szCs w:val="20"/>
          <w:lang w:val="pt-PT"/>
        </w:rPr>
        <w:t>(45,5</w:t>
      </w:r>
      <w:r w:rsidR="001A423A" w:rsidRPr="00CA5489">
        <w:rPr>
          <w:rFonts w:ascii="Arial" w:hAnsi="Arial" w:cs="Arial"/>
          <w:sz w:val="20"/>
          <w:szCs w:val="20"/>
          <w:lang w:val="pt-PT"/>
        </w:rPr>
        <w:t xml:space="preserve">%) a forma </w:t>
      </w:r>
      <w:r w:rsidR="0079413B" w:rsidRPr="00CA5489">
        <w:rPr>
          <w:rFonts w:ascii="Arial" w:hAnsi="Arial" w:cs="Arial"/>
          <w:sz w:val="20"/>
          <w:szCs w:val="20"/>
          <w:lang w:val="pt-PT"/>
        </w:rPr>
        <w:t>NC</w:t>
      </w:r>
      <w:r w:rsidR="001A423A" w:rsidRPr="00CA5489">
        <w:rPr>
          <w:rFonts w:ascii="Arial" w:hAnsi="Arial" w:cs="Arial"/>
          <w:sz w:val="20"/>
          <w:szCs w:val="20"/>
          <w:lang w:val="pt-PT"/>
        </w:rPr>
        <w:t xml:space="preserve">. </w:t>
      </w:r>
    </w:p>
    <w:p w:rsidR="00D70B05" w:rsidRPr="00CA5489" w:rsidRDefault="001D3B37" w:rsidP="00545698">
      <w:pPr>
        <w:pStyle w:val="Default"/>
        <w:spacing w:line="360" w:lineRule="auto"/>
        <w:ind w:firstLine="720"/>
        <w:jc w:val="both"/>
        <w:rPr>
          <w:rFonts w:ascii="Arial" w:hAnsi="Arial" w:cs="Arial"/>
          <w:sz w:val="20"/>
          <w:szCs w:val="20"/>
          <w:lang w:val="pt-PT"/>
        </w:rPr>
      </w:pPr>
      <w:r w:rsidRPr="00CA5489">
        <w:rPr>
          <w:rFonts w:ascii="Arial" w:hAnsi="Arial" w:cs="Arial"/>
          <w:sz w:val="20"/>
          <w:szCs w:val="20"/>
          <w:highlight w:val="yellow"/>
          <w:lang w:val="pt-PT"/>
        </w:rPr>
        <w:t>Tod</w:t>
      </w:r>
      <w:r w:rsidR="00545698" w:rsidRPr="00CA5489">
        <w:rPr>
          <w:rFonts w:ascii="Arial" w:hAnsi="Arial" w:cs="Arial"/>
          <w:sz w:val="20"/>
          <w:szCs w:val="20"/>
          <w:highlight w:val="yellow"/>
          <w:lang w:val="pt-PT"/>
        </w:rPr>
        <w:t>os os doentes eram caucasianos</w:t>
      </w:r>
      <w:r w:rsidR="0017648E" w:rsidRPr="00CA5489">
        <w:rPr>
          <w:rFonts w:ascii="Arial" w:hAnsi="Arial" w:cs="Arial"/>
          <w:sz w:val="20"/>
          <w:szCs w:val="20"/>
          <w:highlight w:val="yellow"/>
          <w:lang w:val="pt-PT"/>
        </w:rPr>
        <w:t xml:space="preserve"> </w:t>
      </w:r>
      <w:r w:rsidR="00545698" w:rsidRPr="00CA5489">
        <w:rPr>
          <w:rFonts w:ascii="Arial" w:hAnsi="Arial" w:cs="Arial"/>
          <w:sz w:val="20"/>
          <w:szCs w:val="20"/>
          <w:highlight w:val="yellow"/>
          <w:lang w:val="pt-PT"/>
        </w:rPr>
        <w:t>e v</w:t>
      </w:r>
      <w:r w:rsidR="00D70B05" w:rsidRPr="00CA5489">
        <w:rPr>
          <w:rFonts w:ascii="Arial" w:hAnsi="Arial" w:cs="Arial"/>
          <w:sz w:val="20"/>
          <w:szCs w:val="20"/>
          <w:highlight w:val="yellow"/>
          <w:lang w:val="pt-PT"/>
        </w:rPr>
        <w:t>erificamos um cl</w:t>
      </w:r>
      <w:r w:rsidR="001C79E3" w:rsidRPr="00CA5489">
        <w:rPr>
          <w:rFonts w:ascii="Arial" w:hAnsi="Arial" w:cs="Arial"/>
          <w:sz w:val="20"/>
          <w:szCs w:val="20"/>
          <w:highlight w:val="yellow"/>
          <w:lang w:val="pt-PT"/>
        </w:rPr>
        <w:t>aro predomínio do sexo feminino, 16/22 doentes</w:t>
      </w:r>
      <w:r w:rsidR="00D70B05" w:rsidRPr="00CA5489">
        <w:rPr>
          <w:rFonts w:ascii="Arial" w:hAnsi="Arial" w:cs="Arial"/>
          <w:sz w:val="20"/>
          <w:szCs w:val="20"/>
          <w:highlight w:val="yellow"/>
          <w:lang w:val="pt-PT"/>
        </w:rPr>
        <w:t>.</w:t>
      </w:r>
      <w:r w:rsidR="00D70B05" w:rsidRPr="00CA5489">
        <w:rPr>
          <w:rFonts w:ascii="Arial" w:hAnsi="Arial" w:cs="Arial"/>
          <w:sz w:val="20"/>
          <w:szCs w:val="20"/>
          <w:lang w:val="pt-PT"/>
        </w:rPr>
        <w:t xml:space="preserve"> </w:t>
      </w:r>
    </w:p>
    <w:p w:rsidR="00D70B05" w:rsidRPr="00CA5489" w:rsidRDefault="00D70B05" w:rsidP="00D70B0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A idade média ao diagnó</w:t>
      </w:r>
      <w:r w:rsidR="008C1305" w:rsidRPr="00CA5489">
        <w:rPr>
          <w:rFonts w:ascii="Arial" w:hAnsi="Arial" w:cs="Arial"/>
          <w:sz w:val="20"/>
          <w:szCs w:val="20"/>
          <w:lang w:val="pt-PT"/>
        </w:rPr>
        <w:t>stico da</w:t>
      </w:r>
      <w:r w:rsidRPr="00CA5489">
        <w:rPr>
          <w:rFonts w:ascii="Arial" w:hAnsi="Arial" w:cs="Arial"/>
          <w:sz w:val="20"/>
          <w:szCs w:val="20"/>
          <w:lang w:val="pt-PT"/>
        </w:rPr>
        <w:t xml:space="preserve"> forma </w:t>
      </w:r>
      <w:r w:rsidR="008D03F0" w:rsidRPr="00CA5489">
        <w:rPr>
          <w:rFonts w:ascii="Arial" w:hAnsi="Arial" w:cs="Arial"/>
          <w:sz w:val="20"/>
          <w:szCs w:val="20"/>
          <w:lang w:val="pt-PT"/>
        </w:rPr>
        <w:t>C</w:t>
      </w:r>
      <w:r w:rsidRPr="00CA5489">
        <w:rPr>
          <w:rFonts w:ascii="Arial" w:hAnsi="Arial" w:cs="Arial"/>
          <w:sz w:val="20"/>
          <w:szCs w:val="20"/>
          <w:lang w:val="pt-PT"/>
        </w:rPr>
        <w:t>PS foi</w:t>
      </w:r>
      <w:r w:rsidR="005A7B44" w:rsidRPr="00CA5489">
        <w:rPr>
          <w:rFonts w:ascii="Arial" w:hAnsi="Arial" w:cs="Arial"/>
          <w:sz w:val="20"/>
          <w:szCs w:val="20"/>
          <w:lang w:val="pt-PT"/>
        </w:rPr>
        <w:t xml:space="preserve"> 10,2</w:t>
      </w:r>
      <w:r w:rsidRPr="00CA5489">
        <w:rPr>
          <w:rFonts w:ascii="Arial" w:hAnsi="Arial" w:cs="Arial"/>
          <w:sz w:val="20"/>
          <w:szCs w:val="20"/>
          <w:lang w:val="pt-PT"/>
        </w:rPr>
        <w:t xml:space="preserve"> dias</w:t>
      </w:r>
      <w:r w:rsidR="005A7B44" w:rsidRPr="00CA5489">
        <w:rPr>
          <w:rFonts w:ascii="Arial" w:hAnsi="Arial" w:cs="Arial"/>
          <w:sz w:val="20"/>
          <w:szCs w:val="20"/>
          <w:lang w:val="pt-PT"/>
        </w:rPr>
        <w:t xml:space="preserve"> (mínimo 1, máximo 20 dias)</w:t>
      </w:r>
      <w:r w:rsidRPr="00CA5489">
        <w:rPr>
          <w:rFonts w:ascii="Arial" w:hAnsi="Arial" w:cs="Arial"/>
          <w:sz w:val="20"/>
          <w:szCs w:val="20"/>
          <w:lang w:val="pt-PT"/>
        </w:rPr>
        <w:t xml:space="preserve">. Relativamente à forma </w:t>
      </w:r>
      <w:r w:rsidR="00FD12EC" w:rsidRPr="00CA5489">
        <w:rPr>
          <w:rFonts w:ascii="Arial" w:hAnsi="Arial" w:cs="Arial"/>
          <w:sz w:val="20"/>
          <w:szCs w:val="20"/>
          <w:lang w:val="pt-PT"/>
        </w:rPr>
        <w:t>C</w:t>
      </w:r>
      <w:r w:rsidRPr="00CA5489">
        <w:rPr>
          <w:rFonts w:ascii="Arial" w:hAnsi="Arial" w:cs="Arial"/>
          <w:sz w:val="20"/>
          <w:szCs w:val="20"/>
          <w:lang w:val="pt-PT"/>
        </w:rPr>
        <w:t xml:space="preserve">VS, </w:t>
      </w:r>
      <w:r w:rsidR="00FD12EC" w:rsidRPr="00CA5489">
        <w:rPr>
          <w:rFonts w:ascii="Arial" w:hAnsi="Arial" w:cs="Arial"/>
          <w:sz w:val="20"/>
          <w:szCs w:val="20"/>
          <w:lang w:val="pt-PT"/>
        </w:rPr>
        <w:t xml:space="preserve">apenas uma recém-nascida foi diagnosticada ao nascimento </w:t>
      </w:r>
      <w:r w:rsidRPr="00CA5489">
        <w:rPr>
          <w:rFonts w:ascii="Arial" w:hAnsi="Arial" w:cs="Arial"/>
          <w:sz w:val="20"/>
          <w:szCs w:val="20"/>
          <w:lang w:val="pt-PT"/>
        </w:rPr>
        <w:t>e, nos restantes, a idade média ao diagnóstico foi de 3,5 anos</w:t>
      </w:r>
      <w:r w:rsidR="00FD12EC" w:rsidRPr="00CA5489">
        <w:rPr>
          <w:rFonts w:ascii="Arial" w:hAnsi="Arial" w:cs="Arial"/>
          <w:sz w:val="20"/>
          <w:szCs w:val="20"/>
          <w:lang w:val="pt-PT"/>
        </w:rPr>
        <w:t xml:space="preserve"> (mínimo 2 anos, máximo 7 anos)</w:t>
      </w:r>
      <w:r w:rsidRPr="00CA5489">
        <w:rPr>
          <w:rFonts w:ascii="Arial" w:hAnsi="Arial" w:cs="Arial"/>
          <w:sz w:val="20"/>
          <w:szCs w:val="20"/>
          <w:lang w:val="pt-PT"/>
        </w:rPr>
        <w:t>. As formas não clássicas manifestaram-se</w:t>
      </w:r>
      <w:r w:rsidR="00FD12EC" w:rsidRPr="00CA5489">
        <w:rPr>
          <w:rFonts w:ascii="Arial" w:hAnsi="Arial" w:cs="Arial"/>
          <w:sz w:val="20"/>
          <w:szCs w:val="20"/>
          <w:lang w:val="pt-PT"/>
        </w:rPr>
        <w:t xml:space="preserve"> em média aos 5,7</w:t>
      </w:r>
      <w:r w:rsidRPr="00CA5489">
        <w:rPr>
          <w:rFonts w:ascii="Arial" w:hAnsi="Arial" w:cs="Arial"/>
          <w:sz w:val="20"/>
          <w:szCs w:val="20"/>
          <w:lang w:val="pt-PT"/>
        </w:rPr>
        <w:t xml:space="preserve"> anos</w:t>
      </w:r>
      <w:r w:rsidR="00FD12EC" w:rsidRPr="00CA5489">
        <w:rPr>
          <w:rFonts w:ascii="Arial" w:hAnsi="Arial" w:cs="Arial"/>
          <w:sz w:val="20"/>
          <w:szCs w:val="20"/>
          <w:lang w:val="pt-PT"/>
        </w:rPr>
        <w:t xml:space="preserve"> (mínimo 4 anos, máximo 8 anos)</w:t>
      </w:r>
      <w:r w:rsidRPr="00CA5489">
        <w:rPr>
          <w:rFonts w:ascii="Arial" w:hAnsi="Arial" w:cs="Arial"/>
          <w:sz w:val="20"/>
          <w:szCs w:val="20"/>
          <w:lang w:val="pt-PT"/>
        </w:rPr>
        <w:t xml:space="preserve">. </w:t>
      </w:r>
    </w:p>
    <w:p w:rsidR="00D70B05" w:rsidRPr="00CA5489" w:rsidRDefault="00D70B05" w:rsidP="00D70B0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 xml:space="preserve">Em dois casos (doentes 16 e 21), foi feito o diagnóstico posterior </w:t>
      </w:r>
      <w:r w:rsidR="0083579E" w:rsidRPr="00CA5489">
        <w:rPr>
          <w:rFonts w:ascii="Arial" w:hAnsi="Arial" w:cs="Arial"/>
          <w:sz w:val="20"/>
          <w:szCs w:val="20"/>
          <w:lang w:val="pt-PT"/>
        </w:rPr>
        <w:t>de deficiência de 21-OH</w:t>
      </w:r>
      <w:r w:rsidRPr="00CA5489">
        <w:rPr>
          <w:rFonts w:ascii="Arial" w:hAnsi="Arial" w:cs="Arial"/>
          <w:sz w:val="20"/>
          <w:szCs w:val="20"/>
          <w:lang w:val="pt-PT"/>
        </w:rPr>
        <w:t xml:space="preserve"> no irmão após rastreio familiar (não incluídos no estudo). Os restantes não apresentaram história familiar positiva.</w:t>
      </w:r>
    </w:p>
    <w:p w:rsidR="00BD4595" w:rsidRPr="00CA5489" w:rsidRDefault="00BD4595" w:rsidP="00BD459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Os valores de 1</w:t>
      </w:r>
      <w:r w:rsidR="003E1C4A" w:rsidRPr="00CA5489">
        <w:rPr>
          <w:rFonts w:ascii="Arial" w:hAnsi="Arial" w:cs="Arial"/>
          <w:sz w:val="20"/>
          <w:szCs w:val="20"/>
          <w:lang w:val="pt-PT"/>
        </w:rPr>
        <w:t>7-OHP basal variaram entre os 2500 e 9</w:t>
      </w:r>
      <w:r w:rsidR="009C3400" w:rsidRPr="00CA5489">
        <w:rPr>
          <w:rFonts w:ascii="Arial" w:hAnsi="Arial" w:cs="Arial"/>
          <w:sz w:val="20"/>
          <w:szCs w:val="20"/>
          <w:lang w:val="pt-PT"/>
        </w:rPr>
        <w:t>554 ng/dL</w:t>
      </w:r>
      <w:r w:rsidRPr="00CA5489">
        <w:rPr>
          <w:rFonts w:ascii="Arial" w:hAnsi="Arial" w:cs="Arial"/>
          <w:sz w:val="20"/>
          <w:szCs w:val="20"/>
          <w:lang w:val="pt-PT"/>
        </w:rPr>
        <w:t xml:space="preserve"> na</w:t>
      </w:r>
      <w:r w:rsidR="003E1C4A" w:rsidRPr="00CA5489">
        <w:rPr>
          <w:rFonts w:ascii="Arial" w:hAnsi="Arial" w:cs="Arial"/>
          <w:sz w:val="20"/>
          <w:szCs w:val="20"/>
          <w:lang w:val="pt-PT"/>
        </w:rPr>
        <w:t>s formas clássicas e de 500 e 4</w:t>
      </w:r>
      <w:r w:rsidRPr="00CA5489">
        <w:rPr>
          <w:rFonts w:ascii="Arial" w:hAnsi="Arial" w:cs="Arial"/>
          <w:sz w:val="20"/>
          <w:szCs w:val="20"/>
          <w:lang w:val="pt-PT"/>
        </w:rPr>
        <w:t>730 ng/dl nas</w:t>
      </w:r>
      <w:r w:rsidR="004D689F" w:rsidRPr="00CA5489">
        <w:rPr>
          <w:rFonts w:ascii="Arial" w:hAnsi="Arial" w:cs="Arial"/>
          <w:sz w:val="20"/>
          <w:szCs w:val="20"/>
          <w:lang w:val="pt-PT"/>
        </w:rPr>
        <w:t xml:space="preserve"> formas NC. Nos doentes que efe</w:t>
      </w:r>
      <w:r w:rsidRPr="00CA5489">
        <w:rPr>
          <w:rFonts w:ascii="Arial" w:hAnsi="Arial" w:cs="Arial"/>
          <w:sz w:val="20"/>
          <w:szCs w:val="20"/>
          <w:lang w:val="pt-PT"/>
        </w:rPr>
        <w:t xml:space="preserve">tuaram prova com ACTH, </w:t>
      </w:r>
      <w:r w:rsidR="00A970EA" w:rsidRPr="00CA5489">
        <w:rPr>
          <w:rFonts w:ascii="Arial" w:hAnsi="Arial" w:cs="Arial"/>
          <w:sz w:val="20"/>
          <w:szCs w:val="20"/>
          <w:lang w:val="pt-PT"/>
        </w:rPr>
        <w:t>o valor de 17-OHP aos 60 minutos</w:t>
      </w:r>
      <w:r w:rsidR="00AD5FF8" w:rsidRPr="00CA5489">
        <w:rPr>
          <w:rFonts w:ascii="Arial" w:hAnsi="Arial" w:cs="Arial"/>
          <w:sz w:val="20"/>
          <w:szCs w:val="20"/>
          <w:lang w:val="pt-PT"/>
        </w:rPr>
        <w:t xml:space="preserve"> variou entre 1600 e 8</w:t>
      </w:r>
      <w:r w:rsidRPr="00CA5489">
        <w:rPr>
          <w:rFonts w:ascii="Arial" w:hAnsi="Arial" w:cs="Arial"/>
          <w:sz w:val="20"/>
          <w:szCs w:val="20"/>
          <w:lang w:val="pt-PT"/>
        </w:rPr>
        <w:t xml:space="preserve">884 ng/dL. </w:t>
      </w:r>
    </w:p>
    <w:p w:rsidR="00BD4595" w:rsidRPr="00CA5489" w:rsidRDefault="00BD4595" w:rsidP="00BD459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 xml:space="preserve">A frequência dos defeitos moleculares encontrados na nossa amostra encontra-se </w:t>
      </w:r>
      <w:r w:rsidR="00C15CFE" w:rsidRPr="00CA5489">
        <w:rPr>
          <w:rFonts w:ascii="Arial" w:hAnsi="Arial" w:cs="Arial"/>
          <w:sz w:val="20"/>
          <w:szCs w:val="20"/>
          <w:lang w:val="pt-PT"/>
        </w:rPr>
        <w:t>discriminada na T</w:t>
      </w:r>
      <w:r w:rsidR="00A970EA" w:rsidRPr="00CA5489">
        <w:rPr>
          <w:rFonts w:ascii="Arial" w:hAnsi="Arial" w:cs="Arial"/>
          <w:sz w:val="20"/>
          <w:szCs w:val="20"/>
          <w:lang w:val="pt-PT"/>
        </w:rPr>
        <w:t>abela 2. Dos 22</w:t>
      </w:r>
      <w:r w:rsidRPr="00CA5489">
        <w:rPr>
          <w:rFonts w:ascii="Arial" w:hAnsi="Arial" w:cs="Arial"/>
          <w:sz w:val="20"/>
          <w:szCs w:val="20"/>
          <w:lang w:val="pt-PT"/>
        </w:rPr>
        <w:t xml:space="preserve"> doentes, foram identificadas m</w:t>
      </w:r>
      <w:r w:rsidR="00A970EA" w:rsidRPr="00CA5489">
        <w:rPr>
          <w:rFonts w:ascii="Arial" w:hAnsi="Arial" w:cs="Arial"/>
          <w:sz w:val="20"/>
          <w:szCs w:val="20"/>
          <w:lang w:val="pt-PT"/>
        </w:rPr>
        <w:t>utações em am</w:t>
      </w:r>
      <w:r w:rsidR="00785889" w:rsidRPr="00CA5489">
        <w:rPr>
          <w:rFonts w:ascii="Arial" w:hAnsi="Arial" w:cs="Arial"/>
          <w:sz w:val="20"/>
          <w:szCs w:val="20"/>
          <w:lang w:val="pt-PT"/>
        </w:rPr>
        <w:t>bos os alelos em 20 doentes (90,</w:t>
      </w:r>
      <w:r w:rsidR="00A970EA" w:rsidRPr="00CA5489">
        <w:rPr>
          <w:rFonts w:ascii="Arial" w:hAnsi="Arial" w:cs="Arial"/>
          <w:sz w:val="20"/>
          <w:szCs w:val="20"/>
          <w:lang w:val="pt-PT"/>
        </w:rPr>
        <w:t>9</w:t>
      </w:r>
      <w:r w:rsidRPr="00CA5489">
        <w:rPr>
          <w:rFonts w:ascii="Arial" w:hAnsi="Arial" w:cs="Arial"/>
          <w:sz w:val="20"/>
          <w:szCs w:val="20"/>
          <w:lang w:val="pt-PT"/>
        </w:rPr>
        <w:t>%), confirmando-se assim o diagnóstico genético da doença.  Em 2 doentes apenas foi identificada uma mutação (Q318X e V281L). Na forma clássica, as mutações mais prevalentes foram o I2 splice (24%) e I172N (24%), segu</w:t>
      </w:r>
      <w:r w:rsidR="00776CF2" w:rsidRPr="00CA5489">
        <w:rPr>
          <w:rFonts w:ascii="Arial" w:hAnsi="Arial" w:cs="Arial"/>
          <w:sz w:val="20"/>
          <w:szCs w:val="20"/>
          <w:lang w:val="pt-PT"/>
        </w:rPr>
        <w:t>indo-se a Q318X (16%) e as dele</w:t>
      </w:r>
      <w:r w:rsidRPr="00CA5489">
        <w:rPr>
          <w:rFonts w:ascii="Arial" w:hAnsi="Arial" w:cs="Arial"/>
          <w:sz w:val="20"/>
          <w:szCs w:val="20"/>
          <w:lang w:val="pt-PT"/>
        </w:rPr>
        <w:t>ções de genes (16%). Na forma NC, a V281L fo</w:t>
      </w:r>
      <w:r w:rsidR="0006592C" w:rsidRPr="00CA5489">
        <w:rPr>
          <w:rFonts w:ascii="Arial" w:hAnsi="Arial" w:cs="Arial"/>
          <w:sz w:val="20"/>
          <w:szCs w:val="20"/>
          <w:lang w:val="pt-PT"/>
        </w:rPr>
        <w:t>i a mutação mais frequente (80</w:t>
      </w:r>
      <w:r w:rsidRPr="00CA5489">
        <w:rPr>
          <w:rFonts w:ascii="Arial" w:hAnsi="Arial" w:cs="Arial"/>
          <w:sz w:val="20"/>
          <w:szCs w:val="20"/>
          <w:lang w:val="pt-PT"/>
        </w:rPr>
        <w:t>%).</w:t>
      </w:r>
    </w:p>
    <w:p w:rsidR="00B25BEE" w:rsidRPr="00CA5489" w:rsidRDefault="00C15CFE" w:rsidP="005E467A">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Na T</w:t>
      </w:r>
      <w:r w:rsidR="00716435" w:rsidRPr="00CA5489">
        <w:rPr>
          <w:rFonts w:ascii="Arial" w:hAnsi="Arial" w:cs="Arial"/>
          <w:sz w:val="20"/>
          <w:szCs w:val="20"/>
          <w:lang w:val="pt-PT"/>
        </w:rPr>
        <w:t>abela 3, encontram-se agrupadas o tipo de mutações de acordo com o grau d</w:t>
      </w:r>
      <w:r w:rsidR="00E96FCA" w:rsidRPr="00CA5489">
        <w:rPr>
          <w:rFonts w:ascii="Arial" w:hAnsi="Arial" w:cs="Arial"/>
          <w:sz w:val="20"/>
          <w:szCs w:val="20"/>
          <w:lang w:val="pt-PT"/>
        </w:rPr>
        <w:t>e a</w:t>
      </w:r>
      <w:r w:rsidR="00716435" w:rsidRPr="00CA5489">
        <w:rPr>
          <w:rFonts w:ascii="Arial" w:hAnsi="Arial" w:cs="Arial"/>
          <w:sz w:val="20"/>
          <w:szCs w:val="20"/>
          <w:lang w:val="pt-PT"/>
        </w:rPr>
        <w:t>tividad</w:t>
      </w:r>
      <w:r w:rsidR="00776CF2" w:rsidRPr="00CA5489">
        <w:rPr>
          <w:rFonts w:ascii="Arial" w:hAnsi="Arial" w:cs="Arial"/>
          <w:sz w:val="20"/>
          <w:szCs w:val="20"/>
          <w:lang w:val="pt-PT"/>
        </w:rPr>
        <w:t>e enzimática esperada e o respe</w:t>
      </w:r>
      <w:r w:rsidR="00716435" w:rsidRPr="00CA5489">
        <w:rPr>
          <w:rFonts w:ascii="Arial" w:hAnsi="Arial" w:cs="Arial"/>
          <w:sz w:val="20"/>
          <w:szCs w:val="20"/>
          <w:lang w:val="pt-PT"/>
        </w:rPr>
        <w:t xml:space="preserve">tivo fenótipo clínico. Oito doentes apresentavam mutações em homozigotia, 12 em heterozigotia composta e 2 em heterozigotia para uma mutação. Verificamos uma concordância genótipo-fenótipo de </w:t>
      </w:r>
      <w:r w:rsidR="000F710D" w:rsidRPr="00863196">
        <w:rPr>
          <w:rFonts w:ascii="Arial" w:hAnsi="Arial" w:cs="Arial"/>
          <w:sz w:val="20"/>
          <w:szCs w:val="20"/>
          <w:lang w:val="es-ES_tradnl"/>
        </w:rPr>
        <w:t xml:space="preserve">81,8% (18/22 </w:t>
      </w:r>
      <w:r w:rsidR="00716435" w:rsidRPr="00CA5489">
        <w:rPr>
          <w:rFonts w:ascii="Arial" w:hAnsi="Arial" w:cs="Arial"/>
          <w:sz w:val="20"/>
          <w:szCs w:val="20"/>
          <w:lang w:val="pt-PT"/>
        </w:rPr>
        <w:t>doentes), tendo sido total no</w:t>
      </w:r>
      <w:r w:rsidR="000F710D" w:rsidRPr="00CA5489">
        <w:rPr>
          <w:rFonts w:ascii="Arial" w:hAnsi="Arial" w:cs="Arial"/>
          <w:sz w:val="20"/>
          <w:szCs w:val="20"/>
          <w:lang w:val="pt-PT"/>
        </w:rPr>
        <w:t>s</w:t>
      </w:r>
      <w:r w:rsidR="00716435" w:rsidRPr="00CA5489">
        <w:rPr>
          <w:rFonts w:ascii="Arial" w:hAnsi="Arial" w:cs="Arial"/>
          <w:sz w:val="20"/>
          <w:szCs w:val="20"/>
          <w:lang w:val="pt-PT"/>
        </w:rPr>
        <w:t xml:space="preserve"> grupo</w:t>
      </w:r>
      <w:r w:rsidR="000F710D" w:rsidRPr="00CA5489">
        <w:rPr>
          <w:rFonts w:ascii="Arial" w:hAnsi="Arial" w:cs="Arial"/>
          <w:sz w:val="20"/>
          <w:szCs w:val="20"/>
          <w:lang w:val="pt-PT"/>
        </w:rPr>
        <w:t>s</w:t>
      </w:r>
      <w:r w:rsidR="00716435" w:rsidRPr="00CA5489">
        <w:rPr>
          <w:rFonts w:ascii="Arial" w:hAnsi="Arial" w:cs="Arial"/>
          <w:sz w:val="20"/>
          <w:szCs w:val="20"/>
          <w:lang w:val="pt-PT"/>
        </w:rPr>
        <w:t xml:space="preserve"> </w:t>
      </w:r>
      <w:r w:rsidR="000F710D" w:rsidRPr="00CA5489">
        <w:rPr>
          <w:rFonts w:ascii="Arial" w:hAnsi="Arial" w:cs="Arial"/>
          <w:sz w:val="20"/>
          <w:szCs w:val="20"/>
          <w:lang w:val="pt-PT"/>
        </w:rPr>
        <w:t xml:space="preserve">A e </w:t>
      </w:r>
      <w:r w:rsidR="00716435" w:rsidRPr="00CA5489">
        <w:rPr>
          <w:rFonts w:ascii="Arial" w:hAnsi="Arial" w:cs="Arial"/>
          <w:sz w:val="20"/>
          <w:szCs w:val="20"/>
          <w:lang w:val="pt-PT"/>
        </w:rPr>
        <w:t xml:space="preserve">B, </w:t>
      </w:r>
      <w:r w:rsidR="000F710D" w:rsidRPr="00CA5489">
        <w:rPr>
          <w:rFonts w:ascii="Arial" w:hAnsi="Arial" w:cs="Arial"/>
          <w:sz w:val="20"/>
          <w:szCs w:val="20"/>
          <w:lang w:val="pt-PT"/>
        </w:rPr>
        <w:t xml:space="preserve">nos quais era </w:t>
      </w:r>
      <w:r w:rsidR="00716435" w:rsidRPr="00CA5489">
        <w:rPr>
          <w:rFonts w:ascii="Arial" w:hAnsi="Arial" w:cs="Arial"/>
          <w:sz w:val="20"/>
          <w:szCs w:val="20"/>
          <w:lang w:val="pt-PT"/>
        </w:rPr>
        <w:t>esperada apresentação</w:t>
      </w:r>
      <w:r w:rsidR="000F710D" w:rsidRPr="00CA5489">
        <w:rPr>
          <w:rFonts w:ascii="Arial" w:hAnsi="Arial" w:cs="Arial"/>
          <w:sz w:val="20"/>
          <w:szCs w:val="20"/>
          <w:lang w:val="pt-PT"/>
        </w:rPr>
        <w:t xml:space="preserve"> CPS e</w:t>
      </w:r>
      <w:r w:rsidR="00716435" w:rsidRPr="00CA5489">
        <w:rPr>
          <w:rFonts w:ascii="Arial" w:hAnsi="Arial" w:cs="Arial"/>
          <w:sz w:val="20"/>
          <w:szCs w:val="20"/>
          <w:lang w:val="pt-PT"/>
        </w:rPr>
        <w:t xml:space="preserve"> </w:t>
      </w:r>
      <w:r w:rsidR="000F710D" w:rsidRPr="00CA5489">
        <w:rPr>
          <w:rFonts w:ascii="Arial" w:hAnsi="Arial" w:cs="Arial"/>
          <w:sz w:val="20"/>
          <w:szCs w:val="20"/>
          <w:lang w:val="pt-PT"/>
        </w:rPr>
        <w:t>C</w:t>
      </w:r>
      <w:r w:rsidR="00716435" w:rsidRPr="00CA5489">
        <w:rPr>
          <w:rFonts w:ascii="Arial" w:hAnsi="Arial" w:cs="Arial"/>
          <w:sz w:val="20"/>
          <w:szCs w:val="20"/>
          <w:lang w:val="pt-PT"/>
        </w:rPr>
        <w:t>VS</w:t>
      </w:r>
      <w:r w:rsidR="00B25BEE" w:rsidRPr="00CA5489">
        <w:rPr>
          <w:rFonts w:ascii="Arial" w:hAnsi="Arial" w:cs="Arial"/>
          <w:sz w:val="20"/>
          <w:szCs w:val="20"/>
          <w:lang w:val="pt-PT"/>
        </w:rPr>
        <w:t xml:space="preserve"> respe</w:t>
      </w:r>
      <w:r w:rsidR="00760F37" w:rsidRPr="00CA5489">
        <w:rPr>
          <w:rFonts w:ascii="Arial" w:hAnsi="Arial" w:cs="Arial"/>
          <w:sz w:val="20"/>
          <w:szCs w:val="20"/>
          <w:lang w:val="pt-PT"/>
        </w:rPr>
        <w:t>tivamentente</w:t>
      </w:r>
      <w:r w:rsidR="00716435" w:rsidRPr="00CA5489">
        <w:rPr>
          <w:rFonts w:ascii="Arial" w:hAnsi="Arial" w:cs="Arial"/>
          <w:sz w:val="20"/>
          <w:szCs w:val="20"/>
          <w:lang w:val="pt-PT"/>
        </w:rPr>
        <w:t xml:space="preserve">. </w:t>
      </w:r>
      <w:r w:rsidR="00B25BEE" w:rsidRPr="00CA5489">
        <w:rPr>
          <w:rFonts w:ascii="Arial" w:hAnsi="Arial" w:cs="Arial"/>
          <w:sz w:val="20"/>
          <w:szCs w:val="20"/>
          <w:highlight w:val="yellow"/>
          <w:lang w:val="pt-PT"/>
        </w:rPr>
        <w:t>Uma recém-nascida diagnosticada no primeiro dia de vida por ambiguidade genital, cujo fenótipo esperado era CPS</w:t>
      </w:r>
      <w:r w:rsidR="00D37E9B" w:rsidRPr="00CA5489">
        <w:rPr>
          <w:rFonts w:ascii="Arial" w:hAnsi="Arial" w:cs="Arial"/>
          <w:sz w:val="20"/>
          <w:szCs w:val="20"/>
          <w:highlight w:val="yellow"/>
          <w:lang w:val="pt-PT"/>
        </w:rPr>
        <w:t>,</w:t>
      </w:r>
      <w:r w:rsidR="00B25BEE" w:rsidRPr="00CA5489">
        <w:rPr>
          <w:rFonts w:ascii="Arial" w:hAnsi="Arial" w:cs="Arial"/>
          <w:sz w:val="20"/>
          <w:szCs w:val="20"/>
          <w:highlight w:val="yellow"/>
          <w:lang w:val="pt-PT"/>
        </w:rPr>
        <w:t xml:space="preserve"> </w:t>
      </w:r>
      <w:r w:rsidR="00BA0D04" w:rsidRPr="00CA5489">
        <w:rPr>
          <w:rFonts w:ascii="Arial" w:hAnsi="Arial" w:cs="Arial"/>
          <w:sz w:val="20"/>
          <w:szCs w:val="20"/>
          <w:highlight w:val="yellow"/>
          <w:lang w:val="pt-PT"/>
        </w:rPr>
        <w:t>apesar de não ter evidenciado</w:t>
      </w:r>
      <w:r w:rsidR="00B25BEE" w:rsidRPr="00CA5489">
        <w:rPr>
          <w:rFonts w:ascii="Arial" w:hAnsi="Arial" w:cs="Arial"/>
          <w:sz w:val="20"/>
          <w:szCs w:val="20"/>
          <w:highlight w:val="yellow"/>
          <w:lang w:val="pt-PT"/>
        </w:rPr>
        <w:t xml:space="preserve"> sinais de perda de sal </w:t>
      </w:r>
      <w:r w:rsidR="00BA0D04" w:rsidRPr="00CA5489">
        <w:rPr>
          <w:rFonts w:ascii="Arial" w:hAnsi="Arial" w:cs="Arial"/>
          <w:sz w:val="20"/>
          <w:szCs w:val="20"/>
          <w:highlight w:val="yellow"/>
          <w:lang w:val="pt-PT"/>
        </w:rPr>
        <w:t>foi classificada como tal, já que foi</w:t>
      </w:r>
      <w:r w:rsidR="009F4C15" w:rsidRPr="00CA5489">
        <w:rPr>
          <w:rFonts w:ascii="Arial" w:hAnsi="Arial" w:cs="Arial"/>
          <w:sz w:val="20"/>
          <w:szCs w:val="20"/>
          <w:highlight w:val="yellow"/>
          <w:lang w:val="pt-PT"/>
        </w:rPr>
        <w:t xml:space="preserve"> necessário tratamento com mineralocorticóide e suplementos de sal</w:t>
      </w:r>
      <w:r w:rsidR="00720C56" w:rsidRPr="00CA5489">
        <w:rPr>
          <w:rFonts w:ascii="Arial" w:hAnsi="Arial" w:cs="Arial"/>
          <w:sz w:val="20"/>
          <w:szCs w:val="20"/>
          <w:highlight w:val="yellow"/>
          <w:lang w:val="pt-PT"/>
        </w:rPr>
        <w:t xml:space="preserve">. </w:t>
      </w:r>
      <w:r w:rsidR="00D37E9B" w:rsidRPr="00CA5489">
        <w:rPr>
          <w:rFonts w:ascii="Arial" w:hAnsi="Arial" w:cs="Arial"/>
          <w:sz w:val="20"/>
          <w:szCs w:val="20"/>
          <w:highlight w:val="yellow"/>
          <w:lang w:val="pt-PT"/>
        </w:rPr>
        <w:t xml:space="preserve">Neste caso, o diagnóstico e tratamento foram precoces, tendo-se assim evitado a crise adrenérgica. </w:t>
      </w:r>
      <w:r w:rsidR="00720C56" w:rsidRPr="00CA5489">
        <w:rPr>
          <w:rFonts w:ascii="Arial" w:hAnsi="Arial" w:cs="Arial"/>
          <w:sz w:val="20"/>
          <w:szCs w:val="20"/>
          <w:lang w:val="pt-PT"/>
        </w:rPr>
        <w:t xml:space="preserve">No </w:t>
      </w:r>
      <w:r w:rsidR="006A7A48" w:rsidRPr="00CA5489">
        <w:rPr>
          <w:rFonts w:ascii="Arial" w:hAnsi="Arial" w:cs="Arial"/>
          <w:sz w:val="20"/>
          <w:szCs w:val="20"/>
          <w:lang w:val="pt-PT"/>
        </w:rPr>
        <w:t>grupo 0, em que era esperado fen</w:t>
      </w:r>
      <w:r w:rsidR="00E361C7" w:rsidRPr="00CA5489">
        <w:rPr>
          <w:rFonts w:ascii="Arial" w:hAnsi="Arial" w:cs="Arial"/>
          <w:sz w:val="20"/>
          <w:szCs w:val="20"/>
          <w:lang w:val="pt-PT"/>
        </w:rPr>
        <w:t>ótipo CPS, um de</w:t>
      </w:r>
      <w:r w:rsidR="00720C56" w:rsidRPr="00CA5489">
        <w:rPr>
          <w:rFonts w:ascii="Arial" w:hAnsi="Arial" w:cs="Arial"/>
          <w:sz w:val="20"/>
          <w:szCs w:val="20"/>
          <w:lang w:val="pt-PT"/>
        </w:rPr>
        <w:t xml:space="preserve"> três casos foi discordante (concordância genótipo-fenótipo de 66,7%)</w:t>
      </w:r>
      <w:r w:rsidR="00FE0456" w:rsidRPr="00CA5489">
        <w:rPr>
          <w:rFonts w:ascii="Arial" w:hAnsi="Arial" w:cs="Arial"/>
          <w:sz w:val="20"/>
          <w:szCs w:val="20"/>
          <w:lang w:val="pt-PT"/>
        </w:rPr>
        <w:t>. Tratava-se de um rapaz com mutação compatível com forma CPS</w:t>
      </w:r>
      <w:r w:rsidR="00CB2C53" w:rsidRPr="00CA5489">
        <w:rPr>
          <w:rFonts w:ascii="Arial" w:hAnsi="Arial" w:cs="Arial"/>
          <w:sz w:val="20"/>
          <w:szCs w:val="20"/>
          <w:lang w:val="pt-PT"/>
        </w:rPr>
        <w:t xml:space="preserve"> e manifestações clínicas de forma CVS</w:t>
      </w:r>
      <w:r w:rsidR="0060503A" w:rsidRPr="00CA5489">
        <w:rPr>
          <w:rFonts w:ascii="Arial" w:hAnsi="Arial" w:cs="Arial"/>
          <w:sz w:val="20"/>
          <w:szCs w:val="20"/>
          <w:lang w:val="pt-PT"/>
        </w:rPr>
        <w:t>. O diagnóstico foi feito</w:t>
      </w:r>
      <w:r w:rsidR="008B66EA" w:rsidRPr="00CA5489">
        <w:rPr>
          <w:rFonts w:ascii="Arial" w:hAnsi="Arial" w:cs="Arial"/>
          <w:sz w:val="20"/>
          <w:szCs w:val="20"/>
          <w:lang w:val="pt-PT"/>
        </w:rPr>
        <w:t xml:space="preserve"> aos 7 anos, </w:t>
      </w:r>
      <w:r w:rsidR="0060503A" w:rsidRPr="00CA5489">
        <w:rPr>
          <w:rFonts w:ascii="Arial" w:hAnsi="Arial" w:cs="Arial"/>
          <w:sz w:val="20"/>
          <w:szCs w:val="20"/>
          <w:lang w:val="pt-PT"/>
        </w:rPr>
        <w:t xml:space="preserve">por aparecimento de </w:t>
      </w:r>
      <w:r w:rsidR="008B66EA" w:rsidRPr="00CA5489">
        <w:rPr>
          <w:rFonts w:ascii="Arial" w:hAnsi="Arial" w:cs="Arial"/>
          <w:sz w:val="20"/>
          <w:szCs w:val="20"/>
          <w:lang w:val="pt-PT"/>
        </w:rPr>
        <w:t xml:space="preserve">sinais </w:t>
      </w:r>
      <w:r w:rsidR="00A7628B" w:rsidRPr="00CA5489">
        <w:rPr>
          <w:rFonts w:ascii="Arial" w:hAnsi="Arial" w:cs="Arial"/>
          <w:sz w:val="20"/>
          <w:szCs w:val="20"/>
          <w:lang w:val="pt-PT"/>
        </w:rPr>
        <w:t>pubertários</w:t>
      </w:r>
      <w:r w:rsidR="008B66EA" w:rsidRPr="00CA5489">
        <w:rPr>
          <w:rFonts w:ascii="Arial" w:hAnsi="Arial" w:cs="Arial"/>
          <w:sz w:val="20"/>
          <w:szCs w:val="20"/>
          <w:lang w:val="pt-PT"/>
        </w:rPr>
        <w:t xml:space="preserve"> e aceleração do crescimento</w:t>
      </w:r>
      <w:r w:rsidR="007C7F71" w:rsidRPr="00CA5489">
        <w:rPr>
          <w:rFonts w:ascii="Arial" w:hAnsi="Arial" w:cs="Arial"/>
          <w:sz w:val="20"/>
          <w:szCs w:val="20"/>
          <w:lang w:val="pt-PT"/>
        </w:rPr>
        <w:t xml:space="preserve">, com valores de 17-OHP basal ao diagnóstico de </w:t>
      </w:r>
      <w:r w:rsidR="0013753E">
        <w:rPr>
          <w:rFonts w:ascii="Arial" w:hAnsi="Arial" w:cs="Arial"/>
          <w:sz w:val="20"/>
          <w:szCs w:val="20"/>
          <w:lang w:val="es-ES_tradnl"/>
        </w:rPr>
        <w:t>9</w:t>
      </w:r>
      <w:r w:rsidR="007C7F71" w:rsidRPr="00863196">
        <w:rPr>
          <w:rFonts w:ascii="Arial" w:hAnsi="Arial" w:cs="Arial"/>
          <w:sz w:val="20"/>
          <w:szCs w:val="20"/>
          <w:lang w:val="es-ES_tradnl"/>
        </w:rPr>
        <w:t>554 ng/dL e 17-OHP estimulada de 8884 ng/dL</w:t>
      </w:r>
      <w:r w:rsidR="00E33A00">
        <w:rPr>
          <w:rFonts w:ascii="Arial" w:hAnsi="Arial" w:cs="Arial"/>
          <w:sz w:val="20"/>
          <w:szCs w:val="20"/>
          <w:lang w:val="es-ES_tradnl"/>
        </w:rPr>
        <w:t>.</w:t>
      </w:r>
    </w:p>
    <w:p w:rsidR="00812798" w:rsidRPr="00863196" w:rsidRDefault="000A26C1" w:rsidP="00812798">
      <w:pPr>
        <w:pStyle w:val="Default"/>
        <w:spacing w:line="360" w:lineRule="auto"/>
        <w:ind w:firstLine="720"/>
        <w:jc w:val="both"/>
        <w:rPr>
          <w:rFonts w:ascii="Arial" w:hAnsi="Arial" w:cs="Arial"/>
          <w:sz w:val="20"/>
          <w:szCs w:val="20"/>
          <w:lang w:val="es-ES_tradnl"/>
        </w:rPr>
      </w:pPr>
      <w:r w:rsidRPr="00863196">
        <w:rPr>
          <w:rFonts w:ascii="Arial" w:hAnsi="Arial" w:cs="Arial"/>
          <w:sz w:val="20"/>
          <w:szCs w:val="20"/>
          <w:lang w:val="es-ES_tradnl"/>
        </w:rPr>
        <w:t>No grupo C a concordância foi de 90% (9/10 doentes). O caso discordante</w:t>
      </w:r>
      <w:r w:rsidR="00394EEC" w:rsidRPr="00863196">
        <w:rPr>
          <w:rFonts w:ascii="Arial" w:hAnsi="Arial" w:cs="Arial"/>
          <w:sz w:val="20"/>
          <w:szCs w:val="20"/>
          <w:lang w:val="es-ES_tradnl"/>
        </w:rPr>
        <w:t xml:space="preserve"> refere-se a um </w:t>
      </w:r>
      <w:r w:rsidR="00812798" w:rsidRPr="00863196">
        <w:rPr>
          <w:rFonts w:ascii="Arial" w:hAnsi="Arial" w:cs="Arial"/>
          <w:sz w:val="20"/>
          <w:szCs w:val="20"/>
          <w:lang w:val="es-ES_tradnl"/>
        </w:rPr>
        <w:t>rapaz</w:t>
      </w:r>
      <w:r w:rsidR="00F463CA" w:rsidRPr="00863196">
        <w:rPr>
          <w:rFonts w:ascii="Arial" w:hAnsi="Arial" w:cs="Arial"/>
          <w:sz w:val="20"/>
          <w:szCs w:val="20"/>
          <w:lang w:val="es-ES_tradnl"/>
        </w:rPr>
        <w:t xml:space="preserve">, com genótipo compatível com forma NC e que apresentava fenótipo clínico CVS. </w:t>
      </w:r>
      <w:r w:rsidR="00812798" w:rsidRPr="00863196">
        <w:rPr>
          <w:rFonts w:ascii="Arial" w:hAnsi="Arial" w:cs="Arial"/>
          <w:sz w:val="20"/>
          <w:szCs w:val="20"/>
          <w:lang w:val="es-ES_tradnl"/>
        </w:rPr>
        <w:t>Aos 4 anos manifestava sinais de pseudo-puberdade precoce e aceleração marcada do crescimento, com valor de testosterona de</w:t>
      </w:r>
      <w:r w:rsidR="0013753E">
        <w:rPr>
          <w:rFonts w:ascii="Arial" w:hAnsi="Arial" w:cs="Arial"/>
          <w:sz w:val="20"/>
          <w:szCs w:val="20"/>
          <w:lang w:val="es-ES_tradnl"/>
        </w:rPr>
        <w:t xml:space="preserve">  142 ng/dL e 17-OHP basal de 4</w:t>
      </w:r>
      <w:r w:rsidR="00812798" w:rsidRPr="00863196">
        <w:rPr>
          <w:rFonts w:ascii="Arial" w:hAnsi="Arial" w:cs="Arial"/>
          <w:sz w:val="20"/>
          <w:szCs w:val="20"/>
          <w:lang w:val="es-ES_tradnl"/>
        </w:rPr>
        <w:t>550 ng/dL</w:t>
      </w:r>
      <w:r w:rsidR="00A350F4" w:rsidRPr="00A350F4">
        <w:rPr>
          <w:rFonts w:ascii="Arial" w:hAnsi="Arial" w:cs="Arial"/>
          <w:sz w:val="20"/>
          <w:szCs w:val="20"/>
          <w:highlight w:val="yellow"/>
          <w:lang w:val="es-ES_tradnl"/>
        </w:rPr>
        <w:t>.</w:t>
      </w:r>
    </w:p>
    <w:p w:rsidR="00CC24C6" w:rsidRPr="00863196" w:rsidRDefault="00812798" w:rsidP="00812798">
      <w:pPr>
        <w:pStyle w:val="Default"/>
        <w:spacing w:line="360" w:lineRule="auto"/>
        <w:ind w:firstLine="720"/>
        <w:jc w:val="both"/>
        <w:rPr>
          <w:rFonts w:ascii="Arial" w:hAnsi="Arial" w:cs="Arial"/>
          <w:sz w:val="20"/>
          <w:szCs w:val="20"/>
          <w:lang w:val="es-ES_tradnl"/>
        </w:rPr>
      </w:pPr>
      <w:r w:rsidRPr="00863196">
        <w:rPr>
          <w:rFonts w:ascii="Arial" w:hAnsi="Arial" w:cs="Arial"/>
          <w:sz w:val="20"/>
          <w:szCs w:val="20"/>
          <w:lang w:val="es-ES_tradnl"/>
        </w:rPr>
        <w:t>Dois doentes, um do sexo masculino com manifestações clínicas de forma CVS aos 3 anos e outro do sexo feminino com fenótipo NC diagnosticada aos 7 anos, apresentavam apenas uma mutação, pelo que seria de esperar que fossem assintomáticos.</w:t>
      </w:r>
    </w:p>
    <w:p w:rsidR="001A2BCE" w:rsidRPr="00863196" w:rsidRDefault="001A2BCE">
      <w:pPr>
        <w:rPr>
          <w:rFonts w:ascii="Arial" w:hAnsi="Arial" w:cs="Arial"/>
          <w:b/>
          <w:sz w:val="20"/>
          <w:szCs w:val="20"/>
          <w:lang w:val="es-ES_tradnl"/>
        </w:rPr>
      </w:pPr>
    </w:p>
    <w:p w:rsidR="0016440A" w:rsidRPr="00CA5489" w:rsidRDefault="0016440A" w:rsidP="005217E1">
      <w:pPr>
        <w:spacing w:line="360" w:lineRule="auto"/>
        <w:rPr>
          <w:rFonts w:ascii="Arial" w:hAnsi="Arial" w:cs="Arial"/>
          <w:b/>
          <w:sz w:val="20"/>
          <w:szCs w:val="20"/>
          <w:lang w:val="pt-PT"/>
        </w:rPr>
      </w:pPr>
      <w:r w:rsidRPr="00CA5489">
        <w:rPr>
          <w:rFonts w:ascii="Arial" w:hAnsi="Arial" w:cs="Arial"/>
          <w:b/>
          <w:sz w:val="20"/>
          <w:szCs w:val="20"/>
          <w:lang w:val="pt-PT"/>
        </w:rPr>
        <w:t>DISCUSSÃO</w:t>
      </w:r>
    </w:p>
    <w:p w:rsidR="00A10CB5" w:rsidRPr="00CA5489" w:rsidRDefault="0016440A" w:rsidP="00A10CB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Neste estudo, descrevemos o espectro mutacional, a frequência alélica e a correlação genótipo-fenótipo numa amostra de 22</w:t>
      </w:r>
      <w:r w:rsidR="000D4910" w:rsidRPr="00CA5489">
        <w:rPr>
          <w:rFonts w:ascii="Arial" w:hAnsi="Arial" w:cs="Arial"/>
          <w:sz w:val="20"/>
          <w:szCs w:val="20"/>
          <w:lang w:val="pt-PT"/>
        </w:rPr>
        <w:t xml:space="preserve"> doentes p</w:t>
      </w:r>
      <w:r w:rsidRPr="00CA5489">
        <w:rPr>
          <w:rFonts w:ascii="Arial" w:hAnsi="Arial" w:cs="Arial"/>
          <w:sz w:val="20"/>
          <w:szCs w:val="20"/>
          <w:lang w:val="pt-PT"/>
        </w:rPr>
        <w:t xml:space="preserve">ortugueses não relacionados com HCSR por deficiência de 21-OH. </w:t>
      </w:r>
    </w:p>
    <w:p w:rsidR="000D4910" w:rsidRPr="00CA5489" w:rsidRDefault="0016440A" w:rsidP="00A10CB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Todos os doentes apresentaram as mutações descritas na literatura</w:t>
      </w:r>
      <w:r w:rsidR="006F4D6B" w:rsidRPr="00CA5489">
        <w:rPr>
          <w:rFonts w:ascii="Arial" w:hAnsi="Arial" w:cs="Arial"/>
          <w:sz w:val="20"/>
          <w:szCs w:val="20"/>
          <w:lang w:val="pt-PT"/>
        </w:rPr>
        <w:t>,</w:t>
      </w:r>
      <w:r w:rsidRPr="00CA5489">
        <w:rPr>
          <w:rFonts w:ascii="Arial" w:hAnsi="Arial" w:cs="Arial"/>
          <w:sz w:val="20"/>
          <w:szCs w:val="20"/>
          <w:vertAlign w:val="superscript"/>
          <w:lang w:val="pt-PT"/>
        </w:rPr>
        <w:t>6,7,11</w:t>
      </w:r>
      <w:r w:rsidR="000313AD" w:rsidRPr="00CA5489">
        <w:rPr>
          <w:rFonts w:ascii="Arial" w:hAnsi="Arial" w:cs="Arial"/>
          <w:sz w:val="20"/>
          <w:szCs w:val="20"/>
          <w:vertAlign w:val="superscript"/>
          <w:lang w:val="pt-PT"/>
        </w:rPr>
        <w:t xml:space="preserve"> </w:t>
      </w:r>
      <w:r w:rsidRPr="00CA5489">
        <w:rPr>
          <w:rFonts w:ascii="Arial" w:hAnsi="Arial" w:cs="Arial"/>
          <w:sz w:val="20"/>
          <w:szCs w:val="20"/>
          <w:lang w:val="pt-PT"/>
        </w:rPr>
        <w:t>geradas pela recombinação ent</w:t>
      </w:r>
      <w:r w:rsidR="00F65AE7" w:rsidRPr="00CA5489">
        <w:rPr>
          <w:rFonts w:ascii="Arial" w:hAnsi="Arial" w:cs="Arial"/>
          <w:sz w:val="20"/>
          <w:szCs w:val="20"/>
          <w:lang w:val="pt-PT"/>
        </w:rPr>
        <w:t>re o gene ativo CYP21 e o respe</w:t>
      </w:r>
      <w:r w:rsidRPr="00CA5489">
        <w:rPr>
          <w:rFonts w:ascii="Arial" w:hAnsi="Arial" w:cs="Arial"/>
          <w:sz w:val="20"/>
          <w:szCs w:val="20"/>
          <w:lang w:val="pt-PT"/>
        </w:rPr>
        <w:t xml:space="preserve">tivo pseudogene. </w:t>
      </w:r>
    </w:p>
    <w:p w:rsidR="001F2769" w:rsidRPr="00CA5489" w:rsidRDefault="00F65AE7" w:rsidP="000D4910">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O espec</w:t>
      </w:r>
      <w:r w:rsidR="0016440A" w:rsidRPr="00CA5489">
        <w:rPr>
          <w:rFonts w:ascii="Arial" w:hAnsi="Arial" w:cs="Arial"/>
          <w:sz w:val="20"/>
          <w:szCs w:val="20"/>
          <w:lang w:val="pt-PT"/>
        </w:rPr>
        <w:t>tro mutacional encontrado na nossa amostra foi, em geral, semelhante ao encontrado noutros estudos.</w:t>
      </w:r>
      <w:r w:rsidR="000313AD" w:rsidRPr="00CA5489">
        <w:rPr>
          <w:rFonts w:ascii="Arial" w:hAnsi="Arial" w:cs="Arial"/>
          <w:sz w:val="20"/>
          <w:szCs w:val="20"/>
          <w:vertAlign w:val="superscript"/>
          <w:lang w:val="pt-PT"/>
        </w:rPr>
        <w:t>6,7,14,15,</w:t>
      </w:r>
      <w:r w:rsidR="000313AD" w:rsidRPr="00CA5489">
        <w:rPr>
          <w:rFonts w:ascii="Arial" w:hAnsi="Arial" w:cs="Arial"/>
          <w:sz w:val="20"/>
          <w:szCs w:val="20"/>
          <w:highlight w:val="yellow"/>
          <w:vertAlign w:val="superscript"/>
          <w:lang w:val="pt-PT"/>
        </w:rPr>
        <w:t>16,17</w:t>
      </w:r>
      <w:r w:rsidR="00DB6E4F" w:rsidRPr="00CA5489">
        <w:rPr>
          <w:rFonts w:ascii="Arial" w:hAnsi="Arial" w:cs="Arial"/>
          <w:sz w:val="20"/>
          <w:szCs w:val="20"/>
          <w:vertAlign w:val="superscript"/>
          <w:lang w:val="pt-PT"/>
        </w:rPr>
        <w:t xml:space="preserve"> </w:t>
      </w:r>
      <w:r w:rsidR="0016440A" w:rsidRPr="00CA5489">
        <w:rPr>
          <w:rFonts w:ascii="Arial" w:hAnsi="Arial" w:cs="Arial"/>
          <w:sz w:val="20"/>
          <w:szCs w:val="20"/>
          <w:lang w:val="pt-PT"/>
        </w:rPr>
        <w:t>As mutações mais preva</w:t>
      </w:r>
      <w:r w:rsidR="006F4D6B" w:rsidRPr="00CA5489">
        <w:rPr>
          <w:rFonts w:ascii="Arial" w:hAnsi="Arial" w:cs="Arial"/>
          <w:sz w:val="20"/>
          <w:szCs w:val="20"/>
          <w:lang w:val="pt-PT"/>
        </w:rPr>
        <w:t>lentes na forma clássica foram</w:t>
      </w:r>
      <w:r w:rsidR="0016440A" w:rsidRPr="00CA5489">
        <w:rPr>
          <w:rFonts w:ascii="Arial" w:hAnsi="Arial" w:cs="Arial"/>
          <w:sz w:val="20"/>
          <w:szCs w:val="20"/>
          <w:lang w:val="pt-PT"/>
        </w:rPr>
        <w:t xml:space="preserve"> I2 splice (24%) e </w:t>
      </w:r>
      <w:r w:rsidR="006F4D6B" w:rsidRPr="00CA5489">
        <w:rPr>
          <w:rFonts w:ascii="Arial" w:hAnsi="Arial" w:cs="Arial"/>
          <w:sz w:val="20"/>
          <w:szCs w:val="20"/>
          <w:lang w:val="pt-PT"/>
        </w:rPr>
        <w:t xml:space="preserve">I172N (24%), seguindo-se a </w:t>
      </w:r>
      <w:r w:rsidR="00C97AEF" w:rsidRPr="00CA5489">
        <w:rPr>
          <w:rFonts w:ascii="Arial" w:hAnsi="Arial" w:cs="Arial"/>
          <w:sz w:val="20"/>
          <w:szCs w:val="20"/>
          <w:lang w:val="pt-PT"/>
        </w:rPr>
        <w:t>Q318X (16%) e as dele</w:t>
      </w:r>
      <w:r w:rsidR="0016440A" w:rsidRPr="00CA5489">
        <w:rPr>
          <w:rFonts w:ascii="Arial" w:hAnsi="Arial" w:cs="Arial"/>
          <w:sz w:val="20"/>
          <w:szCs w:val="20"/>
          <w:lang w:val="pt-PT"/>
        </w:rPr>
        <w:t>ções de genes (16%).</w:t>
      </w:r>
      <w:r w:rsidR="00167FC1" w:rsidRPr="00CA5489">
        <w:rPr>
          <w:rFonts w:ascii="Arial" w:hAnsi="Arial" w:cs="Arial"/>
          <w:sz w:val="20"/>
          <w:szCs w:val="20"/>
          <w:lang w:val="pt-PT"/>
        </w:rPr>
        <w:t xml:space="preserve"> </w:t>
      </w:r>
      <w:r w:rsidR="0016440A" w:rsidRPr="00CA5489">
        <w:rPr>
          <w:rFonts w:ascii="Arial" w:hAnsi="Arial" w:cs="Arial"/>
          <w:sz w:val="20"/>
          <w:szCs w:val="20"/>
          <w:lang w:val="pt-PT"/>
        </w:rPr>
        <w:t>A frequência da mutação Q318X foi maior na nossa amostra do que na maioria das populações, embora concordante com outros estudos.</w:t>
      </w:r>
      <w:r w:rsidR="00A077B4" w:rsidRPr="00CA5489">
        <w:rPr>
          <w:rFonts w:ascii="Arial" w:hAnsi="Arial" w:cs="Arial"/>
          <w:sz w:val="20"/>
          <w:szCs w:val="20"/>
          <w:highlight w:val="yellow"/>
          <w:vertAlign w:val="superscript"/>
          <w:lang w:val="pt-PT"/>
        </w:rPr>
        <w:t>18</w:t>
      </w:r>
      <w:r w:rsidR="006306B7" w:rsidRPr="00CA5489">
        <w:rPr>
          <w:rFonts w:ascii="Arial" w:hAnsi="Arial" w:cs="Arial"/>
          <w:sz w:val="20"/>
          <w:szCs w:val="20"/>
          <w:highlight w:val="yellow"/>
          <w:vertAlign w:val="superscript"/>
          <w:lang w:val="pt-PT"/>
        </w:rPr>
        <w:t>,1</w:t>
      </w:r>
      <w:r w:rsidR="00A077B4" w:rsidRPr="00CA5489">
        <w:rPr>
          <w:rFonts w:ascii="Arial" w:hAnsi="Arial" w:cs="Arial"/>
          <w:sz w:val="20"/>
          <w:szCs w:val="20"/>
          <w:highlight w:val="yellow"/>
          <w:vertAlign w:val="superscript"/>
          <w:lang w:val="pt-PT"/>
        </w:rPr>
        <w:t>9</w:t>
      </w:r>
      <w:r w:rsidR="0016440A" w:rsidRPr="00CA5489">
        <w:rPr>
          <w:rFonts w:ascii="Arial" w:hAnsi="Arial" w:cs="Arial"/>
          <w:sz w:val="20"/>
          <w:szCs w:val="20"/>
          <w:lang w:val="pt-PT"/>
        </w:rPr>
        <w:t xml:space="preserve"> Na forma NC, a V281L foi a mu</w:t>
      </w:r>
      <w:r w:rsidR="00D12522" w:rsidRPr="00CA5489">
        <w:rPr>
          <w:rFonts w:ascii="Arial" w:hAnsi="Arial" w:cs="Arial"/>
          <w:sz w:val="20"/>
          <w:szCs w:val="20"/>
          <w:lang w:val="pt-PT"/>
        </w:rPr>
        <w:t>tação preponderante (</w:t>
      </w:r>
      <w:r w:rsidR="0016440A" w:rsidRPr="00CA5489">
        <w:rPr>
          <w:rFonts w:ascii="Arial" w:hAnsi="Arial" w:cs="Arial"/>
          <w:sz w:val="20"/>
          <w:szCs w:val="20"/>
          <w:lang w:val="pt-PT"/>
        </w:rPr>
        <w:t>8</w:t>
      </w:r>
      <w:r w:rsidR="00D12522" w:rsidRPr="00CA5489">
        <w:rPr>
          <w:rFonts w:ascii="Arial" w:hAnsi="Arial" w:cs="Arial"/>
          <w:sz w:val="20"/>
          <w:szCs w:val="20"/>
          <w:lang w:val="pt-PT"/>
        </w:rPr>
        <w:t>0</w:t>
      </w:r>
      <w:r w:rsidR="0016440A" w:rsidRPr="00CA5489">
        <w:rPr>
          <w:rFonts w:ascii="Arial" w:hAnsi="Arial" w:cs="Arial"/>
          <w:sz w:val="20"/>
          <w:szCs w:val="20"/>
          <w:lang w:val="pt-PT"/>
        </w:rPr>
        <w:t>%), como em todas as populações estudas.</w:t>
      </w:r>
      <w:r w:rsidR="00A6187B" w:rsidRPr="00CA5489">
        <w:rPr>
          <w:rFonts w:ascii="Arial" w:hAnsi="Arial" w:cs="Arial"/>
          <w:sz w:val="20"/>
          <w:szCs w:val="20"/>
          <w:vertAlign w:val="superscript"/>
          <w:lang w:val="pt-PT"/>
        </w:rPr>
        <w:t xml:space="preserve"> 6-9,</w:t>
      </w:r>
      <w:r w:rsidR="00A6187B" w:rsidRPr="00CA5489">
        <w:rPr>
          <w:rFonts w:ascii="Arial" w:hAnsi="Arial" w:cs="Arial"/>
          <w:sz w:val="20"/>
          <w:szCs w:val="20"/>
          <w:highlight w:val="yellow"/>
          <w:vertAlign w:val="superscript"/>
          <w:lang w:val="pt-PT"/>
        </w:rPr>
        <w:t>16,</w:t>
      </w:r>
      <w:r w:rsidR="002F65E7" w:rsidRPr="00CA5489">
        <w:rPr>
          <w:rFonts w:ascii="Arial" w:hAnsi="Arial" w:cs="Arial"/>
          <w:sz w:val="20"/>
          <w:szCs w:val="20"/>
          <w:highlight w:val="yellow"/>
          <w:vertAlign w:val="superscript"/>
          <w:lang w:val="pt-PT"/>
        </w:rPr>
        <w:t>17,</w:t>
      </w:r>
      <w:r w:rsidR="00A6187B" w:rsidRPr="00CA5489">
        <w:rPr>
          <w:rFonts w:ascii="Arial" w:hAnsi="Arial" w:cs="Arial"/>
          <w:sz w:val="20"/>
          <w:szCs w:val="20"/>
          <w:highlight w:val="yellow"/>
          <w:vertAlign w:val="superscript"/>
          <w:lang w:val="pt-PT"/>
        </w:rPr>
        <w:t>19-22</w:t>
      </w:r>
      <w:r w:rsidR="0016440A" w:rsidRPr="00CA5489">
        <w:rPr>
          <w:rFonts w:ascii="Arial" w:hAnsi="Arial" w:cs="Arial"/>
          <w:sz w:val="20"/>
          <w:szCs w:val="20"/>
          <w:lang w:val="pt-PT"/>
        </w:rPr>
        <w:t xml:space="preserve"> Verificamos uma boa correlação genótipo-fenótipo (</w:t>
      </w:r>
      <w:r w:rsidR="00D53239" w:rsidRPr="00CA5489">
        <w:rPr>
          <w:rFonts w:ascii="Arial" w:hAnsi="Arial" w:cs="Arial"/>
          <w:sz w:val="20"/>
          <w:szCs w:val="20"/>
          <w:lang w:val="pt-PT"/>
        </w:rPr>
        <w:t>correlação global de 81,8</w:t>
      </w:r>
      <w:r w:rsidR="0016440A" w:rsidRPr="00CA5489">
        <w:rPr>
          <w:rFonts w:ascii="Arial" w:hAnsi="Arial" w:cs="Arial"/>
          <w:sz w:val="20"/>
          <w:szCs w:val="20"/>
          <w:lang w:val="pt-PT"/>
        </w:rPr>
        <w:t>%) e</w:t>
      </w:r>
      <w:r w:rsidR="00504C49" w:rsidRPr="00CA5489">
        <w:rPr>
          <w:rFonts w:ascii="Arial" w:hAnsi="Arial" w:cs="Arial"/>
          <w:sz w:val="20"/>
          <w:szCs w:val="20"/>
          <w:lang w:val="pt-PT"/>
        </w:rPr>
        <w:t xml:space="preserve"> o genótipo permitiu prever o fenótipo em 83,3%, 100% e 90% dos doentes com mutações compatíveis com a forma CPS, CVS e NC, respetivamente.  Os grupos A e B</w:t>
      </w:r>
      <w:r w:rsidR="0016440A" w:rsidRPr="00CA5489">
        <w:rPr>
          <w:rFonts w:ascii="Arial" w:hAnsi="Arial" w:cs="Arial"/>
          <w:sz w:val="20"/>
          <w:szCs w:val="20"/>
          <w:lang w:val="pt-PT"/>
        </w:rPr>
        <w:t xml:space="preserve"> foram aqueles em que obtivemos maior concordância. Esta diferença em relação a outros estudos</w:t>
      </w:r>
      <w:r w:rsidR="001804CF" w:rsidRPr="00CA5489">
        <w:rPr>
          <w:rFonts w:ascii="Arial" w:hAnsi="Arial" w:cs="Arial"/>
          <w:sz w:val="20"/>
          <w:szCs w:val="20"/>
          <w:vertAlign w:val="superscript"/>
          <w:lang w:val="pt-PT"/>
        </w:rPr>
        <w:t>13,15-</w:t>
      </w:r>
      <w:r w:rsidR="001804CF" w:rsidRPr="00CA5489">
        <w:rPr>
          <w:rFonts w:ascii="Arial" w:hAnsi="Arial" w:cs="Arial"/>
          <w:sz w:val="20"/>
          <w:szCs w:val="20"/>
          <w:highlight w:val="yellow"/>
          <w:vertAlign w:val="superscript"/>
          <w:lang w:val="pt-PT"/>
        </w:rPr>
        <w:t>20</w:t>
      </w:r>
      <w:r w:rsidR="0016440A" w:rsidRPr="00CA5489">
        <w:rPr>
          <w:rFonts w:ascii="Arial" w:hAnsi="Arial" w:cs="Arial"/>
          <w:sz w:val="20"/>
          <w:szCs w:val="20"/>
          <w:highlight w:val="yellow"/>
          <w:vertAlign w:val="superscript"/>
          <w:lang w:val="pt-PT"/>
        </w:rPr>
        <w:t>,2</w:t>
      </w:r>
      <w:r w:rsidR="001804CF" w:rsidRPr="00CA5489">
        <w:rPr>
          <w:rFonts w:ascii="Arial" w:hAnsi="Arial" w:cs="Arial"/>
          <w:sz w:val="20"/>
          <w:szCs w:val="20"/>
          <w:highlight w:val="yellow"/>
          <w:vertAlign w:val="superscript"/>
          <w:lang w:val="pt-PT"/>
        </w:rPr>
        <w:t>3</w:t>
      </w:r>
      <w:r w:rsidR="0016440A" w:rsidRPr="00CA5489">
        <w:rPr>
          <w:rFonts w:ascii="Arial" w:hAnsi="Arial" w:cs="Arial"/>
          <w:sz w:val="20"/>
          <w:szCs w:val="20"/>
          <w:lang w:val="pt-PT"/>
        </w:rPr>
        <w:t xml:space="preserve"> (em que a maior concordância ocorreu nos grupos extremos de gravidade) poderá explicar-se pelo r</w:t>
      </w:r>
      <w:r w:rsidR="001F1CB5" w:rsidRPr="00CA5489">
        <w:rPr>
          <w:rFonts w:ascii="Arial" w:hAnsi="Arial" w:cs="Arial"/>
          <w:sz w:val="20"/>
          <w:szCs w:val="20"/>
          <w:lang w:val="pt-PT"/>
        </w:rPr>
        <w:t xml:space="preserve">eduzido tamanho </w:t>
      </w:r>
      <w:r w:rsidR="000D4910" w:rsidRPr="00CA5489">
        <w:rPr>
          <w:rFonts w:ascii="Arial" w:hAnsi="Arial" w:cs="Arial"/>
          <w:sz w:val="20"/>
          <w:szCs w:val="20"/>
          <w:lang w:val="pt-PT"/>
        </w:rPr>
        <w:t xml:space="preserve">da amostra </w:t>
      </w:r>
      <w:r w:rsidR="0016440A" w:rsidRPr="00CA5489">
        <w:rPr>
          <w:rFonts w:ascii="Arial" w:hAnsi="Arial" w:cs="Arial"/>
          <w:sz w:val="20"/>
          <w:szCs w:val="20"/>
          <w:lang w:val="pt-PT"/>
        </w:rPr>
        <w:t xml:space="preserve">e pelo tipo de mutações encontradas. </w:t>
      </w:r>
      <w:r w:rsidR="001F1CB5" w:rsidRPr="00CA5489">
        <w:rPr>
          <w:rFonts w:ascii="Arial" w:hAnsi="Arial" w:cs="Arial"/>
          <w:sz w:val="20"/>
          <w:szCs w:val="20"/>
          <w:lang w:val="pt-PT"/>
        </w:rPr>
        <w:t xml:space="preserve">Num dos doentes </w:t>
      </w:r>
      <w:r w:rsidR="00065998" w:rsidRPr="00CA5489">
        <w:rPr>
          <w:rFonts w:ascii="Arial" w:hAnsi="Arial" w:cs="Arial"/>
          <w:sz w:val="20"/>
          <w:szCs w:val="20"/>
          <w:highlight w:val="yellow"/>
          <w:lang w:val="pt-PT"/>
        </w:rPr>
        <w:t>(caso 12</w:t>
      </w:r>
      <w:r w:rsidR="001F1CB5" w:rsidRPr="00CA5489">
        <w:rPr>
          <w:rFonts w:ascii="Arial" w:hAnsi="Arial" w:cs="Arial"/>
          <w:sz w:val="20"/>
          <w:szCs w:val="20"/>
          <w:highlight w:val="yellow"/>
          <w:lang w:val="pt-PT"/>
        </w:rPr>
        <w:t>),</w:t>
      </w:r>
      <w:r w:rsidR="001F1CB5" w:rsidRPr="00CA5489">
        <w:rPr>
          <w:rFonts w:ascii="Arial" w:hAnsi="Arial" w:cs="Arial"/>
          <w:sz w:val="20"/>
          <w:szCs w:val="20"/>
          <w:lang w:val="pt-PT"/>
        </w:rPr>
        <w:t xml:space="preserve"> o fenótipo observado foi menos</w:t>
      </w:r>
      <w:r w:rsidR="0016440A" w:rsidRPr="00CA5489">
        <w:rPr>
          <w:rFonts w:ascii="Arial" w:hAnsi="Arial" w:cs="Arial"/>
          <w:sz w:val="20"/>
          <w:szCs w:val="20"/>
          <w:lang w:val="pt-PT"/>
        </w:rPr>
        <w:t xml:space="preserve"> grave do que o esperado. </w:t>
      </w:r>
      <w:r w:rsidR="001F1CB5" w:rsidRPr="00CA5489">
        <w:rPr>
          <w:rFonts w:ascii="Arial" w:hAnsi="Arial" w:cs="Arial"/>
          <w:sz w:val="20"/>
          <w:szCs w:val="20"/>
          <w:lang w:val="pt-PT"/>
        </w:rPr>
        <w:t>Tratava-se de um doente com 2 mutações anuladoras, cuja forma de apresentação foi CVS. Nestes casos, alguns estudos</w:t>
      </w:r>
      <w:r w:rsidR="001F1CB5" w:rsidRPr="00863196">
        <w:rPr>
          <w:rFonts w:ascii="Arial" w:hAnsi="Arial" w:cs="Arial"/>
          <w:sz w:val="20"/>
          <w:szCs w:val="20"/>
          <w:vertAlign w:val="superscript"/>
          <w:lang w:val="es-ES_tradnl"/>
        </w:rPr>
        <w:t>13,</w:t>
      </w:r>
      <w:r w:rsidR="001F1CB5" w:rsidRPr="00C04896">
        <w:rPr>
          <w:rFonts w:ascii="Arial" w:hAnsi="Arial" w:cs="Arial"/>
          <w:sz w:val="20"/>
          <w:szCs w:val="20"/>
          <w:highlight w:val="yellow"/>
          <w:vertAlign w:val="superscript"/>
          <w:lang w:val="es-ES_tradnl"/>
        </w:rPr>
        <w:t>2</w:t>
      </w:r>
      <w:r w:rsidR="00C04896" w:rsidRPr="00C04896">
        <w:rPr>
          <w:rFonts w:ascii="Arial" w:hAnsi="Arial" w:cs="Arial"/>
          <w:sz w:val="20"/>
          <w:szCs w:val="20"/>
          <w:highlight w:val="yellow"/>
          <w:vertAlign w:val="superscript"/>
          <w:lang w:val="es-ES_tradnl"/>
        </w:rPr>
        <w:t>4</w:t>
      </w:r>
      <w:r w:rsidR="001F1CB5" w:rsidRPr="00CA5489">
        <w:rPr>
          <w:rFonts w:ascii="Arial" w:hAnsi="Arial" w:cs="Arial"/>
          <w:sz w:val="20"/>
          <w:szCs w:val="20"/>
          <w:lang w:val="pt-PT"/>
        </w:rPr>
        <w:t xml:space="preserve"> colocam a hipótese </w:t>
      </w:r>
      <w:r w:rsidR="001F2769" w:rsidRPr="00CA5489">
        <w:rPr>
          <w:rFonts w:ascii="Arial" w:hAnsi="Arial" w:cs="Arial"/>
          <w:sz w:val="20"/>
          <w:szCs w:val="20"/>
          <w:lang w:val="pt-PT"/>
        </w:rPr>
        <w:t xml:space="preserve">de que as variações genéticas no </w:t>
      </w:r>
      <w:r w:rsidR="001F2769" w:rsidRPr="00863196">
        <w:rPr>
          <w:rFonts w:ascii="Arial" w:hAnsi="Arial" w:cs="Arial"/>
          <w:sz w:val="20"/>
          <w:szCs w:val="20"/>
          <w:lang w:val="es-ES_tradnl"/>
        </w:rPr>
        <w:t xml:space="preserve">CYP2C19 y CYP3A4, a presença de outras enzimas com capacidade de  modular o </w:t>
      </w:r>
      <w:r w:rsidR="00246E21" w:rsidRPr="00863196">
        <w:rPr>
          <w:rFonts w:ascii="Arial" w:hAnsi="Arial" w:cs="Arial"/>
          <w:sz w:val="20"/>
          <w:szCs w:val="20"/>
          <w:lang w:val="es-ES_tradnl"/>
        </w:rPr>
        <w:t>equilí</w:t>
      </w:r>
      <w:r w:rsidR="001F2769" w:rsidRPr="00863196">
        <w:rPr>
          <w:rFonts w:ascii="Arial" w:hAnsi="Arial" w:cs="Arial"/>
          <w:sz w:val="20"/>
          <w:szCs w:val="20"/>
          <w:lang w:val="es-ES_tradnl"/>
        </w:rPr>
        <w:t>brio hidroelectrolítico dos doentes co</w:t>
      </w:r>
      <w:r w:rsidR="005137E1" w:rsidRPr="00863196">
        <w:rPr>
          <w:rFonts w:ascii="Arial" w:hAnsi="Arial" w:cs="Arial"/>
          <w:sz w:val="20"/>
          <w:szCs w:val="20"/>
          <w:lang w:val="es-ES_tradnl"/>
        </w:rPr>
        <w:t>m HCSR, ou uma combinação de fa</w:t>
      </w:r>
      <w:r w:rsidR="001F2769" w:rsidRPr="00863196">
        <w:rPr>
          <w:rFonts w:ascii="Arial" w:hAnsi="Arial" w:cs="Arial"/>
          <w:sz w:val="20"/>
          <w:szCs w:val="20"/>
          <w:lang w:val="es-ES_tradnl"/>
        </w:rPr>
        <w:t>tores d</w:t>
      </w:r>
      <w:r w:rsidR="005137E1" w:rsidRPr="00863196">
        <w:rPr>
          <w:rFonts w:ascii="Arial" w:hAnsi="Arial" w:cs="Arial"/>
          <w:sz w:val="20"/>
          <w:szCs w:val="20"/>
          <w:lang w:val="es-ES_tradnl"/>
        </w:rPr>
        <w:t>esconhecidos possam modelar a a</w:t>
      </w:r>
      <w:r w:rsidR="001F2769" w:rsidRPr="00863196">
        <w:rPr>
          <w:rFonts w:ascii="Arial" w:hAnsi="Arial" w:cs="Arial"/>
          <w:sz w:val="20"/>
          <w:szCs w:val="20"/>
          <w:lang w:val="es-ES_tradnl"/>
        </w:rPr>
        <w:t xml:space="preserve">ção esteróide </w:t>
      </w:r>
      <w:r w:rsidR="004411A4" w:rsidRPr="00CA5489">
        <w:rPr>
          <w:rFonts w:ascii="Arial" w:hAnsi="Arial" w:cs="Arial"/>
          <w:sz w:val="20"/>
          <w:szCs w:val="20"/>
          <w:lang w:val="pt-PT"/>
        </w:rPr>
        <w:t>e, deste modo, explicar estes achados.</w:t>
      </w:r>
    </w:p>
    <w:p w:rsidR="00CC5B61" w:rsidRPr="00CA5489" w:rsidRDefault="00CC5B61" w:rsidP="00CC5B61">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 xml:space="preserve">Pelo contrário, um dos doentes (caso 11) </w:t>
      </w:r>
      <w:r w:rsidR="0051202B" w:rsidRPr="00CA5489">
        <w:rPr>
          <w:rFonts w:ascii="Arial" w:hAnsi="Arial" w:cs="Arial"/>
          <w:sz w:val="20"/>
          <w:szCs w:val="20"/>
          <w:lang w:val="pt-PT"/>
        </w:rPr>
        <w:t>manifestou</w:t>
      </w:r>
      <w:r w:rsidRPr="00CA5489">
        <w:rPr>
          <w:rFonts w:ascii="Arial" w:hAnsi="Arial" w:cs="Arial"/>
          <w:sz w:val="20"/>
          <w:szCs w:val="20"/>
          <w:lang w:val="pt-PT"/>
        </w:rPr>
        <w:t xml:space="preserve"> uma forma mais grave do que a prevista pelo genótipo. Apresentava manifestações clínicas</w:t>
      </w:r>
      <w:r w:rsidR="0051202B" w:rsidRPr="00CA5489">
        <w:rPr>
          <w:rFonts w:ascii="Arial" w:hAnsi="Arial" w:cs="Arial"/>
          <w:sz w:val="20"/>
          <w:szCs w:val="20"/>
          <w:lang w:val="pt-PT"/>
        </w:rPr>
        <w:t xml:space="preserve"> compatíveis</w:t>
      </w:r>
      <w:r w:rsidRPr="00CA5489">
        <w:rPr>
          <w:rFonts w:ascii="Arial" w:hAnsi="Arial" w:cs="Arial"/>
          <w:sz w:val="20"/>
          <w:szCs w:val="20"/>
          <w:lang w:val="pt-PT"/>
        </w:rPr>
        <w:t xml:space="preserve"> com forma CVS, com genótipo preditor de forma </w:t>
      </w:r>
      <w:r w:rsidR="00E96FCA" w:rsidRPr="00CA5489">
        <w:rPr>
          <w:rFonts w:ascii="Arial" w:hAnsi="Arial" w:cs="Arial"/>
          <w:sz w:val="20"/>
          <w:szCs w:val="20"/>
          <w:lang w:val="pt-PT"/>
        </w:rPr>
        <w:t>NC. A grande variabilidade da a</w:t>
      </w:r>
      <w:r w:rsidRPr="00CA5489">
        <w:rPr>
          <w:rFonts w:ascii="Arial" w:hAnsi="Arial" w:cs="Arial"/>
          <w:sz w:val="20"/>
          <w:szCs w:val="20"/>
          <w:lang w:val="pt-PT"/>
        </w:rPr>
        <w:t>tividade enzimática da mutação I172N</w:t>
      </w:r>
      <w:r w:rsidRPr="00CA5489">
        <w:rPr>
          <w:rFonts w:ascii="Arial" w:hAnsi="Arial" w:cs="Arial"/>
          <w:sz w:val="20"/>
          <w:szCs w:val="20"/>
          <w:vertAlign w:val="superscript"/>
          <w:lang w:val="pt-PT"/>
        </w:rPr>
        <w:t>13</w:t>
      </w:r>
      <w:r w:rsidR="003C3F18" w:rsidRPr="00CA5489">
        <w:rPr>
          <w:rFonts w:ascii="Arial" w:hAnsi="Arial" w:cs="Arial"/>
          <w:sz w:val="20"/>
          <w:szCs w:val="20"/>
          <w:vertAlign w:val="superscript"/>
          <w:lang w:val="pt-PT"/>
        </w:rPr>
        <w:t xml:space="preserve"> </w:t>
      </w:r>
      <w:r w:rsidRPr="00CA5489">
        <w:rPr>
          <w:rFonts w:ascii="Arial" w:hAnsi="Arial" w:cs="Arial"/>
          <w:sz w:val="20"/>
          <w:szCs w:val="20"/>
          <w:lang w:val="pt-PT"/>
        </w:rPr>
        <w:t xml:space="preserve">poderá contribuir para a </w:t>
      </w:r>
      <w:r w:rsidRPr="00CA5489">
        <w:rPr>
          <w:rFonts w:ascii="Arial" w:hAnsi="Arial" w:cs="Arial"/>
          <w:strike/>
          <w:sz w:val="20"/>
          <w:szCs w:val="20"/>
          <w:highlight w:val="yellow"/>
          <w:lang w:val="pt-PT"/>
        </w:rPr>
        <w:t>a</w:t>
      </w:r>
      <w:r w:rsidRPr="00CA5489">
        <w:rPr>
          <w:rFonts w:ascii="Arial" w:hAnsi="Arial" w:cs="Arial"/>
          <w:sz w:val="20"/>
          <w:szCs w:val="20"/>
          <w:lang w:val="pt-PT"/>
        </w:rPr>
        <w:t xml:space="preserve"> variabilidade fenotípica e ser uma possível explicação neste caso</w:t>
      </w:r>
      <w:r w:rsidR="00D73F3E" w:rsidRPr="00CA5489">
        <w:rPr>
          <w:rFonts w:ascii="Arial" w:hAnsi="Arial" w:cs="Arial"/>
          <w:sz w:val="16"/>
          <w:szCs w:val="16"/>
          <w:lang w:val="pt-PT"/>
        </w:rPr>
        <w:t xml:space="preserve">. </w:t>
      </w:r>
      <w:r w:rsidRPr="00CA5489">
        <w:rPr>
          <w:rFonts w:ascii="Arial" w:hAnsi="Arial" w:cs="Arial"/>
          <w:sz w:val="20"/>
          <w:szCs w:val="20"/>
          <w:lang w:val="pt-PT"/>
        </w:rPr>
        <w:t>As discrepâncias observadas podem também ser explicadas por novas mutações</w:t>
      </w:r>
      <w:r w:rsidR="00CA1B15" w:rsidRPr="00CA5489">
        <w:rPr>
          <w:rFonts w:ascii="Arial" w:hAnsi="Arial" w:cs="Arial"/>
          <w:sz w:val="20"/>
          <w:szCs w:val="20"/>
          <w:lang w:val="pt-PT"/>
        </w:rPr>
        <w:t xml:space="preserve"> que não foram pesquisadas à data do diagnóstico</w:t>
      </w:r>
      <w:r w:rsidR="00DC6BA3" w:rsidRPr="00CA5489">
        <w:rPr>
          <w:rFonts w:ascii="Arial" w:hAnsi="Arial" w:cs="Arial"/>
          <w:sz w:val="20"/>
          <w:szCs w:val="20"/>
          <w:lang w:val="pt-PT"/>
        </w:rPr>
        <w:t xml:space="preserve"> </w:t>
      </w:r>
      <w:r w:rsidR="00DC6BA3" w:rsidRPr="00CA5489">
        <w:rPr>
          <w:rFonts w:ascii="Arial" w:hAnsi="Arial" w:cs="Arial"/>
          <w:sz w:val="20"/>
          <w:szCs w:val="20"/>
          <w:highlight w:val="yellow"/>
          <w:lang w:val="pt-PT"/>
        </w:rPr>
        <w:t>(</w:t>
      </w:r>
      <w:r w:rsidR="00F665CD" w:rsidRPr="00CA5489">
        <w:rPr>
          <w:rFonts w:ascii="Arial" w:hAnsi="Arial" w:cs="Arial"/>
          <w:sz w:val="20"/>
          <w:szCs w:val="20"/>
          <w:highlight w:val="yellow"/>
          <w:lang w:val="pt-PT"/>
        </w:rPr>
        <w:t>e que pode</w:t>
      </w:r>
      <w:r w:rsidR="00D44971" w:rsidRPr="00CA5489">
        <w:rPr>
          <w:rFonts w:ascii="Arial" w:hAnsi="Arial" w:cs="Arial"/>
          <w:sz w:val="20"/>
          <w:szCs w:val="20"/>
          <w:highlight w:val="yellow"/>
          <w:lang w:val="pt-PT"/>
        </w:rPr>
        <w:t xml:space="preserve">rão justificar </w:t>
      </w:r>
      <w:r w:rsidR="00F665CD" w:rsidRPr="00CA5489">
        <w:rPr>
          <w:rFonts w:ascii="Arial" w:hAnsi="Arial" w:cs="Arial"/>
          <w:sz w:val="20"/>
          <w:szCs w:val="20"/>
          <w:highlight w:val="yellow"/>
          <w:lang w:val="pt-PT"/>
        </w:rPr>
        <w:t>o fenótipo das 2 crianças em que apenas</w:t>
      </w:r>
      <w:r w:rsidR="00D44971" w:rsidRPr="00CA5489">
        <w:rPr>
          <w:rFonts w:ascii="Arial" w:hAnsi="Arial" w:cs="Arial"/>
          <w:sz w:val="20"/>
          <w:szCs w:val="20"/>
          <w:highlight w:val="yellow"/>
          <w:lang w:val="pt-PT"/>
        </w:rPr>
        <w:t xml:space="preserve"> foi detec</w:t>
      </w:r>
      <w:r w:rsidR="00F665CD" w:rsidRPr="00CA5489">
        <w:rPr>
          <w:rFonts w:ascii="Arial" w:hAnsi="Arial" w:cs="Arial"/>
          <w:sz w:val="20"/>
          <w:szCs w:val="20"/>
          <w:highlight w:val="yellow"/>
          <w:lang w:val="pt-PT"/>
        </w:rPr>
        <w:t>t</w:t>
      </w:r>
      <w:r w:rsidR="00D44971" w:rsidRPr="00CA5489">
        <w:rPr>
          <w:rFonts w:ascii="Arial" w:hAnsi="Arial" w:cs="Arial"/>
          <w:sz w:val="20"/>
          <w:szCs w:val="20"/>
          <w:highlight w:val="yellow"/>
          <w:lang w:val="pt-PT"/>
        </w:rPr>
        <w:t>a</w:t>
      </w:r>
      <w:r w:rsidR="00F665CD" w:rsidRPr="00CA5489">
        <w:rPr>
          <w:rFonts w:ascii="Arial" w:hAnsi="Arial" w:cs="Arial"/>
          <w:sz w:val="20"/>
          <w:szCs w:val="20"/>
          <w:highlight w:val="yellow"/>
          <w:lang w:val="pt-PT"/>
        </w:rPr>
        <w:t>da uma mutação)</w:t>
      </w:r>
      <w:r w:rsidRPr="00CA5489">
        <w:rPr>
          <w:rFonts w:ascii="Arial" w:hAnsi="Arial" w:cs="Arial"/>
          <w:sz w:val="20"/>
          <w:szCs w:val="20"/>
          <w:lang w:val="pt-PT"/>
        </w:rPr>
        <w:t>, genotipagem incompleta, heterozigotia composta para duas ou mais mutações e outras variações genéticas na biossíntese ou na sensibilidade aos androgénios.</w:t>
      </w:r>
    </w:p>
    <w:p w:rsidR="00A454F5" w:rsidRPr="00CA5489" w:rsidRDefault="00A454F5" w:rsidP="00A454F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Neste estudo verificamos que mais de metade dos doentes apresentaram a forma clássica da doença (54,5%), o que não seria de esperar.</w:t>
      </w:r>
      <w:r w:rsidR="00E65FCC" w:rsidRPr="00CA5489">
        <w:rPr>
          <w:rFonts w:ascii="Arial" w:hAnsi="Arial" w:cs="Arial"/>
          <w:sz w:val="20"/>
          <w:szCs w:val="20"/>
          <w:highlight w:val="yellow"/>
          <w:vertAlign w:val="superscript"/>
          <w:lang w:val="pt-PT"/>
        </w:rPr>
        <w:t>2</w:t>
      </w:r>
      <w:r w:rsidR="00C04896" w:rsidRPr="00CA5489">
        <w:rPr>
          <w:rFonts w:ascii="Arial" w:hAnsi="Arial" w:cs="Arial"/>
          <w:sz w:val="20"/>
          <w:szCs w:val="20"/>
          <w:highlight w:val="yellow"/>
          <w:vertAlign w:val="superscript"/>
          <w:lang w:val="pt-PT"/>
        </w:rPr>
        <w:t>4</w:t>
      </w:r>
      <w:r w:rsidRPr="00CA5489">
        <w:rPr>
          <w:rFonts w:ascii="Arial" w:hAnsi="Arial" w:cs="Arial"/>
          <w:sz w:val="20"/>
          <w:szCs w:val="20"/>
          <w:lang w:val="pt-PT"/>
        </w:rPr>
        <w:t xml:space="preserve"> Este achado</w:t>
      </w:r>
      <w:r w:rsidR="00E65FCC" w:rsidRPr="00CA5489">
        <w:rPr>
          <w:rFonts w:ascii="Arial" w:hAnsi="Arial" w:cs="Arial"/>
          <w:sz w:val="20"/>
          <w:szCs w:val="20"/>
          <w:lang w:val="pt-PT"/>
        </w:rPr>
        <w:t xml:space="preserve"> pode refle</w:t>
      </w:r>
      <w:r w:rsidRPr="00CA5489">
        <w:rPr>
          <w:rFonts w:ascii="Arial" w:hAnsi="Arial" w:cs="Arial"/>
          <w:sz w:val="20"/>
          <w:szCs w:val="20"/>
          <w:lang w:val="pt-PT"/>
        </w:rPr>
        <w:t>tir dificuldades no diagnóstico</w:t>
      </w:r>
      <w:r w:rsidR="00372D8E" w:rsidRPr="00CA5489">
        <w:rPr>
          <w:rFonts w:ascii="Arial" w:hAnsi="Arial" w:cs="Arial"/>
          <w:sz w:val="20"/>
          <w:szCs w:val="20"/>
          <w:lang w:val="pt-PT"/>
        </w:rPr>
        <w:t xml:space="preserve">, bem como </w:t>
      </w:r>
      <w:r w:rsidR="006A349D" w:rsidRPr="00CA5489">
        <w:rPr>
          <w:rFonts w:ascii="Arial" w:hAnsi="Arial" w:cs="Arial"/>
          <w:sz w:val="20"/>
          <w:szCs w:val="20"/>
          <w:lang w:val="pt-PT"/>
        </w:rPr>
        <w:t xml:space="preserve">a </w:t>
      </w:r>
      <w:r w:rsidRPr="00CA5489">
        <w:rPr>
          <w:rFonts w:ascii="Arial" w:hAnsi="Arial" w:cs="Arial"/>
          <w:sz w:val="20"/>
          <w:szCs w:val="20"/>
          <w:lang w:val="pt-PT"/>
        </w:rPr>
        <w:t>subvalorização das formas com apresentação clínica mais ligeira.</w:t>
      </w:r>
      <w:r w:rsidR="00B118E9" w:rsidRPr="00CA5489">
        <w:rPr>
          <w:rFonts w:ascii="Arial" w:hAnsi="Arial" w:cs="Arial"/>
          <w:sz w:val="20"/>
          <w:szCs w:val="20"/>
          <w:vertAlign w:val="superscript"/>
          <w:lang w:val="pt-PT"/>
        </w:rPr>
        <w:t>1,</w:t>
      </w:r>
      <w:r w:rsidR="00B118E9" w:rsidRPr="00CA5489">
        <w:rPr>
          <w:rFonts w:ascii="Arial" w:hAnsi="Arial" w:cs="Arial"/>
          <w:sz w:val="20"/>
          <w:szCs w:val="20"/>
          <w:highlight w:val="yellow"/>
          <w:vertAlign w:val="superscript"/>
          <w:lang w:val="pt-PT"/>
        </w:rPr>
        <w:t>22</w:t>
      </w:r>
      <w:r w:rsidR="00AE5111" w:rsidRPr="00CA5489">
        <w:rPr>
          <w:rFonts w:ascii="Arial" w:hAnsi="Arial" w:cs="Arial"/>
          <w:sz w:val="20"/>
          <w:szCs w:val="20"/>
          <w:vertAlign w:val="superscript"/>
          <w:lang w:val="pt-PT"/>
        </w:rPr>
        <w:t xml:space="preserve"> </w:t>
      </w:r>
      <w:r w:rsidR="006470AC" w:rsidRPr="00CA5489">
        <w:rPr>
          <w:rFonts w:ascii="Arial" w:hAnsi="Arial" w:cs="Arial"/>
          <w:sz w:val="20"/>
          <w:szCs w:val="20"/>
          <w:highlight w:val="yellow"/>
          <w:lang w:val="pt-PT"/>
        </w:rPr>
        <w:t>No</w:t>
      </w:r>
      <w:r w:rsidR="00A942AC" w:rsidRPr="00CA5489">
        <w:rPr>
          <w:rFonts w:ascii="Arial" w:hAnsi="Arial" w:cs="Arial"/>
          <w:sz w:val="20"/>
          <w:szCs w:val="20"/>
          <w:highlight w:val="yellow"/>
          <w:lang w:val="pt-PT"/>
        </w:rPr>
        <w:t xml:space="preserve"> entanto, não podemos excluir que estes resultados resultem</w:t>
      </w:r>
      <w:r w:rsidR="00372D8E" w:rsidRPr="00CA5489">
        <w:rPr>
          <w:rFonts w:ascii="Arial" w:hAnsi="Arial" w:cs="Arial"/>
          <w:sz w:val="20"/>
          <w:szCs w:val="20"/>
          <w:highlight w:val="yellow"/>
          <w:lang w:val="pt-PT"/>
        </w:rPr>
        <w:t xml:space="preserve"> da reduzida dimensão da amostra.</w:t>
      </w:r>
      <w:r w:rsidR="00F37612" w:rsidRPr="00CA5489">
        <w:rPr>
          <w:rFonts w:ascii="Arial" w:hAnsi="Arial" w:cs="Arial"/>
          <w:sz w:val="20"/>
          <w:szCs w:val="20"/>
          <w:lang w:val="pt-PT"/>
        </w:rPr>
        <w:t xml:space="preserve"> </w:t>
      </w:r>
      <w:r w:rsidRPr="00CA5489">
        <w:rPr>
          <w:rFonts w:ascii="Arial" w:hAnsi="Arial" w:cs="Arial"/>
          <w:sz w:val="20"/>
          <w:szCs w:val="20"/>
          <w:lang w:val="pt-PT"/>
        </w:rPr>
        <w:t>Por outro lado, a forma não clássica cursa com uma variedade de sintomas de hiperandrogenismo, o que coloca dificuldades no diagnóstico diferencial, nomeadamente com Síndrome do Ovário Poliquístico.</w:t>
      </w:r>
      <w:r w:rsidR="00C63AFC" w:rsidRPr="00CA5489">
        <w:rPr>
          <w:rFonts w:ascii="Arial" w:hAnsi="Arial" w:cs="Arial"/>
          <w:sz w:val="20"/>
          <w:szCs w:val="20"/>
          <w:lang w:val="pt-PT"/>
        </w:rPr>
        <w:t xml:space="preserve"> </w:t>
      </w:r>
      <w:r w:rsidR="00C52833" w:rsidRPr="00CA5489">
        <w:rPr>
          <w:rFonts w:ascii="Arial" w:hAnsi="Arial" w:cs="Arial"/>
          <w:sz w:val="20"/>
          <w:szCs w:val="20"/>
          <w:lang w:val="pt-PT"/>
        </w:rPr>
        <w:t>Importa salientar</w:t>
      </w:r>
      <w:r w:rsidR="00C63AFC" w:rsidRPr="00CA5489">
        <w:rPr>
          <w:rFonts w:ascii="Arial" w:hAnsi="Arial" w:cs="Arial"/>
          <w:sz w:val="20"/>
          <w:szCs w:val="20"/>
          <w:lang w:val="pt-PT"/>
        </w:rPr>
        <w:t xml:space="preserve"> que a nossa amostra apenas incluiu doentes até aos 18 anos de idade e que muitas formas</w:t>
      </w:r>
      <w:r w:rsidR="00CC765C" w:rsidRPr="00CA5489">
        <w:rPr>
          <w:rFonts w:ascii="Arial" w:hAnsi="Arial" w:cs="Arial"/>
          <w:sz w:val="20"/>
          <w:szCs w:val="20"/>
          <w:lang w:val="pt-PT"/>
        </w:rPr>
        <w:t xml:space="preserve"> não clássicas apenas são diagn</w:t>
      </w:r>
      <w:r w:rsidR="00C63AFC" w:rsidRPr="00CA5489">
        <w:rPr>
          <w:rFonts w:ascii="Arial" w:hAnsi="Arial" w:cs="Arial"/>
          <w:sz w:val="20"/>
          <w:szCs w:val="20"/>
          <w:lang w:val="pt-PT"/>
        </w:rPr>
        <w:t>o</w:t>
      </w:r>
      <w:r w:rsidR="00CC765C" w:rsidRPr="00CA5489">
        <w:rPr>
          <w:rFonts w:ascii="Arial" w:hAnsi="Arial" w:cs="Arial"/>
          <w:sz w:val="20"/>
          <w:szCs w:val="20"/>
          <w:lang w:val="pt-PT"/>
        </w:rPr>
        <w:t>s</w:t>
      </w:r>
      <w:r w:rsidR="00C63AFC" w:rsidRPr="00CA5489">
        <w:rPr>
          <w:rFonts w:ascii="Arial" w:hAnsi="Arial" w:cs="Arial"/>
          <w:sz w:val="20"/>
          <w:szCs w:val="20"/>
          <w:lang w:val="pt-PT"/>
        </w:rPr>
        <w:t>ticadas na idade adulta por infertilidade</w:t>
      </w:r>
      <w:r w:rsidR="008420F0" w:rsidRPr="00CA5489">
        <w:rPr>
          <w:rFonts w:ascii="Arial" w:hAnsi="Arial" w:cs="Arial"/>
          <w:sz w:val="20"/>
          <w:szCs w:val="20"/>
          <w:highlight w:val="yellow"/>
          <w:lang w:val="pt-PT"/>
        </w:rPr>
        <w:t>.</w:t>
      </w:r>
      <w:r w:rsidR="008420F0" w:rsidRPr="00CA5489">
        <w:rPr>
          <w:rFonts w:ascii="Arial" w:hAnsi="Arial" w:cs="Arial"/>
          <w:sz w:val="20"/>
          <w:szCs w:val="20"/>
          <w:highlight w:val="yellow"/>
          <w:vertAlign w:val="superscript"/>
          <w:lang w:val="pt-PT"/>
        </w:rPr>
        <w:t>25</w:t>
      </w:r>
    </w:p>
    <w:p w:rsidR="00A454F5" w:rsidRPr="00CA5489" w:rsidRDefault="00A454F5" w:rsidP="00A454F5">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Foi também evidente o p</w:t>
      </w:r>
      <w:r w:rsidR="001C79E3" w:rsidRPr="00CA5489">
        <w:rPr>
          <w:rFonts w:ascii="Arial" w:hAnsi="Arial" w:cs="Arial"/>
          <w:sz w:val="20"/>
          <w:szCs w:val="20"/>
          <w:lang w:val="pt-PT"/>
        </w:rPr>
        <w:t>redomínio do sexo feminino,</w:t>
      </w:r>
      <w:r w:rsidR="00766FE4" w:rsidRPr="00CA5489">
        <w:rPr>
          <w:rFonts w:ascii="Arial" w:hAnsi="Arial" w:cs="Arial"/>
          <w:sz w:val="20"/>
          <w:szCs w:val="20"/>
          <w:lang w:val="pt-PT"/>
        </w:rPr>
        <w:t xml:space="preserve"> o que está de acordo com</w:t>
      </w:r>
      <w:r w:rsidR="00FD5ECC" w:rsidRPr="00CA5489">
        <w:rPr>
          <w:rFonts w:ascii="Arial" w:hAnsi="Arial" w:cs="Arial"/>
          <w:sz w:val="20"/>
          <w:szCs w:val="20"/>
          <w:lang w:val="pt-PT"/>
        </w:rPr>
        <w:t xml:space="preserve"> </w:t>
      </w:r>
      <w:r w:rsidR="00766FE4" w:rsidRPr="00CA5489">
        <w:rPr>
          <w:rFonts w:ascii="Arial" w:hAnsi="Arial" w:cs="Arial"/>
          <w:sz w:val="20"/>
          <w:szCs w:val="20"/>
          <w:lang w:val="pt-PT"/>
        </w:rPr>
        <w:t>a literatura</w:t>
      </w:r>
      <w:r w:rsidRPr="00CA5489">
        <w:rPr>
          <w:rFonts w:ascii="Arial" w:hAnsi="Arial" w:cs="Arial"/>
          <w:sz w:val="20"/>
          <w:szCs w:val="20"/>
          <w:lang w:val="pt-PT"/>
        </w:rPr>
        <w:t>. Como se trata de uma patologia autossómica recessiva, ocorre igualmente nos dois sexos</w:t>
      </w:r>
      <w:r w:rsidR="005F6516" w:rsidRPr="00CA5489">
        <w:rPr>
          <w:rFonts w:ascii="Arial" w:hAnsi="Arial" w:cs="Arial"/>
          <w:sz w:val="20"/>
          <w:szCs w:val="20"/>
          <w:lang w:val="pt-PT"/>
        </w:rPr>
        <w:t>.</w:t>
      </w:r>
      <w:r w:rsidR="00DB75A1" w:rsidRPr="00CA5489">
        <w:rPr>
          <w:rFonts w:ascii="Arial" w:hAnsi="Arial" w:cs="Arial"/>
          <w:sz w:val="20"/>
          <w:szCs w:val="20"/>
          <w:highlight w:val="yellow"/>
          <w:vertAlign w:val="superscript"/>
          <w:lang w:val="pt-PT"/>
        </w:rPr>
        <w:t>22</w:t>
      </w:r>
      <w:r w:rsidR="005F6516" w:rsidRPr="00CA5489">
        <w:rPr>
          <w:rFonts w:ascii="Arial" w:hAnsi="Arial" w:cs="Arial"/>
          <w:sz w:val="20"/>
          <w:szCs w:val="20"/>
          <w:vertAlign w:val="superscript"/>
          <w:lang w:val="pt-PT"/>
        </w:rPr>
        <w:t xml:space="preserve"> </w:t>
      </w:r>
      <w:r w:rsidRPr="00CA5489">
        <w:rPr>
          <w:rFonts w:ascii="Arial" w:hAnsi="Arial" w:cs="Arial"/>
          <w:sz w:val="20"/>
          <w:szCs w:val="20"/>
          <w:lang w:val="pt-PT"/>
        </w:rPr>
        <w:t>A assimetria na distribuição do género</w:t>
      </w:r>
      <w:r w:rsidR="00FE0510" w:rsidRPr="00CA5489">
        <w:rPr>
          <w:rFonts w:ascii="Arial" w:hAnsi="Arial" w:cs="Arial"/>
          <w:sz w:val="20"/>
          <w:szCs w:val="20"/>
          <w:lang w:val="pt-PT"/>
        </w:rPr>
        <w:t xml:space="preserve"> observada, </w:t>
      </w:r>
      <w:r w:rsidR="00FE0510" w:rsidRPr="00CA5489">
        <w:rPr>
          <w:rFonts w:ascii="Arial" w:hAnsi="Arial" w:cs="Arial"/>
          <w:sz w:val="20"/>
          <w:szCs w:val="20"/>
          <w:highlight w:val="yellow"/>
          <w:lang w:val="pt-PT"/>
        </w:rPr>
        <w:t>principalmente na forma NC</w:t>
      </w:r>
      <w:r w:rsidR="00811610" w:rsidRPr="00CA5489">
        <w:rPr>
          <w:rFonts w:ascii="Arial" w:hAnsi="Arial" w:cs="Arial"/>
          <w:sz w:val="20"/>
          <w:szCs w:val="20"/>
          <w:highlight w:val="yellow"/>
          <w:lang w:val="pt-PT"/>
        </w:rPr>
        <w:t>, em que todas as crianças apresentaram</w:t>
      </w:r>
      <w:r w:rsidR="00FE0510" w:rsidRPr="00CA5489">
        <w:rPr>
          <w:rFonts w:ascii="Arial" w:hAnsi="Arial" w:cs="Arial"/>
          <w:sz w:val="20"/>
          <w:szCs w:val="20"/>
          <w:highlight w:val="yellow"/>
          <w:lang w:val="pt-PT"/>
        </w:rPr>
        <w:t xml:space="preserve"> genótipo V281L em pelo menos um dos alelos</w:t>
      </w:r>
      <w:r w:rsidRPr="00CA5489">
        <w:rPr>
          <w:rFonts w:ascii="Arial" w:hAnsi="Arial" w:cs="Arial"/>
          <w:sz w:val="20"/>
          <w:szCs w:val="20"/>
          <w:highlight w:val="yellow"/>
          <w:lang w:val="pt-PT"/>
        </w:rPr>
        <w:t xml:space="preserve"> </w:t>
      </w:r>
      <w:r w:rsidR="00FE0510" w:rsidRPr="00CA5489">
        <w:rPr>
          <w:rFonts w:ascii="Arial" w:hAnsi="Arial" w:cs="Arial"/>
          <w:sz w:val="20"/>
          <w:szCs w:val="20"/>
          <w:highlight w:val="yellow"/>
          <w:lang w:val="pt-PT"/>
        </w:rPr>
        <w:t xml:space="preserve">(com </w:t>
      </w:r>
      <w:r w:rsidR="00E27AE9" w:rsidRPr="00CA5489">
        <w:rPr>
          <w:rFonts w:ascii="Arial" w:hAnsi="Arial" w:cs="Arial"/>
          <w:sz w:val="20"/>
          <w:szCs w:val="20"/>
          <w:highlight w:val="yellow"/>
          <w:lang w:val="pt-PT"/>
        </w:rPr>
        <w:t xml:space="preserve">uma </w:t>
      </w:r>
      <w:r w:rsidR="00FE0510" w:rsidRPr="00CA5489">
        <w:rPr>
          <w:rFonts w:ascii="Arial" w:hAnsi="Arial" w:cs="Arial"/>
          <w:sz w:val="20"/>
          <w:szCs w:val="20"/>
          <w:highlight w:val="yellow"/>
          <w:lang w:val="pt-PT"/>
        </w:rPr>
        <w:t>proporção de 9 raparigas para apenas 1 rapaz)</w:t>
      </w:r>
      <w:r w:rsidR="00FE0510" w:rsidRPr="00CA5489">
        <w:rPr>
          <w:rFonts w:ascii="Arial" w:hAnsi="Arial" w:cs="Arial"/>
          <w:sz w:val="20"/>
          <w:szCs w:val="20"/>
          <w:lang w:val="pt-PT"/>
        </w:rPr>
        <w:t xml:space="preserve"> </w:t>
      </w:r>
      <w:r w:rsidRPr="00CA5489">
        <w:rPr>
          <w:rFonts w:ascii="Arial" w:hAnsi="Arial" w:cs="Arial"/>
          <w:sz w:val="20"/>
          <w:szCs w:val="20"/>
          <w:highlight w:val="yellow"/>
          <w:lang w:val="pt-PT"/>
        </w:rPr>
        <w:t>faz-nos pensar que os rapazes possam ser mais vezes subdiagnosticados</w:t>
      </w:r>
      <w:r w:rsidR="00D36316" w:rsidRPr="00CA5489">
        <w:rPr>
          <w:rFonts w:ascii="Arial" w:hAnsi="Arial" w:cs="Arial"/>
          <w:sz w:val="20"/>
          <w:szCs w:val="20"/>
          <w:highlight w:val="yellow"/>
          <w:lang w:val="pt-PT"/>
        </w:rPr>
        <w:t>,</w:t>
      </w:r>
      <w:r w:rsidR="00B3040F" w:rsidRPr="00CA5489">
        <w:rPr>
          <w:rFonts w:ascii="Arial" w:hAnsi="Arial" w:cs="Arial"/>
          <w:sz w:val="20"/>
          <w:szCs w:val="20"/>
          <w:highlight w:val="yellow"/>
          <w:lang w:val="pt-PT"/>
        </w:rPr>
        <w:t xml:space="preserve"> pelo facto de os sinais de hiperandrogenismo serem menos óbvios,</w:t>
      </w:r>
      <w:r w:rsidR="00D36316" w:rsidRPr="00CA5489">
        <w:rPr>
          <w:rFonts w:ascii="Arial" w:hAnsi="Arial" w:cs="Arial"/>
          <w:sz w:val="20"/>
          <w:szCs w:val="20"/>
          <w:highlight w:val="yellow"/>
          <w:lang w:val="pt-PT"/>
        </w:rPr>
        <w:t xml:space="preserve"> t</w:t>
      </w:r>
      <w:r w:rsidR="000C6E93" w:rsidRPr="00CA5489">
        <w:rPr>
          <w:rFonts w:ascii="Arial" w:hAnsi="Arial" w:cs="Arial"/>
          <w:sz w:val="20"/>
          <w:szCs w:val="20"/>
          <w:highlight w:val="yellow"/>
          <w:lang w:val="pt-PT"/>
        </w:rPr>
        <w:t>al como descrito previamente</w:t>
      </w:r>
      <w:r w:rsidR="00DB75A1" w:rsidRPr="00CA5489">
        <w:rPr>
          <w:rFonts w:ascii="Arial" w:hAnsi="Arial" w:cs="Arial"/>
          <w:sz w:val="20"/>
          <w:szCs w:val="20"/>
          <w:highlight w:val="yellow"/>
          <w:lang w:val="pt-PT"/>
        </w:rPr>
        <w:t>.</w:t>
      </w:r>
      <w:r w:rsidR="00DB75A1" w:rsidRPr="00CA5489">
        <w:rPr>
          <w:rFonts w:ascii="Arial" w:hAnsi="Arial" w:cs="Arial"/>
          <w:sz w:val="20"/>
          <w:szCs w:val="20"/>
          <w:highlight w:val="yellow"/>
          <w:vertAlign w:val="superscript"/>
          <w:lang w:val="pt-PT"/>
        </w:rPr>
        <w:t>16</w:t>
      </w:r>
    </w:p>
    <w:p w:rsidR="00CA2C94" w:rsidRPr="00CA5489" w:rsidRDefault="00CA2C94" w:rsidP="00CA2C94">
      <w:pPr>
        <w:pStyle w:val="Default"/>
        <w:spacing w:line="360" w:lineRule="auto"/>
        <w:jc w:val="both"/>
        <w:rPr>
          <w:rFonts w:ascii="Arial" w:hAnsi="Arial" w:cs="Arial"/>
          <w:sz w:val="20"/>
          <w:szCs w:val="20"/>
          <w:lang w:val="pt-PT"/>
        </w:rPr>
      </w:pPr>
    </w:p>
    <w:p w:rsidR="00CA2C94" w:rsidRPr="00CA5489" w:rsidRDefault="00CA2C94" w:rsidP="00CA2C94">
      <w:pPr>
        <w:pStyle w:val="Default"/>
        <w:spacing w:line="360" w:lineRule="auto"/>
        <w:jc w:val="both"/>
        <w:rPr>
          <w:rFonts w:ascii="Arial" w:hAnsi="Arial" w:cs="Arial"/>
          <w:b/>
          <w:sz w:val="20"/>
          <w:szCs w:val="20"/>
          <w:lang w:val="pt-PT"/>
        </w:rPr>
      </w:pPr>
      <w:r w:rsidRPr="00CA5489">
        <w:rPr>
          <w:rFonts w:ascii="Arial" w:hAnsi="Arial" w:cs="Arial"/>
          <w:b/>
          <w:sz w:val="20"/>
          <w:szCs w:val="20"/>
          <w:lang w:val="pt-PT"/>
        </w:rPr>
        <w:t>CONCLUSÕES</w:t>
      </w:r>
    </w:p>
    <w:p w:rsidR="005C1FFF" w:rsidRPr="00CA5489" w:rsidRDefault="00CA2C94" w:rsidP="005C1FFF">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O conhecimento da especificidade étnica das mutações do CYP21A2 é importante e</w:t>
      </w:r>
      <w:r w:rsidR="00BD60DC" w:rsidRPr="00CA5489">
        <w:rPr>
          <w:rFonts w:ascii="Arial" w:hAnsi="Arial" w:cs="Arial"/>
          <w:sz w:val="20"/>
          <w:szCs w:val="20"/>
          <w:lang w:val="pt-PT"/>
        </w:rPr>
        <w:t>m todas as formas de hi</w:t>
      </w:r>
      <w:r w:rsidR="00193FA2" w:rsidRPr="00CA5489">
        <w:rPr>
          <w:rFonts w:ascii="Arial" w:hAnsi="Arial" w:cs="Arial"/>
          <w:sz w:val="20"/>
          <w:szCs w:val="20"/>
          <w:lang w:val="pt-PT"/>
        </w:rPr>
        <w:t xml:space="preserve">perplasia </w:t>
      </w:r>
      <w:r w:rsidR="00BD60DC" w:rsidRPr="00CA5489">
        <w:rPr>
          <w:rFonts w:ascii="Arial" w:hAnsi="Arial" w:cs="Arial"/>
          <w:sz w:val="20"/>
          <w:szCs w:val="20"/>
          <w:lang w:val="pt-PT"/>
        </w:rPr>
        <w:t>congé</w:t>
      </w:r>
      <w:r w:rsidR="00CC0267" w:rsidRPr="00CA5489">
        <w:rPr>
          <w:rFonts w:ascii="Arial" w:hAnsi="Arial" w:cs="Arial"/>
          <w:sz w:val="20"/>
          <w:szCs w:val="20"/>
          <w:lang w:val="pt-PT"/>
        </w:rPr>
        <w:t>nita</w:t>
      </w:r>
      <w:r w:rsidR="00193FA2" w:rsidRPr="00CA5489">
        <w:rPr>
          <w:rFonts w:ascii="Arial" w:hAnsi="Arial" w:cs="Arial"/>
          <w:sz w:val="20"/>
          <w:szCs w:val="20"/>
          <w:lang w:val="pt-PT"/>
        </w:rPr>
        <w:t xml:space="preserve"> da suprarrenal</w:t>
      </w:r>
      <w:r w:rsidRPr="00CA5489">
        <w:rPr>
          <w:rFonts w:ascii="Arial" w:hAnsi="Arial" w:cs="Arial"/>
          <w:sz w:val="20"/>
          <w:szCs w:val="20"/>
          <w:lang w:val="pt-PT"/>
        </w:rPr>
        <w:t>. O facto de existir um número limitado de mutações</w:t>
      </w:r>
      <w:r w:rsidR="003610FD" w:rsidRPr="00CA5489">
        <w:rPr>
          <w:rFonts w:ascii="Arial" w:hAnsi="Arial" w:cs="Arial"/>
          <w:sz w:val="20"/>
          <w:szCs w:val="20"/>
          <w:lang w:val="pt-PT"/>
        </w:rPr>
        <w:t xml:space="preserve"> responsáveis</w:t>
      </w:r>
      <w:r w:rsidRPr="00CA5489">
        <w:rPr>
          <w:rFonts w:ascii="Arial" w:hAnsi="Arial" w:cs="Arial"/>
          <w:sz w:val="20"/>
          <w:szCs w:val="20"/>
          <w:lang w:val="pt-PT"/>
        </w:rPr>
        <w:t xml:space="preserve"> pela maioria dos casos de H</w:t>
      </w:r>
      <w:r w:rsidR="00CC0267" w:rsidRPr="00CA5489">
        <w:rPr>
          <w:rFonts w:ascii="Arial" w:hAnsi="Arial" w:cs="Arial"/>
          <w:sz w:val="20"/>
          <w:szCs w:val="20"/>
          <w:lang w:val="pt-PT"/>
        </w:rPr>
        <w:t>CSR</w:t>
      </w:r>
      <w:r w:rsidRPr="00CA5489">
        <w:rPr>
          <w:rFonts w:ascii="Arial" w:hAnsi="Arial" w:cs="Arial"/>
          <w:sz w:val="20"/>
          <w:szCs w:val="20"/>
          <w:lang w:val="pt-PT"/>
        </w:rPr>
        <w:t xml:space="preserve">, já descrita na literatura e corroborada no nosso estudo, torna a </w:t>
      </w:r>
      <w:r w:rsidR="00640A4F" w:rsidRPr="00CA5489">
        <w:rPr>
          <w:rFonts w:ascii="Arial" w:hAnsi="Arial" w:cs="Arial"/>
          <w:sz w:val="20"/>
          <w:szCs w:val="20"/>
          <w:lang w:val="pt-PT"/>
        </w:rPr>
        <w:t>deteção</w:t>
      </w:r>
      <w:r w:rsidRPr="00CA5489">
        <w:rPr>
          <w:rFonts w:ascii="Arial" w:hAnsi="Arial" w:cs="Arial"/>
          <w:sz w:val="20"/>
          <w:szCs w:val="20"/>
          <w:lang w:val="pt-PT"/>
        </w:rPr>
        <w:t xml:space="preserve"> de mutações útil para o </w:t>
      </w:r>
      <w:r w:rsidR="00746CE5" w:rsidRPr="00CA5489">
        <w:rPr>
          <w:rFonts w:ascii="Arial" w:hAnsi="Arial" w:cs="Arial"/>
          <w:sz w:val="20"/>
          <w:szCs w:val="20"/>
          <w:lang w:val="pt-PT"/>
        </w:rPr>
        <w:t>rastreio</w:t>
      </w:r>
      <w:r w:rsidRPr="00CA5489">
        <w:rPr>
          <w:rFonts w:ascii="Arial" w:hAnsi="Arial" w:cs="Arial"/>
          <w:sz w:val="20"/>
          <w:szCs w:val="20"/>
          <w:lang w:val="pt-PT"/>
        </w:rPr>
        <w:t xml:space="preserve"> pré-natal, </w:t>
      </w:r>
      <w:r w:rsidRPr="00CA5489">
        <w:rPr>
          <w:rFonts w:ascii="Arial" w:hAnsi="Arial" w:cs="Arial"/>
          <w:strike/>
          <w:sz w:val="20"/>
          <w:szCs w:val="20"/>
          <w:highlight w:val="yellow"/>
          <w:lang w:val="pt-PT"/>
        </w:rPr>
        <w:t>ainda não implementado no nosso país</w:t>
      </w:r>
      <w:r w:rsidRPr="00CA5489">
        <w:rPr>
          <w:rFonts w:ascii="Arial" w:hAnsi="Arial" w:cs="Arial"/>
          <w:strike/>
          <w:sz w:val="20"/>
          <w:szCs w:val="20"/>
          <w:lang w:val="pt-PT"/>
        </w:rPr>
        <w:t>.</w:t>
      </w:r>
      <w:r w:rsidRPr="00CA5489">
        <w:rPr>
          <w:rFonts w:ascii="Arial" w:hAnsi="Arial" w:cs="Arial"/>
          <w:sz w:val="20"/>
          <w:szCs w:val="20"/>
          <w:lang w:val="pt-PT"/>
        </w:rPr>
        <w:t xml:space="preserve"> </w:t>
      </w:r>
      <w:r w:rsidR="00746CE5" w:rsidRPr="00CA5489">
        <w:rPr>
          <w:rFonts w:ascii="Arial" w:hAnsi="Arial" w:cs="Arial"/>
          <w:sz w:val="20"/>
          <w:szCs w:val="20"/>
          <w:highlight w:val="yellow"/>
          <w:lang w:val="pt-PT"/>
        </w:rPr>
        <w:t>O</w:t>
      </w:r>
      <w:r w:rsidR="00081DBA" w:rsidRPr="00CA5489">
        <w:rPr>
          <w:rFonts w:ascii="Arial" w:hAnsi="Arial" w:cs="Arial"/>
          <w:sz w:val="20"/>
          <w:szCs w:val="20"/>
          <w:highlight w:val="yellow"/>
          <w:lang w:val="pt-PT"/>
        </w:rPr>
        <w:t xml:space="preserve"> diagnóstico pré-natal com análise do DNA obtido por amniocentese ou por </w:t>
      </w:r>
      <w:r w:rsidR="00575DEA" w:rsidRPr="00CA5489">
        <w:rPr>
          <w:rFonts w:ascii="Arial" w:hAnsi="Arial" w:cs="Arial"/>
          <w:sz w:val="20"/>
          <w:szCs w:val="20"/>
          <w:highlight w:val="yellow"/>
          <w:lang w:val="pt-PT"/>
        </w:rPr>
        <w:t>biópsia</w:t>
      </w:r>
      <w:r w:rsidR="00081DBA" w:rsidRPr="00CA5489">
        <w:rPr>
          <w:rFonts w:ascii="Arial" w:hAnsi="Arial" w:cs="Arial"/>
          <w:sz w:val="20"/>
          <w:szCs w:val="20"/>
          <w:highlight w:val="yellow"/>
          <w:lang w:val="pt-PT"/>
        </w:rPr>
        <w:t xml:space="preserve"> das vilosidades coriónicas tem implicações </w:t>
      </w:r>
      <w:r w:rsidR="00CC6BF2" w:rsidRPr="00CA5489">
        <w:rPr>
          <w:rFonts w:ascii="Arial" w:hAnsi="Arial" w:cs="Arial"/>
          <w:sz w:val="20"/>
          <w:szCs w:val="20"/>
          <w:highlight w:val="yellow"/>
          <w:lang w:val="pt-PT"/>
        </w:rPr>
        <w:t xml:space="preserve">terapêuticas </w:t>
      </w:r>
      <w:r w:rsidR="008B676F" w:rsidRPr="00CA5489">
        <w:rPr>
          <w:rFonts w:ascii="Arial" w:hAnsi="Arial" w:cs="Arial"/>
          <w:sz w:val="20"/>
          <w:szCs w:val="20"/>
          <w:highlight w:val="yellow"/>
          <w:lang w:val="pt-PT"/>
        </w:rPr>
        <w:t xml:space="preserve">importantes </w:t>
      </w:r>
      <w:r w:rsidR="00CC6BF2" w:rsidRPr="00CA5489">
        <w:rPr>
          <w:rFonts w:ascii="Arial" w:hAnsi="Arial" w:cs="Arial"/>
          <w:sz w:val="20"/>
          <w:szCs w:val="20"/>
          <w:highlight w:val="yellow"/>
          <w:lang w:val="pt-PT"/>
        </w:rPr>
        <w:t xml:space="preserve">no sexo </w:t>
      </w:r>
      <w:r w:rsidR="008B676F" w:rsidRPr="00CA5489">
        <w:rPr>
          <w:rFonts w:ascii="Arial" w:hAnsi="Arial" w:cs="Arial"/>
          <w:sz w:val="20"/>
          <w:szCs w:val="20"/>
          <w:highlight w:val="yellow"/>
          <w:lang w:val="pt-PT"/>
        </w:rPr>
        <w:t>feminino</w:t>
      </w:r>
      <w:r w:rsidR="00CC6BF2" w:rsidRPr="00CA5489">
        <w:rPr>
          <w:rFonts w:ascii="Arial" w:hAnsi="Arial" w:cs="Arial"/>
          <w:sz w:val="20"/>
          <w:szCs w:val="20"/>
          <w:highlight w:val="yellow"/>
          <w:lang w:val="pt-PT"/>
        </w:rPr>
        <w:t>, p</w:t>
      </w:r>
      <w:r w:rsidR="008B676F" w:rsidRPr="00CA5489">
        <w:rPr>
          <w:rFonts w:ascii="Arial" w:hAnsi="Arial" w:cs="Arial"/>
          <w:sz w:val="20"/>
          <w:szCs w:val="20"/>
          <w:highlight w:val="yellow"/>
          <w:lang w:val="pt-PT"/>
        </w:rPr>
        <w:t>odendo</w:t>
      </w:r>
      <w:r w:rsidR="00CC6BF2" w:rsidRPr="00CA5489">
        <w:rPr>
          <w:rFonts w:ascii="Arial" w:hAnsi="Arial" w:cs="Arial"/>
          <w:sz w:val="20"/>
          <w:szCs w:val="20"/>
          <w:highlight w:val="yellow"/>
          <w:lang w:val="pt-PT"/>
        </w:rPr>
        <w:t xml:space="preserve"> evitar</w:t>
      </w:r>
      <w:r w:rsidR="00081DBA" w:rsidRPr="00CA5489">
        <w:rPr>
          <w:rFonts w:ascii="Arial" w:hAnsi="Arial" w:cs="Arial"/>
          <w:sz w:val="20"/>
          <w:szCs w:val="20"/>
          <w:highlight w:val="yellow"/>
          <w:lang w:val="pt-PT"/>
        </w:rPr>
        <w:t xml:space="preserve"> a virilização </w:t>
      </w:r>
      <w:r w:rsidR="00CC6BF2" w:rsidRPr="00CA5489">
        <w:rPr>
          <w:rFonts w:ascii="Arial" w:hAnsi="Arial" w:cs="Arial"/>
          <w:sz w:val="20"/>
          <w:szCs w:val="20"/>
          <w:highlight w:val="yellow"/>
          <w:lang w:val="pt-PT"/>
        </w:rPr>
        <w:t xml:space="preserve">dos genitais externos </w:t>
      </w:r>
      <w:r w:rsidR="00081DBA" w:rsidRPr="00CA5489">
        <w:rPr>
          <w:rFonts w:ascii="Arial" w:hAnsi="Arial" w:cs="Arial"/>
          <w:sz w:val="20"/>
          <w:szCs w:val="20"/>
          <w:highlight w:val="yellow"/>
          <w:lang w:val="pt-PT"/>
        </w:rPr>
        <w:t xml:space="preserve">e </w:t>
      </w:r>
      <w:r w:rsidR="00CC6BF2" w:rsidRPr="00CA5489">
        <w:rPr>
          <w:rFonts w:ascii="Arial" w:hAnsi="Arial" w:cs="Arial"/>
          <w:sz w:val="20"/>
          <w:szCs w:val="20"/>
          <w:highlight w:val="yellow"/>
          <w:lang w:val="pt-PT"/>
        </w:rPr>
        <w:t xml:space="preserve">a </w:t>
      </w:r>
      <w:r w:rsidR="00081DBA" w:rsidRPr="00CA5489">
        <w:rPr>
          <w:rFonts w:ascii="Arial" w:hAnsi="Arial" w:cs="Arial"/>
          <w:sz w:val="20"/>
          <w:szCs w:val="20"/>
          <w:highlight w:val="yellow"/>
          <w:lang w:val="pt-PT"/>
        </w:rPr>
        <w:t xml:space="preserve">atribuição incorrecta do sexo. Por outro lado, </w:t>
      </w:r>
      <w:r w:rsidR="0091113E" w:rsidRPr="00CA5489">
        <w:rPr>
          <w:rFonts w:ascii="Arial" w:hAnsi="Arial" w:cs="Arial"/>
          <w:sz w:val="20"/>
          <w:szCs w:val="20"/>
          <w:highlight w:val="yellow"/>
          <w:lang w:val="pt-PT"/>
        </w:rPr>
        <w:t xml:space="preserve">pode </w:t>
      </w:r>
      <w:r w:rsidR="00CC6BF2" w:rsidRPr="00CA5489">
        <w:rPr>
          <w:rFonts w:ascii="Arial" w:hAnsi="Arial" w:cs="Arial"/>
          <w:sz w:val="20"/>
          <w:szCs w:val="20"/>
          <w:highlight w:val="yellow"/>
          <w:lang w:val="pt-PT"/>
        </w:rPr>
        <w:t>antecipar a</w:t>
      </w:r>
      <w:r w:rsidR="0091113E" w:rsidRPr="00CA5489">
        <w:rPr>
          <w:rFonts w:ascii="Arial" w:hAnsi="Arial" w:cs="Arial"/>
          <w:sz w:val="20"/>
          <w:szCs w:val="20"/>
          <w:highlight w:val="yellow"/>
          <w:lang w:val="pt-PT"/>
        </w:rPr>
        <w:t xml:space="preserve"> instalação de uma crise adrenérgica potencialmente fatal</w:t>
      </w:r>
      <w:r w:rsidR="00CC6BF2" w:rsidRPr="00CA5489">
        <w:rPr>
          <w:rFonts w:ascii="Arial" w:hAnsi="Arial" w:cs="Arial"/>
          <w:sz w:val="20"/>
          <w:szCs w:val="20"/>
          <w:highlight w:val="yellow"/>
          <w:lang w:val="pt-PT"/>
        </w:rPr>
        <w:t xml:space="preserve"> e evitar</w:t>
      </w:r>
      <w:r w:rsidR="005C1FFF" w:rsidRPr="00CA5489">
        <w:rPr>
          <w:rFonts w:ascii="Arial" w:hAnsi="Arial" w:cs="Arial"/>
          <w:sz w:val="20"/>
          <w:szCs w:val="20"/>
          <w:highlight w:val="yellow"/>
          <w:lang w:val="pt-PT"/>
        </w:rPr>
        <w:t xml:space="preserve"> o hiperandrogenismo durante a infância.</w:t>
      </w:r>
    </w:p>
    <w:p w:rsidR="00CA2C94" w:rsidRPr="00CA5489" w:rsidRDefault="00CA2C94" w:rsidP="00CA2C94">
      <w:pPr>
        <w:pStyle w:val="Default"/>
        <w:spacing w:line="360" w:lineRule="auto"/>
        <w:ind w:firstLine="720"/>
        <w:jc w:val="both"/>
        <w:rPr>
          <w:rFonts w:ascii="Arial" w:hAnsi="Arial" w:cs="Arial"/>
          <w:sz w:val="20"/>
          <w:szCs w:val="20"/>
          <w:lang w:val="pt-PT"/>
        </w:rPr>
      </w:pPr>
      <w:r w:rsidRPr="00CA5489">
        <w:rPr>
          <w:rFonts w:ascii="Arial" w:hAnsi="Arial" w:cs="Arial"/>
          <w:sz w:val="20"/>
          <w:szCs w:val="20"/>
          <w:lang w:val="pt-PT"/>
        </w:rPr>
        <w:t>Apesar de alguma variabilidade na expressão clínica, verificamos na maioria dos casos uma boa correlação do genótipo CYP21A2 e o fenótipo de H</w:t>
      </w:r>
      <w:r w:rsidR="00DA3E7C" w:rsidRPr="00CA5489">
        <w:rPr>
          <w:rFonts w:ascii="Arial" w:hAnsi="Arial" w:cs="Arial"/>
          <w:sz w:val="20"/>
          <w:szCs w:val="20"/>
          <w:lang w:val="pt-PT"/>
        </w:rPr>
        <w:t>CSR</w:t>
      </w:r>
      <w:r w:rsidRPr="00CA5489">
        <w:rPr>
          <w:rFonts w:ascii="Arial" w:hAnsi="Arial" w:cs="Arial"/>
          <w:sz w:val="20"/>
          <w:szCs w:val="20"/>
          <w:lang w:val="pt-PT"/>
        </w:rPr>
        <w:t xml:space="preserve">.  Assim, o nosso estudo reforça a importância do estudo molecular do CYP21A2 como ferramenta complementar na predição da gravidade da doença e no aconselhamento genético e pré-natal. </w:t>
      </w:r>
    </w:p>
    <w:p w:rsidR="00493E2E" w:rsidRPr="00CA5489" w:rsidRDefault="00493E2E" w:rsidP="00CA2C94">
      <w:pPr>
        <w:pStyle w:val="Default"/>
        <w:spacing w:line="360" w:lineRule="auto"/>
        <w:ind w:firstLine="720"/>
        <w:jc w:val="both"/>
        <w:rPr>
          <w:rFonts w:ascii="Arial" w:hAnsi="Arial" w:cs="Arial"/>
          <w:sz w:val="20"/>
          <w:szCs w:val="20"/>
          <w:lang w:val="pt-PT"/>
        </w:rPr>
      </w:pPr>
    </w:p>
    <w:p w:rsidR="0054634B" w:rsidRPr="00CA5489" w:rsidRDefault="0054634B" w:rsidP="0054634B">
      <w:pPr>
        <w:rPr>
          <w:rFonts w:ascii="Arial" w:hAnsi="Arial" w:cs="Arial"/>
          <w:sz w:val="20"/>
          <w:szCs w:val="20"/>
          <w:lang w:val="pt-PT"/>
        </w:rPr>
      </w:pPr>
    </w:p>
    <w:p w:rsidR="009B198C" w:rsidRPr="00CA5489" w:rsidRDefault="009B198C" w:rsidP="0054634B">
      <w:pPr>
        <w:rPr>
          <w:rFonts w:ascii="Arial" w:hAnsi="Arial" w:cs="Arial"/>
          <w:color w:val="000000"/>
          <w:sz w:val="20"/>
          <w:szCs w:val="20"/>
          <w:lang w:val="pt-PT"/>
        </w:rPr>
      </w:pPr>
      <w:r w:rsidRPr="00CA5489">
        <w:rPr>
          <w:rFonts w:ascii="Arial" w:hAnsi="Arial" w:cs="Arial"/>
          <w:sz w:val="20"/>
          <w:szCs w:val="20"/>
          <w:lang w:val="pt-PT"/>
        </w:rPr>
        <w:br w:type="page"/>
      </w:r>
    </w:p>
    <w:p w:rsidR="009B198C" w:rsidRPr="00CA5489" w:rsidRDefault="009B198C" w:rsidP="009B198C">
      <w:pPr>
        <w:pStyle w:val="Default"/>
        <w:spacing w:line="360" w:lineRule="auto"/>
        <w:ind w:firstLine="720"/>
        <w:jc w:val="both"/>
        <w:rPr>
          <w:rFonts w:ascii="Arial" w:hAnsi="Arial" w:cs="Arial"/>
          <w:sz w:val="20"/>
          <w:szCs w:val="20"/>
          <w:lang w:val="pt-PT"/>
        </w:rPr>
      </w:pPr>
    </w:p>
    <w:p w:rsidR="00762DF7" w:rsidRPr="00863196" w:rsidRDefault="007A211E" w:rsidP="00422A50">
      <w:pPr>
        <w:outlineLvl w:val="0"/>
        <w:rPr>
          <w:rFonts w:ascii="Arial" w:hAnsi="Arial" w:cs="Arial"/>
          <w:b/>
          <w:color w:val="000000"/>
          <w:sz w:val="20"/>
          <w:szCs w:val="20"/>
          <w:lang w:val="es-ES_tradnl"/>
        </w:rPr>
      </w:pPr>
      <w:r w:rsidRPr="00863196">
        <w:rPr>
          <w:rFonts w:ascii="Arial" w:hAnsi="Arial" w:cs="Arial"/>
          <w:b/>
          <w:color w:val="000000"/>
          <w:sz w:val="20"/>
          <w:szCs w:val="20"/>
          <w:lang w:val="es-ES_tradnl"/>
        </w:rPr>
        <w:t>Referê</w:t>
      </w:r>
      <w:r w:rsidR="004D3F35" w:rsidRPr="00863196">
        <w:rPr>
          <w:rFonts w:ascii="Arial" w:hAnsi="Arial" w:cs="Arial"/>
          <w:b/>
          <w:color w:val="000000"/>
          <w:sz w:val="20"/>
          <w:szCs w:val="20"/>
          <w:lang w:val="es-ES_tradnl"/>
        </w:rPr>
        <w:t>ncias</w:t>
      </w:r>
    </w:p>
    <w:p w:rsidR="004D3F35" w:rsidRPr="00863196" w:rsidRDefault="004D3F35" w:rsidP="00422A50">
      <w:pPr>
        <w:outlineLvl w:val="0"/>
        <w:rPr>
          <w:rFonts w:ascii="Arial" w:hAnsi="Arial" w:cs="Arial"/>
          <w:b/>
          <w:color w:val="000000"/>
          <w:sz w:val="20"/>
          <w:szCs w:val="20"/>
          <w:lang w:val="es-ES_tradnl"/>
        </w:rPr>
      </w:pPr>
    </w:p>
    <w:p w:rsidR="00A25AF6" w:rsidRPr="00863196" w:rsidRDefault="00A25AF6" w:rsidP="00A25AF6">
      <w:pPr>
        <w:pStyle w:val="PargrafodaLista"/>
        <w:numPr>
          <w:ilvl w:val="0"/>
          <w:numId w:val="8"/>
        </w:numPr>
        <w:spacing w:line="360" w:lineRule="auto"/>
        <w:jc w:val="both"/>
        <w:rPr>
          <w:rFonts w:ascii="Arial" w:hAnsi="Arial" w:cs="Arial"/>
          <w:sz w:val="20"/>
          <w:szCs w:val="20"/>
          <w:lang w:val="pt-PT"/>
        </w:rPr>
      </w:pPr>
      <w:r w:rsidRPr="00863196">
        <w:rPr>
          <w:rFonts w:ascii="Arial" w:hAnsi="Arial" w:cs="Arial"/>
          <w:sz w:val="20"/>
          <w:szCs w:val="20"/>
          <w:lang w:val="pt-PT"/>
        </w:rPr>
        <w:t>Merke DP, Bornstein SR. Congenital adrenal hyp</w:t>
      </w:r>
      <w:r w:rsidR="002B1990">
        <w:rPr>
          <w:rFonts w:ascii="Arial" w:hAnsi="Arial" w:cs="Arial"/>
          <w:sz w:val="20"/>
          <w:szCs w:val="20"/>
          <w:lang w:val="pt-PT"/>
        </w:rPr>
        <w:t>erplasia. Lancet. 2005;365:2125-</w:t>
      </w:r>
      <w:r w:rsidRPr="00863196">
        <w:rPr>
          <w:rFonts w:ascii="Arial" w:hAnsi="Arial" w:cs="Arial"/>
          <w:sz w:val="20"/>
          <w:szCs w:val="20"/>
          <w:lang w:val="pt-PT"/>
        </w:rPr>
        <w:t>36.</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Miller WL. Molecular biology of steroid hormone sy</w:t>
      </w:r>
      <w:r w:rsidR="002B1990">
        <w:rPr>
          <w:rFonts w:ascii="Arial" w:hAnsi="Arial" w:cs="Arial"/>
          <w:sz w:val="20"/>
          <w:szCs w:val="20"/>
        </w:rPr>
        <w:t>nthesis. Endocr Rev. 1988;9:295-</w:t>
      </w:r>
      <w:r w:rsidRPr="00863196">
        <w:rPr>
          <w:rFonts w:ascii="Arial" w:hAnsi="Arial" w:cs="Arial"/>
          <w:sz w:val="20"/>
          <w:szCs w:val="20"/>
        </w:rPr>
        <w:t>318.</w:t>
      </w:r>
    </w:p>
    <w:p w:rsidR="00A25AF6" w:rsidRPr="002B1990" w:rsidRDefault="00A25AF6" w:rsidP="002B1990">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White PC, Tusie-Luna MT, New MI, Speiser PW. Mutations in steroid</w:t>
      </w:r>
      <w:r w:rsidR="002B1990">
        <w:rPr>
          <w:rFonts w:ascii="Arial" w:hAnsi="Arial" w:cs="Arial"/>
          <w:sz w:val="20"/>
          <w:szCs w:val="20"/>
        </w:rPr>
        <w:t xml:space="preserve"> </w:t>
      </w:r>
      <w:r w:rsidRPr="002B1990">
        <w:rPr>
          <w:rFonts w:ascii="Arial" w:hAnsi="Arial" w:cs="Arial"/>
          <w:sz w:val="20"/>
          <w:szCs w:val="20"/>
        </w:rPr>
        <w:t>21-hydroxylase (CYP21). Hum Mutat. 1994;3</w:t>
      </w:r>
      <w:r w:rsidR="005A2823" w:rsidRPr="002B1990">
        <w:rPr>
          <w:rFonts w:ascii="Arial" w:hAnsi="Arial" w:cs="Arial"/>
          <w:sz w:val="20"/>
          <w:szCs w:val="20"/>
        </w:rPr>
        <w:t>:373–</w:t>
      </w:r>
      <w:r w:rsidRPr="002B1990">
        <w:rPr>
          <w:rFonts w:ascii="Arial" w:hAnsi="Arial" w:cs="Arial"/>
          <w:sz w:val="20"/>
          <w:szCs w:val="20"/>
        </w:rPr>
        <w:t>8.</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 xml:space="preserve">Miller WL. Genetics, diagnosis and management of 21-hydroxylase deficiency. J Clin </w:t>
      </w:r>
      <w:r w:rsidR="005A2823" w:rsidRPr="00863196">
        <w:rPr>
          <w:rFonts w:ascii="Arial" w:hAnsi="Arial" w:cs="Arial"/>
          <w:sz w:val="20"/>
          <w:szCs w:val="20"/>
        </w:rPr>
        <w:t>Endocrinol Metab. 1994;78:241–</w:t>
      </w:r>
      <w:r w:rsidRPr="00863196">
        <w:rPr>
          <w:rFonts w:ascii="Arial" w:hAnsi="Arial" w:cs="Arial"/>
          <w:sz w:val="20"/>
          <w:szCs w:val="20"/>
        </w:rPr>
        <w:t>6.</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Koppens PF, Hoogenboezem T, Degenhart HJ. Carriership of a defective tenascin-X gene in steroid 21-hydroxylase deficiency patients: TNXB-TNXA hybrids in apparent large-scale gene conversions. Hum Mol G</w:t>
      </w:r>
      <w:r w:rsidR="005A2823" w:rsidRPr="00863196">
        <w:rPr>
          <w:rFonts w:ascii="Arial" w:hAnsi="Arial" w:cs="Arial"/>
          <w:sz w:val="20"/>
          <w:szCs w:val="20"/>
        </w:rPr>
        <w:t>enet. 2002;11:2581–</w:t>
      </w:r>
      <w:r w:rsidRPr="00863196">
        <w:rPr>
          <w:rFonts w:ascii="Arial" w:hAnsi="Arial" w:cs="Arial"/>
          <w:sz w:val="20"/>
          <w:szCs w:val="20"/>
        </w:rPr>
        <w:t>90.</w:t>
      </w:r>
    </w:p>
    <w:p w:rsidR="00A25AF6" w:rsidRPr="003E3664" w:rsidRDefault="00A25AF6" w:rsidP="00A25AF6">
      <w:pPr>
        <w:pStyle w:val="PargrafodaLista"/>
        <w:numPr>
          <w:ilvl w:val="0"/>
          <w:numId w:val="8"/>
        </w:numPr>
        <w:spacing w:line="360" w:lineRule="auto"/>
        <w:jc w:val="both"/>
        <w:rPr>
          <w:rFonts w:ascii="Arial" w:hAnsi="Arial" w:cs="Arial"/>
          <w:sz w:val="20"/>
          <w:szCs w:val="20"/>
          <w:highlight w:val="yellow"/>
        </w:rPr>
      </w:pPr>
      <w:r w:rsidRPr="00863196">
        <w:rPr>
          <w:rFonts w:ascii="Arial" w:hAnsi="Arial" w:cs="Arial"/>
          <w:sz w:val="20"/>
          <w:szCs w:val="20"/>
        </w:rPr>
        <w:t xml:space="preserve">Speiser PW, Dupont J, Zhu D, Serrat </w:t>
      </w:r>
      <w:r w:rsidR="00625261">
        <w:rPr>
          <w:rFonts w:ascii="Arial" w:hAnsi="Arial" w:cs="Arial"/>
          <w:sz w:val="20"/>
          <w:szCs w:val="20"/>
        </w:rPr>
        <w:t>J, Buegeleisen M, Tusie-Luna MT</w:t>
      </w:r>
      <w:r w:rsidR="00625261" w:rsidRPr="004F2116">
        <w:rPr>
          <w:rFonts w:ascii="Arial" w:hAnsi="Arial" w:cs="Arial"/>
          <w:sz w:val="20"/>
          <w:szCs w:val="20"/>
          <w:highlight w:val="yellow"/>
        </w:rPr>
        <w:t>,</w:t>
      </w:r>
      <w:r w:rsidR="00625261">
        <w:rPr>
          <w:rFonts w:ascii="Arial" w:hAnsi="Arial" w:cs="Arial"/>
          <w:sz w:val="20"/>
          <w:szCs w:val="20"/>
        </w:rPr>
        <w:t xml:space="preserve"> </w:t>
      </w:r>
      <w:r w:rsidRPr="00863196">
        <w:rPr>
          <w:rFonts w:ascii="Arial" w:hAnsi="Arial" w:cs="Arial"/>
          <w:sz w:val="20"/>
          <w:szCs w:val="20"/>
        </w:rPr>
        <w:t>et al. Disease expression and molecular genotype in congenital adrenal hyperplasia due to 21-hydroxylase deficien</w:t>
      </w:r>
      <w:r w:rsidR="005A2823" w:rsidRPr="00863196">
        <w:rPr>
          <w:rFonts w:ascii="Arial" w:hAnsi="Arial" w:cs="Arial"/>
          <w:sz w:val="20"/>
          <w:szCs w:val="20"/>
        </w:rPr>
        <w:t>cy. J Clin Invest. 1992;90:584–</w:t>
      </w:r>
      <w:r w:rsidRPr="00863196">
        <w:rPr>
          <w:rFonts w:ascii="Arial" w:hAnsi="Arial" w:cs="Arial"/>
          <w:sz w:val="20"/>
          <w:szCs w:val="20"/>
        </w:rPr>
        <w:t>95.</w:t>
      </w:r>
      <w:r w:rsidR="003E3664">
        <w:rPr>
          <w:rFonts w:ascii="Arial" w:hAnsi="Arial" w:cs="Arial"/>
          <w:sz w:val="20"/>
          <w:szCs w:val="20"/>
        </w:rPr>
        <w:t xml:space="preserve"> </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Wedell A, Thilen A, Ritzen EM, Stengler B, Luthman H. Mutational spectrum of the steroid 21-hydroxylase gene in Sweden: implications for genetic diagnosis and association with disease manifestation. J Clin E</w:t>
      </w:r>
      <w:r w:rsidR="005A2823" w:rsidRPr="00863196">
        <w:rPr>
          <w:rFonts w:ascii="Arial" w:hAnsi="Arial" w:cs="Arial"/>
          <w:sz w:val="20"/>
          <w:szCs w:val="20"/>
        </w:rPr>
        <w:t>ndocrinol Metab. 1994;78:1145–</w:t>
      </w:r>
      <w:r w:rsidRPr="00863196">
        <w:rPr>
          <w:rFonts w:ascii="Arial" w:hAnsi="Arial" w:cs="Arial"/>
          <w:sz w:val="20"/>
          <w:szCs w:val="20"/>
        </w:rPr>
        <w:t>52.</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Wilson RC, Mercado AB, Cheng KC, New MI. Steroid 21-hydroxylase deficiency: genotype may not predict phenotype. J Clin E</w:t>
      </w:r>
      <w:r w:rsidR="005A2823" w:rsidRPr="00863196">
        <w:rPr>
          <w:rFonts w:ascii="Arial" w:hAnsi="Arial" w:cs="Arial"/>
          <w:sz w:val="20"/>
          <w:szCs w:val="20"/>
        </w:rPr>
        <w:t>ndocrinol Metab. 1995;80:2322–</w:t>
      </w:r>
      <w:r w:rsidRPr="00863196">
        <w:rPr>
          <w:rFonts w:ascii="Arial" w:hAnsi="Arial" w:cs="Arial"/>
          <w:sz w:val="20"/>
          <w:szCs w:val="20"/>
        </w:rPr>
        <w:t>9.</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lang w:val="pt-PT"/>
        </w:rPr>
        <w:t xml:space="preserve">Ezquieta B, Oliver A, Gracia R, Gancedo PG. </w:t>
      </w:r>
      <w:r w:rsidRPr="00863196">
        <w:rPr>
          <w:rFonts w:ascii="Arial" w:hAnsi="Arial" w:cs="Arial"/>
          <w:sz w:val="20"/>
          <w:szCs w:val="20"/>
        </w:rPr>
        <w:t>Analysis of steroid 21-hydroxylase gene mutations in the Spanish population. Hum Genet. 1995;96:198 –204.</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Pang SY, Wallace MA, Hofman L, Thuline HC, Dorche C, Lyon IC, et at. Worldwide experience in newborn screening for classical congenital adrenal hyperplasia due to 21-hydroxylase defic</w:t>
      </w:r>
      <w:r w:rsidR="00107BC1" w:rsidRPr="00863196">
        <w:rPr>
          <w:rFonts w:ascii="Arial" w:hAnsi="Arial" w:cs="Arial"/>
          <w:sz w:val="20"/>
          <w:szCs w:val="20"/>
        </w:rPr>
        <w:t>iency. Pediatrics. 1998;81:866–</w:t>
      </w:r>
      <w:r w:rsidRPr="00863196">
        <w:rPr>
          <w:rFonts w:ascii="Arial" w:hAnsi="Arial" w:cs="Arial"/>
          <w:sz w:val="20"/>
          <w:szCs w:val="20"/>
        </w:rPr>
        <w:t>74</w:t>
      </w:r>
      <w:r w:rsidR="00423B3A" w:rsidRPr="00863196">
        <w:rPr>
          <w:rFonts w:ascii="Arial" w:hAnsi="Arial" w:cs="Arial"/>
          <w:sz w:val="20"/>
          <w:szCs w:val="20"/>
        </w:rPr>
        <w:t>.</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Speiser PW, Dupont B, Rubinstein P, Piazza A, Kastelan A, New MI. High frequency of non-classical steroid 21-hydroxylase deficienc</w:t>
      </w:r>
      <w:r w:rsidR="00107BC1" w:rsidRPr="00863196">
        <w:rPr>
          <w:rFonts w:ascii="Arial" w:hAnsi="Arial" w:cs="Arial"/>
          <w:sz w:val="20"/>
          <w:szCs w:val="20"/>
        </w:rPr>
        <w:t>y. Am J Hum Genet. 1985;37:650–</w:t>
      </w:r>
      <w:r w:rsidRPr="00863196">
        <w:rPr>
          <w:rFonts w:ascii="Arial" w:hAnsi="Arial" w:cs="Arial"/>
          <w:sz w:val="20"/>
          <w:szCs w:val="20"/>
        </w:rPr>
        <w:t>67.</w:t>
      </w:r>
    </w:p>
    <w:p w:rsidR="00A25AF6" w:rsidRPr="00DF6EE7" w:rsidRDefault="002044BC" w:rsidP="00DF6EE7">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White PC, Speiser PW.</w:t>
      </w:r>
      <w:r w:rsidR="00A25AF6" w:rsidRPr="00863196">
        <w:rPr>
          <w:rFonts w:ascii="Arial" w:hAnsi="Arial" w:cs="Arial"/>
          <w:sz w:val="20"/>
          <w:szCs w:val="20"/>
        </w:rPr>
        <w:t xml:space="preserve"> Congenital adrenal hyperplasia due to 21-</w:t>
      </w:r>
      <w:r w:rsidR="00A25AF6" w:rsidRPr="00DF6EE7">
        <w:rPr>
          <w:rFonts w:ascii="Arial" w:hAnsi="Arial" w:cs="Arial"/>
          <w:sz w:val="20"/>
          <w:szCs w:val="20"/>
        </w:rPr>
        <w:t>hydroxylase deficiency. Endocr Rev</w:t>
      </w:r>
      <w:r w:rsidRPr="00DF6EE7">
        <w:rPr>
          <w:rFonts w:ascii="Arial" w:hAnsi="Arial" w:cs="Arial"/>
          <w:sz w:val="20"/>
          <w:szCs w:val="20"/>
        </w:rPr>
        <w:t>. 2000;</w:t>
      </w:r>
      <w:r w:rsidR="00107BC1" w:rsidRPr="00DF6EE7">
        <w:rPr>
          <w:rFonts w:ascii="Arial" w:hAnsi="Arial" w:cs="Arial"/>
          <w:sz w:val="20"/>
          <w:szCs w:val="20"/>
        </w:rPr>
        <w:t>21:245–</w:t>
      </w:r>
      <w:r w:rsidR="00A25AF6" w:rsidRPr="00DF6EE7">
        <w:rPr>
          <w:rFonts w:ascii="Arial" w:hAnsi="Arial" w:cs="Arial"/>
          <w:sz w:val="20"/>
          <w:szCs w:val="20"/>
        </w:rPr>
        <w:t xml:space="preserve">91. </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Finkielstain GP, Chen W, Mehta SP, Fujimura FK, Hanna RM, Van Ryzin C, et al. Comprehensive genetic analysis of 182 unrelated families with congenital adrenal hyperplasia due to 21-hydroxylase deficiency. J Clin Endocrinol Metab. 2011;96:E161</w:t>
      </w:r>
      <w:r w:rsidR="00107BC1" w:rsidRPr="00863196">
        <w:rPr>
          <w:rFonts w:ascii="Arial" w:hAnsi="Arial" w:cs="Arial"/>
          <w:sz w:val="20"/>
          <w:szCs w:val="20"/>
        </w:rPr>
        <w:t>-</w:t>
      </w:r>
      <w:r w:rsidRPr="00863196">
        <w:rPr>
          <w:rFonts w:ascii="Arial" w:hAnsi="Arial" w:cs="Arial"/>
          <w:sz w:val="20"/>
          <w:szCs w:val="20"/>
        </w:rPr>
        <w:t>72.</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Wedell A. Molecular genetics of congenital adrenal hyperplasia (21- hydroxylase deficiency): implications for diagnosis, prognosis and treatmen</w:t>
      </w:r>
      <w:r w:rsidR="00107BC1" w:rsidRPr="00863196">
        <w:rPr>
          <w:rFonts w:ascii="Arial" w:hAnsi="Arial" w:cs="Arial"/>
          <w:sz w:val="20"/>
          <w:szCs w:val="20"/>
        </w:rPr>
        <w:t>t. Acta Paediatr. 1998;87:159-</w:t>
      </w:r>
      <w:r w:rsidRPr="00863196">
        <w:rPr>
          <w:rFonts w:ascii="Arial" w:hAnsi="Arial" w:cs="Arial"/>
          <w:sz w:val="20"/>
          <w:szCs w:val="20"/>
        </w:rPr>
        <w:t>64.</w:t>
      </w:r>
    </w:p>
    <w:p w:rsidR="00A25AF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Krone N, Braun A, Roscher AA, Knorr D, Schwarz HP. Predicting phenotype in steroid 21-hydroxylase deficiency? Comprehensive genotyping in 155 unrelated, well defined patients from southern Germany. J C</w:t>
      </w:r>
      <w:r w:rsidR="00EA4290" w:rsidRPr="00863196">
        <w:rPr>
          <w:rFonts w:ascii="Arial" w:hAnsi="Arial" w:cs="Arial"/>
          <w:sz w:val="20"/>
          <w:szCs w:val="20"/>
        </w:rPr>
        <w:t>lin Endocrinol Metab. 2000;85</w:t>
      </w:r>
      <w:r w:rsidRPr="00863196">
        <w:rPr>
          <w:rFonts w:ascii="Arial" w:hAnsi="Arial" w:cs="Arial"/>
          <w:sz w:val="20"/>
          <w:szCs w:val="20"/>
        </w:rPr>
        <w:t>:1059</w:t>
      </w:r>
      <w:r w:rsidR="00EA4290" w:rsidRPr="00863196">
        <w:rPr>
          <w:rFonts w:ascii="Arial" w:hAnsi="Arial" w:cs="Arial"/>
          <w:sz w:val="20"/>
          <w:szCs w:val="20"/>
        </w:rPr>
        <w:t>-65</w:t>
      </w:r>
      <w:r w:rsidRPr="00863196">
        <w:rPr>
          <w:rFonts w:ascii="Arial" w:hAnsi="Arial" w:cs="Arial"/>
          <w:sz w:val="20"/>
          <w:szCs w:val="20"/>
        </w:rPr>
        <w:t>.</w:t>
      </w:r>
    </w:p>
    <w:p w:rsidR="00DE7630" w:rsidRDefault="00DE7630" w:rsidP="00DE7630">
      <w:pPr>
        <w:pStyle w:val="PargrafodaLista"/>
        <w:numPr>
          <w:ilvl w:val="0"/>
          <w:numId w:val="8"/>
        </w:numPr>
        <w:spacing w:line="360" w:lineRule="auto"/>
        <w:jc w:val="both"/>
        <w:rPr>
          <w:rFonts w:ascii="Arial" w:hAnsi="Arial" w:cs="Arial"/>
          <w:sz w:val="20"/>
          <w:szCs w:val="20"/>
        </w:rPr>
      </w:pPr>
      <w:r w:rsidRPr="00C40288">
        <w:rPr>
          <w:rFonts w:ascii="Arial" w:hAnsi="Arial" w:cs="Arial"/>
          <w:sz w:val="20"/>
          <w:szCs w:val="20"/>
          <w:highlight w:val="yellow"/>
        </w:rPr>
        <w:t>New MI, Abraham M, Gonzalez B, Dumic M, Razzaghy-Azar M, Chitayat D, et al. Genotype-phenotype correlation in 1,507 families with congenital adrenal hyperplasia owing to 21-hydroxylase deficiency. Pro</w:t>
      </w:r>
      <w:r w:rsidR="004B1BF1">
        <w:rPr>
          <w:rFonts w:ascii="Arial" w:hAnsi="Arial" w:cs="Arial"/>
          <w:sz w:val="20"/>
          <w:szCs w:val="20"/>
          <w:highlight w:val="yellow"/>
        </w:rPr>
        <w:t>c Natl Acad Sci U S A. 2013;110</w:t>
      </w:r>
      <w:bookmarkStart w:id="0" w:name="_GoBack"/>
      <w:bookmarkEnd w:id="0"/>
      <w:r w:rsidRPr="00C40288">
        <w:rPr>
          <w:rFonts w:ascii="Arial" w:hAnsi="Arial" w:cs="Arial"/>
          <w:sz w:val="20"/>
          <w:szCs w:val="20"/>
          <w:highlight w:val="yellow"/>
        </w:rPr>
        <w:t>(7):2611-6.</w:t>
      </w:r>
    </w:p>
    <w:p w:rsidR="00DE7630" w:rsidRPr="00DE7630" w:rsidRDefault="00DE7630" w:rsidP="00DE7630">
      <w:pPr>
        <w:pStyle w:val="PargrafodaLista"/>
        <w:numPr>
          <w:ilvl w:val="0"/>
          <w:numId w:val="8"/>
        </w:numPr>
        <w:spacing w:line="360" w:lineRule="auto"/>
        <w:jc w:val="both"/>
        <w:rPr>
          <w:rFonts w:ascii="Arial" w:hAnsi="Arial" w:cs="Arial"/>
          <w:sz w:val="20"/>
          <w:szCs w:val="20"/>
          <w:highlight w:val="yellow"/>
        </w:rPr>
      </w:pPr>
      <w:r w:rsidRPr="00CA5489">
        <w:rPr>
          <w:rFonts w:ascii="Arial" w:hAnsi="Arial" w:cs="Arial"/>
          <w:sz w:val="20"/>
          <w:szCs w:val="20"/>
          <w:highlight w:val="yellow"/>
          <w:lang w:val="pt-PT"/>
        </w:rPr>
        <w:t xml:space="preserve">Vieira A, Paiva S, Baptista C, Ruas L, Silva J, Gonçalves J, et al. </w:t>
      </w:r>
      <w:r w:rsidRPr="00AB6EF9">
        <w:rPr>
          <w:rFonts w:ascii="Arial" w:hAnsi="Arial" w:cs="Arial"/>
          <w:sz w:val="20"/>
          <w:szCs w:val="20"/>
          <w:highlight w:val="yellow"/>
        </w:rPr>
        <w:t>Late onset congenital adrenal hyperplasia due to 21-hydroxylase deficiency: revision of literature and preconception genetic study of five couples. Acta Med Port. 2011;24(1):99-110.</w:t>
      </w:r>
    </w:p>
    <w:p w:rsidR="00A25AF6" w:rsidRPr="00DE7630" w:rsidRDefault="00A25AF6" w:rsidP="00DE7630">
      <w:pPr>
        <w:pStyle w:val="PargrafodaLista"/>
        <w:numPr>
          <w:ilvl w:val="0"/>
          <w:numId w:val="8"/>
        </w:numPr>
        <w:spacing w:line="360" w:lineRule="auto"/>
        <w:jc w:val="both"/>
        <w:rPr>
          <w:rFonts w:ascii="Arial" w:hAnsi="Arial" w:cs="Arial"/>
          <w:sz w:val="20"/>
          <w:szCs w:val="20"/>
        </w:rPr>
      </w:pPr>
      <w:r w:rsidRPr="00DE7630">
        <w:rPr>
          <w:rFonts w:ascii="Arial" w:hAnsi="Arial" w:cs="Arial"/>
          <w:sz w:val="20"/>
          <w:szCs w:val="20"/>
        </w:rPr>
        <w:t>Dracopoulou−Vabouli M, Maniati−Christidi M, Dacou−Voutetakis C. The spectrum of molecular defects of the CYP21 gene in the Hellenic population: Variable concordance between genotype and phenotype in the different forms of congenital adrenal hyperplasia. J Clin En</w:t>
      </w:r>
      <w:r w:rsidR="00ED0794" w:rsidRPr="00DE7630">
        <w:rPr>
          <w:rFonts w:ascii="Arial" w:hAnsi="Arial" w:cs="Arial"/>
          <w:sz w:val="20"/>
          <w:szCs w:val="20"/>
        </w:rPr>
        <w:t>docrinol Metab. 2001;86:2845–</w:t>
      </w:r>
      <w:r w:rsidRPr="00DE7630">
        <w:rPr>
          <w:rFonts w:ascii="Arial" w:hAnsi="Arial" w:cs="Arial"/>
          <w:sz w:val="20"/>
          <w:szCs w:val="20"/>
        </w:rPr>
        <w:t>8.</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lang w:val="fr-FR"/>
        </w:rPr>
        <w:t xml:space="preserve">Carrera P, Bordone L, Azzani T, Brunelli V, Garancini MP, Chiumello G, et al. </w:t>
      </w:r>
      <w:r w:rsidRPr="00863196">
        <w:rPr>
          <w:rFonts w:ascii="Arial" w:hAnsi="Arial" w:cs="Arial"/>
          <w:sz w:val="20"/>
          <w:szCs w:val="20"/>
        </w:rPr>
        <w:t>Point mutations in Italian patients with classic, non-classic, and cryptic forms of steroid 21-hydroxylase defici</w:t>
      </w:r>
      <w:r w:rsidR="00ED0794" w:rsidRPr="00863196">
        <w:rPr>
          <w:rFonts w:ascii="Arial" w:hAnsi="Arial" w:cs="Arial"/>
          <w:sz w:val="20"/>
          <w:szCs w:val="20"/>
        </w:rPr>
        <w:t>ency. Hum Genet. 1996;98:662–</w:t>
      </w:r>
      <w:r w:rsidRPr="00863196">
        <w:rPr>
          <w:rFonts w:ascii="Arial" w:hAnsi="Arial" w:cs="Arial"/>
          <w:sz w:val="20"/>
          <w:szCs w:val="20"/>
        </w:rPr>
        <w:t>5.</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CA5489">
        <w:rPr>
          <w:rFonts w:ascii="Arial" w:hAnsi="Arial" w:cs="Arial"/>
          <w:sz w:val="20"/>
          <w:szCs w:val="20"/>
          <w:lang w:val="pt-PT"/>
        </w:rPr>
        <w:t xml:space="preserve">Bachega TA, Billerbeck AE, Madureira G, Marcondes JA, Longui CA, Leite MV, et al. </w:t>
      </w:r>
      <w:r w:rsidR="006C2461" w:rsidRPr="00863196">
        <w:rPr>
          <w:rFonts w:ascii="Arial" w:hAnsi="Arial" w:cs="Arial"/>
          <w:sz w:val="20"/>
          <w:szCs w:val="20"/>
        </w:rPr>
        <w:t>Molecular genotyping in Brazilian patients with the classical and nonclassical forms of 21-hydroxylase deficiency</w:t>
      </w:r>
      <w:r w:rsidRPr="00863196">
        <w:rPr>
          <w:rFonts w:ascii="Arial" w:hAnsi="Arial" w:cs="Arial"/>
          <w:sz w:val="20"/>
          <w:szCs w:val="20"/>
        </w:rPr>
        <w:t>.</w:t>
      </w:r>
      <w:r w:rsidR="006C2461" w:rsidRPr="00863196">
        <w:rPr>
          <w:rFonts w:ascii="Arial" w:hAnsi="Arial" w:cs="Arial"/>
          <w:sz w:val="20"/>
          <w:szCs w:val="20"/>
        </w:rPr>
        <w:t xml:space="preserve"> </w:t>
      </w:r>
      <w:r w:rsidRPr="00863196">
        <w:rPr>
          <w:rFonts w:ascii="Arial" w:hAnsi="Arial" w:cs="Arial"/>
          <w:sz w:val="20"/>
          <w:szCs w:val="20"/>
        </w:rPr>
        <w:t>J C</w:t>
      </w:r>
      <w:r w:rsidR="006C2461" w:rsidRPr="00863196">
        <w:rPr>
          <w:rFonts w:ascii="Arial" w:hAnsi="Arial" w:cs="Arial"/>
          <w:sz w:val="20"/>
          <w:szCs w:val="20"/>
        </w:rPr>
        <w:t>l</w:t>
      </w:r>
      <w:r w:rsidRPr="00863196">
        <w:rPr>
          <w:rFonts w:ascii="Arial" w:hAnsi="Arial" w:cs="Arial"/>
          <w:sz w:val="20"/>
          <w:szCs w:val="20"/>
        </w:rPr>
        <w:t>in</w:t>
      </w:r>
      <w:r w:rsidR="006C2461" w:rsidRPr="00863196">
        <w:rPr>
          <w:rFonts w:ascii="Arial" w:hAnsi="Arial" w:cs="Arial"/>
          <w:sz w:val="20"/>
          <w:szCs w:val="20"/>
        </w:rPr>
        <w:t xml:space="preserve"> Endocrinol</w:t>
      </w:r>
      <w:r w:rsidR="00ED0794" w:rsidRPr="00863196">
        <w:rPr>
          <w:rFonts w:ascii="Arial" w:hAnsi="Arial" w:cs="Arial"/>
          <w:sz w:val="20"/>
          <w:szCs w:val="20"/>
        </w:rPr>
        <w:t xml:space="preserve"> Metab. </w:t>
      </w:r>
      <w:r w:rsidR="006C2461" w:rsidRPr="00863196">
        <w:rPr>
          <w:rFonts w:ascii="Arial" w:hAnsi="Arial" w:cs="Arial"/>
          <w:sz w:val="20"/>
          <w:szCs w:val="20"/>
        </w:rPr>
        <w:t>1998;</w:t>
      </w:r>
      <w:r w:rsidR="00ED0794" w:rsidRPr="00863196">
        <w:rPr>
          <w:rFonts w:ascii="Arial" w:hAnsi="Arial" w:cs="Arial"/>
          <w:sz w:val="20"/>
          <w:szCs w:val="20"/>
        </w:rPr>
        <w:t>83:4416–</w:t>
      </w:r>
      <w:r w:rsidRPr="00863196">
        <w:rPr>
          <w:rFonts w:ascii="Arial" w:hAnsi="Arial" w:cs="Arial"/>
          <w:sz w:val="20"/>
          <w:szCs w:val="20"/>
        </w:rPr>
        <w:t>9.</w:t>
      </w:r>
    </w:p>
    <w:p w:rsidR="00A25AF6" w:rsidRPr="00863196" w:rsidRDefault="00D85E0B"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 xml:space="preserve">Rumsby G, Avey CJ, Conway GS, </w:t>
      </w:r>
      <w:r w:rsidR="00A25AF6" w:rsidRPr="00863196">
        <w:rPr>
          <w:rFonts w:ascii="Arial" w:hAnsi="Arial" w:cs="Arial"/>
          <w:sz w:val="20"/>
          <w:szCs w:val="20"/>
        </w:rPr>
        <w:t>Honour J</w:t>
      </w:r>
      <w:r w:rsidRPr="00863196">
        <w:rPr>
          <w:rFonts w:ascii="Arial" w:hAnsi="Arial" w:cs="Arial"/>
          <w:sz w:val="20"/>
          <w:szCs w:val="20"/>
        </w:rPr>
        <w:t>W</w:t>
      </w:r>
      <w:r w:rsidR="00A25AF6" w:rsidRPr="00863196">
        <w:rPr>
          <w:rFonts w:ascii="Arial" w:hAnsi="Arial" w:cs="Arial"/>
          <w:sz w:val="20"/>
          <w:szCs w:val="20"/>
        </w:rPr>
        <w:t>. Genotype-phenotype analysis in late onset 21-hydroxylase deficiency in comparison to the classical forms. Clin</w:t>
      </w:r>
      <w:r w:rsidRPr="00863196">
        <w:rPr>
          <w:rFonts w:ascii="Arial" w:hAnsi="Arial" w:cs="Arial"/>
          <w:sz w:val="20"/>
          <w:szCs w:val="20"/>
        </w:rPr>
        <w:t xml:space="preserve"> Endocrinol (Oxf). 1998;48:707–</w:t>
      </w:r>
      <w:r w:rsidR="00A25AF6" w:rsidRPr="00863196">
        <w:rPr>
          <w:rFonts w:ascii="Arial" w:hAnsi="Arial" w:cs="Arial"/>
          <w:sz w:val="20"/>
          <w:szCs w:val="20"/>
        </w:rPr>
        <w:t>11.</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rPr>
        <w:t>New MI. Extensive clinical experience: nonclassical 21-hydroxylase deficiency. J Clin Endocrinol Metab. 2006;91(11):4205</w:t>
      </w:r>
      <w:r w:rsidR="000F2489" w:rsidRPr="00863196">
        <w:rPr>
          <w:rFonts w:ascii="Arial" w:hAnsi="Arial" w:cs="Arial"/>
          <w:sz w:val="20"/>
          <w:szCs w:val="20"/>
        </w:rPr>
        <w:t>-14.</w:t>
      </w:r>
    </w:p>
    <w:p w:rsidR="00A25AF6" w:rsidRPr="00863196" w:rsidRDefault="00A25AF6" w:rsidP="00A25AF6">
      <w:pPr>
        <w:pStyle w:val="PargrafodaLista"/>
        <w:numPr>
          <w:ilvl w:val="0"/>
          <w:numId w:val="8"/>
        </w:numPr>
        <w:spacing w:line="360" w:lineRule="auto"/>
        <w:jc w:val="both"/>
        <w:rPr>
          <w:rFonts w:ascii="Arial" w:hAnsi="Arial" w:cs="Arial"/>
          <w:sz w:val="20"/>
          <w:szCs w:val="20"/>
        </w:rPr>
      </w:pPr>
      <w:r w:rsidRPr="00CA5489">
        <w:rPr>
          <w:rFonts w:ascii="Arial" w:hAnsi="Arial" w:cs="Arial"/>
          <w:sz w:val="20"/>
          <w:szCs w:val="20"/>
          <w:lang w:val="pt-PT"/>
        </w:rPr>
        <w:t xml:space="preserve">Skordis N, Kyriakou A, Tardy V, Ioannou YS, Varvaresou A, Dracopoulou-Vabouli M, et al. </w:t>
      </w:r>
      <w:r w:rsidRPr="00863196">
        <w:rPr>
          <w:rFonts w:ascii="Arial" w:hAnsi="Arial" w:cs="Arial"/>
          <w:sz w:val="20"/>
          <w:szCs w:val="20"/>
        </w:rPr>
        <w:t>Molecular defects of the CYP21A2 gene in Greek-Cypriot patients with congenital adrenal hyperplasia. Horm Res Paedi</w:t>
      </w:r>
      <w:r w:rsidR="003830D7" w:rsidRPr="00863196">
        <w:rPr>
          <w:rFonts w:ascii="Arial" w:hAnsi="Arial" w:cs="Arial"/>
          <w:sz w:val="20"/>
          <w:szCs w:val="20"/>
        </w:rPr>
        <w:t>atr. 2011;75</w:t>
      </w:r>
      <w:r w:rsidRPr="00863196">
        <w:rPr>
          <w:rFonts w:ascii="Arial" w:hAnsi="Arial" w:cs="Arial"/>
          <w:sz w:val="20"/>
          <w:szCs w:val="20"/>
        </w:rPr>
        <w:t>:180-6.</w:t>
      </w:r>
    </w:p>
    <w:p w:rsidR="000917C6" w:rsidRDefault="00A25AF6" w:rsidP="000917C6">
      <w:pPr>
        <w:pStyle w:val="PargrafodaLista"/>
        <w:numPr>
          <w:ilvl w:val="0"/>
          <w:numId w:val="8"/>
        </w:numPr>
        <w:spacing w:line="360" w:lineRule="auto"/>
        <w:jc w:val="both"/>
        <w:rPr>
          <w:rFonts w:ascii="Arial" w:hAnsi="Arial" w:cs="Arial"/>
          <w:sz w:val="20"/>
          <w:szCs w:val="20"/>
        </w:rPr>
      </w:pPr>
      <w:r w:rsidRPr="00863196">
        <w:rPr>
          <w:rFonts w:ascii="Arial" w:hAnsi="Arial" w:cs="Arial"/>
          <w:sz w:val="20"/>
          <w:szCs w:val="20"/>
          <w:lang w:val="pt-PT"/>
        </w:rPr>
        <w:t xml:space="preserve">Gomes LG, Huang N, Agrawal V, Mendonça BB, Bachega TA, Miller WL. </w:t>
      </w:r>
      <w:r w:rsidRPr="00863196">
        <w:rPr>
          <w:rFonts w:ascii="Arial" w:hAnsi="Arial" w:cs="Arial"/>
          <w:sz w:val="20"/>
          <w:szCs w:val="20"/>
        </w:rPr>
        <w:t>Extraadrenal 21-hydroxylation by CYP2C19 and CYP3A4: effect on 21-hydroxylase deficiency. J Clin Endocrinol Metab. 20</w:t>
      </w:r>
      <w:r w:rsidR="000917C6">
        <w:rPr>
          <w:rFonts w:ascii="Arial" w:hAnsi="Arial" w:cs="Arial"/>
          <w:sz w:val="20"/>
          <w:szCs w:val="20"/>
        </w:rPr>
        <w:t>09;94:89–95.</w:t>
      </w:r>
    </w:p>
    <w:p w:rsidR="0054634B" w:rsidRPr="00C40288" w:rsidRDefault="00CE3546" w:rsidP="00C40288">
      <w:pPr>
        <w:pStyle w:val="PargrafodaLista"/>
        <w:numPr>
          <w:ilvl w:val="0"/>
          <w:numId w:val="8"/>
        </w:numPr>
        <w:spacing w:line="360" w:lineRule="auto"/>
        <w:jc w:val="both"/>
        <w:rPr>
          <w:rFonts w:ascii="Arial" w:hAnsi="Arial" w:cs="Arial"/>
          <w:sz w:val="20"/>
          <w:szCs w:val="20"/>
          <w:highlight w:val="yellow"/>
        </w:rPr>
      </w:pPr>
      <w:r w:rsidRPr="00CA5489">
        <w:rPr>
          <w:rFonts w:ascii="Arial" w:hAnsi="Arial" w:cs="Arial"/>
          <w:sz w:val="20"/>
          <w:szCs w:val="20"/>
          <w:highlight w:val="yellow"/>
          <w:lang w:val="pt-PT"/>
        </w:rPr>
        <w:t>I</w:t>
      </w:r>
      <w:r w:rsidR="00382A52" w:rsidRPr="00CA5489">
        <w:rPr>
          <w:rFonts w:ascii="Arial" w:hAnsi="Arial" w:cs="Arial"/>
          <w:sz w:val="20"/>
          <w:szCs w:val="20"/>
          <w:highlight w:val="yellow"/>
          <w:lang w:val="pt-PT"/>
        </w:rPr>
        <w:t xml:space="preserve"> </w:t>
      </w:r>
      <w:r w:rsidR="00C24A6B" w:rsidRPr="00CA5489">
        <w:rPr>
          <w:rFonts w:ascii="Arial" w:hAnsi="Arial" w:cs="Arial"/>
          <w:sz w:val="20"/>
          <w:szCs w:val="20"/>
          <w:highlight w:val="yellow"/>
          <w:lang w:val="pt-PT"/>
        </w:rPr>
        <w:t>Marques CJ</w:t>
      </w:r>
      <w:r w:rsidR="0054634B" w:rsidRPr="00CA5489">
        <w:rPr>
          <w:rFonts w:ascii="Arial" w:hAnsi="Arial" w:cs="Arial"/>
          <w:sz w:val="20"/>
          <w:szCs w:val="20"/>
          <w:highlight w:val="yellow"/>
          <w:lang w:val="pt-PT"/>
        </w:rPr>
        <w:t xml:space="preserve">, Pignatelli D, Carvalho B, Barceló J, Almeida AC, Fernandes S, </w:t>
      </w:r>
      <w:r w:rsidR="00C24A6B" w:rsidRPr="00CA5489">
        <w:rPr>
          <w:rFonts w:ascii="Arial" w:hAnsi="Arial" w:cs="Arial"/>
          <w:sz w:val="20"/>
          <w:szCs w:val="20"/>
          <w:highlight w:val="yellow"/>
          <w:lang w:val="pt-PT"/>
        </w:rPr>
        <w:t>et al</w:t>
      </w:r>
      <w:r w:rsidR="0054634B" w:rsidRPr="00CA5489">
        <w:rPr>
          <w:rFonts w:ascii="Arial" w:hAnsi="Arial" w:cs="Arial"/>
          <w:sz w:val="20"/>
          <w:szCs w:val="20"/>
          <w:highlight w:val="yellow"/>
          <w:lang w:val="pt-PT"/>
        </w:rPr>
        <w:t>.</w:t>
      </w:r>
      <w:r w:rsidR="00C24A6B" w:rsidRPr="00CA5489">
        <w:rPr>
          <w:rFonts w:ascii="Arial" w:hAnsi="Arial" w:cs="Arial"/>
          <w:sz w:val="20"/>
          <w:szCs w:val="20"/>
          <w:highlight w:val="yellow"/>
          <w:lang w:val="pt-PT"/>
        </w:rPr>
        <w:t xml:space="preserve"> </w:t>
      </w:r>
      <w:r w:rsidR="00C24A6B" w:rsidRPr="00C40288">
        <w:rPr>
          <w:rFonts w:ascii="Arial" w:hAnsi="Arial" w:cs="Arial"/>
          <w:sz w:val="20"/>
          <w:szCs w:val="20"/>
          <w:highlight w:val="yellow"/>
        </w:rPr>
        <w:t>Mutational characterization of steroid 21-hydroxylase gene in Portuguese patients with congenital adrenal hyperplasia.</w:t>
      </w:r>
      <w:r w:rsidR="00382A52" w:rsidRPr="00C40288">
        <w:rPr>
          <w:rFonts w:ascii="Arial" w:hAnsi="Arial" w:cs="Arial"/>
          <w:sz w:val="20"/>
          <w:szCs w:val="20"/>
          <w:highlight w:val="yellow"/>
        </w:rPr>
        <w:t xml:space="preserve"> Exp Clin Endocrinol Diabetes. 2010;118(8):505-12.</w:t>
      </w:r>
    </w:p>
    <w:p w:rsidR="000917C6" w:rsidRPr="000917C6" w:rsidRDefault="000917C6" w:rsidP="000917C6">
      <w:pPr>
        <w:pStyle w:val="Default"/>
        <w:spacing w:line="360" w:lineRule="auto"/>
        <w:ind w:firstLine="720"/>
        <w:jc w:val="both"/>
        <w:rPr>
          <w:rFonts w:ascii="Arial" w:hAnsi="Arial" w:cs="Arial"/>
          <w:sz w:val="20"/>
          <w:szCs w:val="20"/>
        </w:rPr>
      </w:pPr>
    </w:p>
    <w:p w:rsidR="00A46ED3" w:rsidRDefault="00A46ED3">
      <w:pPr>
        <w:rPr>
          <w:rFonts w:ascii="Arial" w:hAnsi="Arial" w:cs="Arial"/>
          <w:color w:val="000000"/>
        </w:rPr>
      </w:pPr>
      <w:r>
        <w:rPr>
          <w:rFonts w:ascii="Arial" w:hAnsi="Arial" w:cs="Arial"/>
          <w:color w:val="000000"/>
        </w:rPr>
        <w:br w:type="page"/>
      </w:r>
    </w:p>
    <w:p w:rsidR="002E7BDB" w:rsidRDefault="002E7BDB" w:rsidP="00A46ED3">
      <w:pPr>
        <w:spacing w:line="360" w:lineRule="auto"/>
        <w:jc w:val="both"/>
        <w:rPr>
          <w:rFonts w:ascii="Arial" w:hAnsi="Arial" w:cs="Arial"/>
          <w:b/>
          <w:lang w:val="es-ES_tradnl"/>
        </w:rPr>
        <w:sectPr w:rsidR="002E7BDB" w:rsidSect="00AF254D">
          <w:footerReference w:type="even" r:id="rId9"/>
          <w:footerReference w:type="default" r:id="rId10"/>
          <w:pgSz w:w="11900" w:h="16840"/>
          <w:pgMar w:top="1440" w:right="1800" w:bottom="1440" w:left="1800" w:header="708" w:footer="708" w:gutter="0"/>
          <w:cols w:space="708"/>
          <w:docGrid w:linePitch="360"/>
        </w:sectPr>
      </w:pPr>
    </w:p>
    <w:p w:rsidR="00A46ED3" w:rsidRPr="00CA5489" w:rsidRDefault="00F01690" w:rsidP="00EB05CF">
      <w:pPr>
        <w:spacing w:line="360" w:lineRule="auto"/>
        <w:ind w:left="142"/>
        <w:rPr>
          <w:sz w:val="20"/>
          <w:lang w:val="pt-PT"/>
        </w:rPr>
      </w:pPr>
      <w:r w:rsidRPr="00924B4A">
        <w:rPr>
          <w:rFonts w:ascii="Arial" w:hAnsi="Arial" w:cs="Arial"/>
          <w:b/>
          <w:sz w:val="20"/>
          <w:lang w:val="es-ES_tradnl"/>
        </w:rPr>
        <w:t>Tabela</w:t>
      </w:r>
      <w:r w:rsidR="00A46ED3" w:rsidRPr="00924B4A">
        <w:rPr>
          <w:rFonts w:ascii="Arial" w:hAnsi="Arial" w:cs="Arial"/>
          <w:b/>
          <w:sz w:val="20"/>
          <w:lang w:val="es-ES_tradnl"/>
        </w:rPr>
        <w:t xml:space="preserve"> 1</w:t>
      </w:r>
      <w:r w:rsidRPr="00924B4A">
        <w:rPr>
          <w:rFonts w:ascii="Arial" w:hAnsi="Arial" w:cs="Arial"/>
          <w:sz w:val="20"/>
          <w:lang w:val="es-ES_tradnl"/>
        </w:rPr>
        <w:t>: Tipo de defei</w:t>
      </w:r>
      <w:r w:rsidR="00A46ED3" w:rsidRPr="00924B4A">
        <w:rPr>
          <w:rFonts w:ascii="Arial" w:hAnsi="Arial" w:cs="Arial"/>
          <w:sz w:val="20"/>
          <w:lang w:val="es-ES_tradnl"/>
        </w:rPr>
        <w:t xml:space="preserve">tos moleculares, </w:t>
      </w:r>
      <w:r w:rsidRPr="00CA5489">
        <w:rPr>
          <w:rFonts w:ascii="Arial" w:hAnsi="Arial" w:cs="Arial"/>
          <w:sz w:val="20"/>
          <w:lang w:val="pt-PT"/>
        </w:rPr>
        <w:t>dados clínicos e bioquímicos dos doentes com</w:t>
      </w:r>
      <w:r w:rsidRPr="00924B4A">
        <w:rPr>
          <w:rFonts w:ascii="Arial" w:hAnsi="Arial" w:cs="Arial"/>
          <w:sz w:val="20"/>
          <w:lang w:val="es-ES_tradnl"/>
        </w:rPr>
        <w:t xml:space="preserve"> deficiência de 21-hidroxílase</w:t>
      </w:r>
      <w:r w:rsidR="00A46ED3" w:rsidRPr="00924B4A">
        <w:rPr>
          <w:rFonts w:ascii="Arial" w:hAnsi="Arial" w:cs="Arial"/>
          <w:sz w:val="20"/>
          <w:lang w:val="es-ES_tradnl"/>
        </w:rPr>
        <w:t xml:space="preserve">. </w:t>
      </w:r>
    </w:p>
    <w:tbl>
      <w:tblPr>
        <w:tblW w:w="13678"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827"/>
        <w:gridCol w:w="1788"/>
        <w:gridCol w:w="2620"/>
        <w:gridCol w:w="1241"/>
        <w:gridCol w:w="1376"/>
        <w:gridCol w:w="1650"/>
        <w:gridCol w:w="962"/>
        <w:gridCol w:w="1189"/>
        <w:gridCol w:w="1336"/>
      </w:tblGrid>
      <w:tr w:rsidR="008401B0" w:rsidRPr="00135264" w:rsidTr="00947A26">
        <w:trPr>
          <w:trHeight w:val="314"/>
          <w:jc w:val="center"/>
        </w:trPr>
        <w:tc>
          <w:tcPr>
            <w:tcW w:w="689" w:type="dxa"/>
            <w:tcBorders>
              <w:bottom w:val="single" w:sz="4" w:space="0" w:color="auto"/>
            </w:tcBorders>
            <w:shd w:val="clear" w:color="auto" w:fill="auto"/>
            <w:noWrap/>
            <w:vAlign w:val="bottom"/>
            <w:hideMark/>
          </w:tcPr>
          <w:p w:rsidR="008401B0" w:rsidRPr="00135264" w:rsidRDefault="008401B0" w:rsidP="00AA036B">
            <w:pPr>
              <w:ind w:right="176" w:hanging="108"/>
              <w:jc w:val="center"/>
              <w:rPr>
                <w:rFonts w:ascii="Arial" w:eastAsia="Times New Roman" w:hAnsi="Arial" w:cs="Arial"/>
                <w:b/>
                <w:bCs/>
                <w:color w:val="000000"/>
                <w:sz w:val="16"/>
                <w:szCs w:val="16"/>
                <w:lang w:val="es-ES_tradnl"/>
              </w:rPr>
            </w:pPr>
            <w:r w:rsidRPr="00135264">
              <w:rPr>
                <w:rFonts w:ascii="Arial" w:eastAsia="Times New Roman" w:hAnsi="Arial" w:cs="Arial"/>
                <w:b/>
                <w:bCs/>
                <w:color w:val="000000"/>
                <w:sz w:val="16"/>
                <w:szCs w:val="16"/>
                <w:lang w:val="es-ES_tradnl"/>
              </w:rPr>
              <w:t>Caso</w:t>
            </w:r>
          </w:p>
          <w:p w:rsidR="008401B0" w:rsidRPr="00135264" w:rsidRDefault="008401B0" w:rsidP="00FE7B17">
            <w:pPr>
              <w:ind w:right="460"/>
              <w:rPr>
                <w:rFonts w:ascii="Arial" w:eastAsia="Times New Roman" w:hAnsi="Arial" w:cs="Arial"/>
                <w:b/>
                <w:bCs/>
                <w:color w:val="000000"/>
                <w:sz w:val="16"/>
                <w:szCs w:val="16"/>
                <w:lang w:val="es-ES_tradnl"/>
              </w:rPr>
            </w:pPr>
          </w:p>
        </w:tc>
        <w:tc>
          <w:tcPr>
            <w:tcW w:w="827" w:type="dxa"/>
            <w:tcBorders>
              <w:bottom w:val="single" w:sz="4" w:space="0" w:color="auto"/>
            </w:tcBorders>
            <w:shd w:val="clear" w:color="auto" w:fill="auto"/>
            <w:noWrap/>
            <w:vAlign w:val="bottom"/>
            <w:hideMark/>
          </w:tcPr>
          <w:p w:rsidR="008401B0" w:rsidRPr="00135264" w:rsidRDefault="008401B0" w:rsidP="00FE7B17">
            <w:pPr>
              <w:ind w:left="-108"/>
              <w:rPr>
                <w:rFonts w:ascii="Arial" w:eastAsia="Times New Roman" w:hAnsi="Arial" w:cs="Arial"/>
                <w:b/>
                <w:bCs/>
                <w:sz w:val="16"/>
                <w:szCs w:val="16"/>
                <w:lang w:val="es-ES_tradnl"/>
              </w:rPr>
            </w:pPr>
            <w:r w:rsidRPr="00135264">
              <w:rPr>
                <w:rFonts w:ascii="Arial" w:eastAsia="Times New Roman" w:hAnsi="Arial" w:cs="Arial"/>
                <w:b/>
                <w:bCs/>
                <w:sz w:val="16"/>
                <w:szCs w:val="16"/>
                <w:lang w:val="es-ES_tradnl"/>
              </w:rPr>
              <w:t xml:space="preserve">     Sexo</w:t>
            </w:r>
          </w:p>
          <w:p w:rsidR="008401B0" w:rsidRPr="00135264" w:rsidRDefault="008401B0" w:rsidP="00FE7B17">
            <w:pPr>
              <w:ind w:left="-108"/>
              <w:jc w:val="center"/>
              <w:rPr>
                <w:rFonts w:ascii="Arial" w:eastAsia="Times New Roman" w:hAnsi="Arial" w:cs="Arial"/>
                <w:b/>
                <w:bCs/>
                <w:sz w:val="16"/>
                <w:szCs w:val="16"/>
                <w:lang w:val="es-ES_tradnl"/>
              </w:rPr>
            </w:pPr>
          </w:p>
        </w:tc>
        <w:tc>
          <w:tcPr>
            <w:tcW w:w="1788" w:type="dxa"/>
            <w:tcBorders>
              <w:bottom w:val="single" w:sz="4" w:space="0" w:color="auto"/>
            </w:tcBorders>
            <w:shd w:val="clear" w:color="auto" w:fill="auto"/>
            <w:noWrap/>
            <w:vAlign w:val="bottom"/>
            <w:hideMark/>
          </w:tcPr>
          <w:p w:rsidR="008401B0" w:rsidRPr="00135264" w:rsidRDefault="008401B0" w:rsidP="00FE7B17">
            <w:pPr>
              <w:ind w:left="250"/>
              <w:rPr>
                <w:rFonts w:ascii="Arial" w:eastAsia="Times New Roman" w:hAnsi="Arial" w:cs="Arial"/>
                <w:b/>
                <w:bCs/>
                <w:sz w:val="16"/>
                <w:szCs w:val="16"/>
                <w:lang w:val="es-ES_tradnl"/>
              </w:rPr>
            </w:pPr>
            <w:r>
              <w:rPr>
                <w:rFonts w:ascii="Arial" w:eastAsia="Times New Roman" w:hAnsi="Arial" w:cs="Arial"/>
                <w:b/>
                <w:bCs/>
                <w:sz w:val="16"/>
                <w:szCs w:val="16"/>
                <w:lang w:val="es-ES_tradnl"/>
              </w:rPr>
              <w:t>Genó</w:t>
            </w:r>
            <w:r w:rsidRPr="00135264">
              <w:rPr>
                <w:rFonts w:ascii="Arial" w:eastAsia="Times New Roman" w:hAnsi="Arial" w:cs="Arial"/>
                <w:b/>
                <w:bCs/>
                <w:sz w:val="16"/>
                <w:szCs w:val="16"/>
                <w:lang w:val="es-ES_tradnl"/>
              </w:rPr>
              <w:t>tipo</w:t>
            </w:r>
          </w:p>
          <w:p w:rsidR="008401B0" w:rsidRPr="00135264" w:rsidRDefault="008401B0" w:rsidP="00FE7B17">
            <w:pPr>
              <w:ind w:left="250"/>
              <w:rPr>
                <w:rFonts w:ascii="Arial" w:eastAsia="Times New Roman" w:hAnsi="Arial" w:cs="Arial"/>
                <w:b/>
                <w:bCs/>
                <w:sz w:val="16"/>
                <w:szCs w:val="16"/>
                <w:lang w:val="es-ES_tradnl"/>
              </w:rPr>
            </w:pPr>
          </w:p>
        </w:tc>
        <w:tc>
          <w:tcPr>
            <w:tcW w:w="2620" w:type="dxa"/>
            <w:tcBorders>
              <w:bottom w:val="single" w:sz="4" w:space="0" w:color="auto"/>
            </w:tcBorders>
            <w:shd w:val="clear" w:color="auto" w:fill="auto"/>
            <w:noWrap/>
            <w:vAlign w:val="bottom"/>
            <w:hideMark/>
          </w:tcPr>
          <w:p w:rsidR="008401B0" w:rsidRPr="00135264" w:rsidRDefault="008401B0" w:rsidP="00FE7B17">
            <w:pPr>
              <w:ind w:left="34" w:hanging="425"/>
              <w:jc w:val="center"/>
              <w:rPr>
                <w:rFonts w:ascii="Arial" w:eastAsia="Times New Roman" w:hAnsi="Arial" w:cs="Arial"/>
                <w:b/>
                <w:bCs/>
                <w:sz w:val="16"/>
                <w:szCs w:val="16"/>
                <w:lang w:val="es-ES_tradnl"/>
              </w:rPr>
            </w:pPr>
            <w:r>
              <w:rPr>
                <w:rFonts w:ascii="Arial" w:eastAsia="Times New Roman" w:hAnsi="Arial" w:cs="Arial"/>
                <w:b/>
                <w:bCs/>
                <w:sz w:val="16"/>
                <w:szCs w:val="16"/>
                <w:lang w:val="es-ES_tradnl"/>
              </w:rPr>
              <w:t>Apresentação</w:t>
            </w:r>
          </w:p>
          <w:p w:rsidR="008401B0" w:rsidRPr="00135264" w:rsidRDefault="008401B0" w:rsidP="00FE7B17">
            <w:pPr>
              <w:ind w:left="34" w:hanging="425"/>
              <w:jc w:val="center"/>
              <w:rPr>
                <w:rFonts w:ascii="Arial" w:eastAsia="Times New Roman" w:hAnsi="Arial" w:cs="Arial"/>
                <w:b/>
                <w:bCs/>
                <w:sz w:val="16"/>
                <w:szCs w:val="16"/>
                <w:lang w:val="es-ES_tradnl"/>
              </w:rPr>
            </w:pPr>
            <w:r w:rsidRPr="00135264">
              <w:rPr>
                <w:rFonts w:ascii="Arial" w:eastAsia="Times New Roman" w:hAnsi="Arial" w:cs="Arial"/>
                <w:b/>
                <w:bCs/>
                <w:sz w:val="16"/>
                <w:szCs w:val="16"/>
                <w:lang w:val="es-ES_tradnl"/>
              </w:rPr>
              <w:t>clínica</w:t>
            </w:r>
          </w:p>
        </w:tc>
        <w:tc>
          <w:tcPr>
            <w:tcW w:w="1241" w:type="dxa"/>
            <w:tcBorders>
              <w:bottom w:val="single" w:sz="4" w:space="0" w:color="auto"/>
            </w:tcBorders>
            <w:shd w:val="clear" w:color="auto" w:fill="auto"/>
            <w:noWrap/>
            <w:vAlign w:val="bottom"/>
            <w:hideMark/>
          </w:tcPr>
          <w:p w:rsidR="008401B0" w:rsidRPr="00135264" w:rsidRDefault="008401B0" w:rsidP="00FE7B17">
            <w:pPr>
              <w:ind w:left="34"/>
              <w:jc w:val="center"/>
              <w:rPr>
                <w:rFonts w:ascii="Arial" w:eastAsia="Times New Roman" w:hAnsi="Arial" w:cs="Arial"/>
                <w:b/>
                <w:bCs/>
                <w:color w:val="000000"/>
                <w:sz w:val="16"/>
                <w:szCs w:val="16"/>
                <w:lang w:val="es-ES_tradnl"/>
              </w:rPr>
            </w:pPr>
            <w:r>
              <w:rPr>
                <w:rFonts w:ascii="Arial" w:eastAsia="Times New Roman" w:hAnsi="Arial" w:cs="Arial"/>
                <w:b/>
                <w:bCs/>
                <w:color w:val="000000"/>
                <w:sz w:val="16"/>
                <w:szCs w:val="16"/>
                <w:lang w:val="es-ES_tradnl"/>
              </w:rPr>
              <w:t>Idade ao</w:t>
            </w:r>
            <w:r w:rsidRPr="00135264">
              <w:rPr>
                <w:rFonts w:ascii="Arial" w:eastAsia="Times New Roman" w:hAnsi="Arial" w:cs="Arial"/>
                <w:b/>
                <w:bCs/>
                <w:color w:val="000000"/>
                <w:sz w:val="16"/>
                <w:szCs w:val="16"/>
                <w:lang w:val="es-ES_tradnl"/>
              </w:rPr>
              <w:t xml:space="preserve"> diagnóstico</w:t>
            </w:r>
          </w:p>
        </w:tc>
        <w:tc>
          <w:tcPr>
            <w:tcW w:w="1376" w:type="dxa"/>
            <w:tcBorders>
              <w:bottom w:val="single" w:sz="4" w:space="0" w:color="auto"/>
            </w:tcBorders>
            <w:shd w:val="clear" w:color="auto" w:fill="auto"/>
            <w:noWrap/>
            <w:vAlign w:val="bottom"/>
            <w:hideMark/>
          </w:tcPr>
          <w:p w:rsidR="008401B0" w:rsidRPr="00135264" w:rsidRDefault="008401B0" w:rsidP="00FE7B17">
            <w:pPr>
              <w:ind w:left="175" w:right="-250" w:hanging="567"/>
              <w:jc w:val="center"/>
              <w:rPr>
                <w:rFonts w:ascii="Arial" w:eastAsia="Times New Roman" w:hAnsi="Arial" w:cs="Arial"/>
                <w:b/>
                <w:bCs/>
                <w:color w:val="000000"/>
                <w:sz w:val="16"/>
                <w:szCs w:val="16"/>
                <w:lang w:val="es-ES_tradnl"/>
              </w:rPr>
            </w:pPr>
            <w:r w:rsidRPr="00135264">
              <w:rPr>
                <w:rFonts w:ascii="Arial" w:eastAsia="Times New Roman" w:hAnsi="Arial" w:cs="Arial"/>
                <w:b/>
                <w:bCs/>
                <w:color w:val="000000"/>
                <w:sz w:val="16"/>
                <w:szCs w:val="16"/>
                <w:lang w:val="es-ES_tradnl"/>
              </w:rPr>
              <w:t xml:space="preserve">17-OHP basal </w:t>
            </w:r>
          </w:p>
          <w:p w:rsidR="008401B0" w:rsidRPr="00135264" w:rsidRDefault="008401B0" w:rsidP="00FE7B17">
            <w:pPr>
              <w:ind w:left="175" w:right="-250" w:hanging="567"/>
              <w:jc w:val="center"/>
              <w:rPr>
                <w:rFonts w:ascii="Arial" w:eastAsia="Times New Roman" w:hAnsi="Arial" w:cs="Arial"/>
                <w:b/>
                <w:bCs/>
                <w:color w:val="000000"/>
                <w:sz w:val="16"/>
                <w:szCs w:val="16"/>
                <w:lang w:val="es-ES_tradnl"/>
              </w:rPr>
            </w:pPr>
            <w:r w:rsidRPr="00135264">
              <w:rPr>
                <w:rFonts w:ascii="Arial" w:eastAsia="Times New Roman" w:hAnsi="Arial" w:cs="Arial"/>
                <w:b/>
                <w:bCs/>
                <w:color w:val="000000"/>
                <w:sz w:val="16"/>
                <w:szCs w:val="16"/>
                <w:lang w:val="es-ES_tradnl"/>
              </w:rPr>
              <w:t>(ng/dL)</w:t>
            </w:r>
          </w:p>
        </w:tc>
        <w:tc>
          <w:tcPr>
            <w:tcW w:w="1650" w:type="dxa"/>
            <w:tcBorders>
              <w:bottom w:val="single" w:sz="4" w:space="0" w:color="auto"/>
            </w:tcBorders>
            <w:shd w:val="clear" w:color="auto" w:fill="auto"/>
            <w:noWrap/>
            <w:vAlign w:val="bottom"/>
            <w:hideMark/>
          </w:tcPr>
          <w:p w:rsidR="008401B0" w:rsidRPr="00135264" w:rsidRDefault="008401B0" w:rsidP="00936C4E">
            <w:pPr>
              <w:ind w:left="34"/>
              <w:jc w:val="center"/>
              <w:rPr>
                <w:rFonts w:ascii="Arial" w:eastAsia="Times New Roman" w:hAnsi="Arial" w:cs="Arial"/>
                <w:b/>
                <w:bCs/>
                <w:color w:val="000000"/>
                <w:sz w:val="16"/>
                <w:szCs w:val="16"/>
                <w:lang w:val="es-ES_tradnl"/>
              </w:rPr>
            </w:pPr>
            <w:r w:rsidRPr="00135264">
              <w:rPr>
                <w:rFonts w:ascii="Arial" w:eastAsia="Times New Roman" w:hAnsi="Arial" w:cs="Arial"/>
                <w:b/>
                <w:bCs/>
                <w:color w:val="000000"/>
                <w:sz w:val="16"/>
                <w:szCs w:val="16"/>
                <w:lang w:val="es-ES_tradnl"/>
              </w:rPr>
              <w:t>17-OHP estimulada</w:t>
            </w:r>
            <w:r>
              <w:rPr>
                <w:rFonts w:ascii="Arial" w:eastAsia="Times New Roman" w:hAnsi="Arial" w:cs="Arial"/>
                <w:b/>
                <w:bCs/>
                <w:color w:val="000000"/>
                <w:sz w:val="16"/>
                <w:szCs w:val="16"/>
                <w:lang w:val="es-ES_tradnl"/>
              </w:rPr>
              <w:t xml:space="preserve"> </w:t>
            </w:r>
            <w:r w:rsidRPr="00135264">
              <w:rPr>
                <w:rFonts w:ascii="Arial" w:eastAsia="Times New Roman" w:hAnsi="Arial" w:cs="Arial"/>
                <w:b/>
                <w:bCs/>
                <w:color w:val="000000"/>
                <w:sz w:val="16"/>
                <w:szCs w:val="16"/>
                <w:lang w:val="es-ES_tradnl"/>
              </w:rPr>
              <w:t>(ng/dl)</w:t>
            </w:r>
          </w:p>
        </w:tc>
        <w:tc>
          <w:tcPr>
            <w:tcW w:w="962" w:type="dxa"/>
            <w:tcBorders>
              <w:bottom w:val="single" w:sz="4" w:space="0" w:color="auto"/>
            </w:tcBorders>
            <w:shd w:val="clear" w:color="auto" w:fill="auto"/>
            <w:noWrap/>
            <w:vAlign w:val="bottom"/>
            <w:hideMark/>
          </w:tcPr>
          <w:p w:rsidR="008401B0" w:rsidRPr="00135264" w:rsidRDefault="008401B0" w:rsidP="00FE7B17">
            <w:pPr>
              <w:jc w:val="center"/>
              <w:rPr>
                <w:rFonts w:ascii="Arial" w:eastAsia="Times New Roman" w:hAnsi="Arial" w:cs="Arial"/>
                <w:b/>
                <w:bCs/>
                <w:color w:val="000000"/>
                <w:sz w:val="16"/>
                <w:szCs w:val="16"/>
                <w:lang w:val="es-ES_tradnl"/>
              </w:rPr>
            </w:pPr>
            <w:r>
              <w:rPr>
                <w:rFonts w:ascii="Arial" w:eastAsia="Times New Roman" w:hAnsi="Arial" w:cs="Arial"/>
                <w:b/>
                <w:bCs/>
                <w:color w:val="000000"/>
                <w:sz w:val="16"/>
                <w:szCs w:val="16"/>
                <w:lang w:val="es-ES_tradnl"/>
              </w:rPr>
              <w:t>T</w:t>
            </w:r>
          </w:p>
          <w:p w:rsidR="008401B0" w:rsidRPr="00135264" w:rsidRDefault="008401B0" w:rsidP="00FE7B17">
            <w:pPr>
              <w:rPr>
                <w:rFonts w:ascii="Arial" w:eastAsia="Times New Roman" w:hAnsi="Arial" w:cs="Arial"/>
                <w:b/>
                <w:bCs/>
                <w:color w:val="000000"/>
                <w:sz w:val="16"/>
                <w:szCs w:val="16"/>
                <w:lang w:val="es-ES_tradnl"/>
              </w:rPr>
            </w:pPr>
            <w:r>
              <w:rPr>
                <w:rFonts w:ascii="Arial" w:eastAsia="Times New Roman" w:hAnsi="Arial" w:cs="Arial"/>
                <w:b/>
                <w:bCs/>
                <w:color w:val="000000"/>
                <w:sz w:val="16"/>
                <w:szCs w:val="16"/>
                <w:lang w:val="es-ES_tradnl"/>
              </w:rPr>
              <w:t xml:space="preserve">   (ng/dL)</w:t>
            </w:r>
          </w:p>
        </w:tc>
        <w:tc>
          <w:tcPr>
            <w:tcW w:w="1189" w:type="dxa"/>
            <w:tcBorders>
              <w:bottom w:val="single" w:sz="4" w:space="0" w:color="auto"/>
            </w:tcBorders>
            <w:shd w:val="clear" w:color="auto" w:fill="auto"/>
            <w:noWrap/>
            <w:vAlign w:val="bottom"/>
            <w:hideMark/>
          </w:tcPr>
          <w:p w:rsidR="008401B0" w:rsidRPr="00135264" w:rsidRDefault="008401B0" w:rsidP="00FE7B17">
            <w:pPr>
              <w:jc w:val="center"/>
              <w:rPr>
                <w:rFonts w:ascii="Arial" w:eastAsia="Times New Roman" w:hAnsi="Arial" w:cs="Arial"/>
                <w:b/>
                <w:bCs/>
                <w:color w:val="000000"/>
                <w:sz w:val="16"/>
                <w:szCs w:val="16"/>
                <w:lang w:val="es-ES_tradnl"/>
              </w:rPr>
            </w:pPr>
            <w:r>
              <w:rPr>
                <w:rFonts w:ascii="Arial" w:eastAsia="Times New Roman" w:hAnsi="Arial" w:cs="Arial"/>
                <w:b/>
                <w:bCs/>
                <w:color w:val="000000"/>
                <w:sz w:val="16"/>
                <w:szCs w:val="16"/>
                <w:lang w:val="es-ES_tradnl"/>
              </w:rPr>
              <w:t>Fenó</w:t>
            </w:r>
            <w:r w:rsidRPr="00135264">
              <w:rPr>
                <w:rFonts w:ascii="Arial" w:eastAsia="Times New Roman" w:hAnsi="Arial" w:cs="Arial"/>
                <w:b/>
                <w:bCs/>
                <w:color w:val="000000"/>
                <w:sz w:val="16"/>
                <w:szCs w:val="16"/>
                <w:lang w:val="es-ES_tradnl"/>
              </w:rPr>
              <w:t>tipo observado</w:t>
            </w:r>
          </w:p>
        </w:tc>
        <w:tc>
          <w:tcPr>
            <w:tcW w:w="1336" w:type="dxa"/>
            <w:tcBorders>
              <w:bottom w:val="single" w:sz="4" w:space="0" w:color="auto"/>
            </w:tcBorders>
          </w:tcPr>
          <w:p w:rsidR="008401B0" w:rsidRDefault="008401B0" w:rsidP="00FE7B17">
            <w:pPr>
              <w:jc w:val="center"/>
              <w:rPr>
                <w:rFonts w:ascii="Arial" w:eastAsia="Times New Roman" w:hAnsi="Arial" w:cs="Arial"/>
                <w:b/>
                <w:bCs/>
                <w:color w:val="000000"/>
                <w:sz w:val="16"/>
                <w:szCs w:val="16"/>
                <w:lang w:val="es-ES_tradnl"/>
              </w:rPr>
            </w:pPr>
            <w:r w:rsidRPr="0056419A">
              <w:rPr>
                <w:rFonts w:ascii="Arial" w:eastAsia="Times New Roman" w:hAnsi="Arial" w:cs="Arial"/>
                <w:b/>
                <w:bCs/>
                <w:color w:val="000000"/>
                <w:sz w:val="16"/>
                <w:szCs w:val="16"/>
                <w:highlight w:val="yellow"/>
                <w:lang w:val="es-ES_tradnl"/>
              </w:rPr>
              <w:t>Renina activa (pg/ml)</w:t>
            </w:r>
          </w:p>
        </w:tc>
      </w:tr>
      <w:tr w:rsidR="001B3839" w:rsidRPr="00135264" w:rsidTr="001313F0">
        <w:trPr>
          <w:trHeight w:val="277"/>
          <w:jc w:val="center"/>
        </w:trPr>
        <w:tc>
          <w:tcPr>
            <w:tcW w:w="689" w:type="dxa"/>
            <w:tcBorders>
              <w:bottom w:val="nil"/>
            </w:tcBorders>
            <w:shd w:val="clear" w:color="auto" w:fill="auto"/>
            <w:noWrap/>
            <w:vAlign w:val="bottom"/>
          </w:tcPr>
          <w:p w:rsidR="001B3839" w:rsidRPr="00135264" w:rsidRDefault="001B3839" w:rsidP="00FE7B17">
            <w:pPr>
              <w:ind w:left="34"/>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1</w:t>
            </w:r>
          </w:p>
        </w:tc>
        <w:tc>
          <w:tcPr>
            <w:tcW w:w="827" w:type="dxa"/>
            <w:tcBorders>
              <w:bottom w:val="nil"/>
            </w:tcBorders>
            <w:shd w:val="clear" w:color="auto" w:fill="auto"/>
            <w:noWrap/>
            <w:vAlign w:val="bottom"/>
          </w:tcPr>
          <w:p w:rsidR="001B3839" w:rsidRPr="00135264" w:rsidRDefault="001B3839" w:rsidP="00FE7B17">
            <w:pPr>
              <w:ind w:left="250"/>
              <w:rPr>
                <w:rFonts w:ascii="Arial" w:eastAsia="Times New Roman" w:hAnsi="Arial" w:cs="Arial"/>
                <w:sz w:val="16"/>
                <w:szCs w:val="16"/>
                <w:lang w:val="es-ES_tradnl"/>
              </w:rPr>
            </w:pPr>
            <w:r w:rsidRPr="00135264">
              <w:rPr>
                <w:rFonts w:ascii="Arial" w:eastAsia="Times New Roman" w:hAnsi="Arial" w:cs="Arial"/>
                <w:sz w:val="16"/>
                <w:szCs w:val="16"/>
                <w:lang w:val="es-ES_tradnl"/>
              </w:rPr>
              <w:t>F</w:t>
            </w:r>
          </w:p>
        </w:tc>
        <w:tc>
          <w:tcPr>
            <w:tcW w:w="1788" w:type="dxa"/>
            <w:tcBorders>
              <w:bottom w:val="nil"/>
            </w:tcBorders>
            <w:shd w:val="clear" w:color="auto" w:fill="auto"/>
            <w:noWrap/>
            <w:vAlign w:val="bottom"/>
          </w:tcPr>
          <w:p w:rsidR="001B3839" w:rsidRPr="00135264" w:rsidRDefault="001B3839" w:rsidP="00FE7B17">
            <w:pP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Q318X/Q318X/del</w:t>
            </w:r>
          </w:p>
        </w:tc>
        <w:tc>
          <w:tcPr>
            <w:tcW w:w="2620" w:type="dxa"/>
            <w:tcBorders>
              <w:bottom w:val="nil"/>
            </w:tcBorders>
            <w:shd w:val="clear" w:color="auto" w:fill="auto"/>
            <w:noWrap/>
            <w:vAlign w:val="bottom"/>
          </w:tcPr>
          <w:p w:rsidR="001B3839" w:rsidRPr="00135264" w:rsidRDefault="001B3839" w:rsidP="003E047A">
            <w:pPr>
              <w:ind w:left="250" w:hanging="217"/>
              <w:rPr>
                <w:rFonts w:ascii="Arial" w:eastAsia="Times New Roman" w:hAnsi="Arial" w:cs="Arial"/>
                <w:color w:val="000000"/>
                <w:sz w:val="16"/>
                <w:szCs w:val="16"/>
                <w:lang w:val="es-ES_tradnl"/>
              </w:rPr>
            </w:pPr>
            <w:r>
              <w:rPr>
                <w:rFonts w:ascii="Arial" w:eastAsia="Times New Roman" w:hAnsi="Arial" w:cs="Arial"/>
                <w:color w:val="000000"/>
                <w:sz w:val="16"/>
                <w:szCs w:val="16"/>
                <w:lang w:val="es-ES_tradnl"/>
              </w:rPr>
              <w:t>Crise</w:t>
            </w:r>
            <w:r w:rsidRPr="00135264">
              <w:rPr>
                <w:rFonts w:ascii="Arial" w:eastAsia="Times New Roman" w:hAnsi="Arial" w:cs="Arial"/>
                <w:color w:val="000000"/>
                <w:sz w:val="16"/>
                <w:szCs w:val="16"/>
                <w:lang w:val="es-ES_tradnl"/>
              </w:rPr>
              <w:t xml:space="preserve"> adrenal + Viriliza</w:t>
            </w:r>
            <w:r>
              <w:rPr>
                <w:rFonts w:ascii="Arial" w:eastAsia="Times New Roman" w:hAnsi="Arial" w:cs="Arial"/>
                <w:color w:val="000000"/>
                <w:sz w:val="16"/>
                <w:szCs w:val="16"/>
                <w:lang w:val="es-ES_tradnl"/>
              </w:rPr>
              <w:t>ção</w:t>
            </w:r>
          </w:p>
        </w:tc>
        <w:tc>
          <w:tcPr>
            <w:tcW w:w="1241" w:type="dxa"/>
            <w:tcBorders>
              <w:bottom w:val="nil"/>
            </w:tcBorders>
            <w:shd w:val="clear" w:color="auto" w:fill="auto"/>
            <w:noWrap/>
            <w:vAlign w:val="bottom"/>
          </w:tcPr>
          <w:p w:rsidR="001B3839" w:rsidRPr="00135264" w:rsidRDefault="001B3839" w:rsidP="00FE7B17">
            <w:pPr>
              <w:ind w:left="250"/>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8 d</w:t>
            </w:r>
          </w:p>
        </w:tc>
        <w:tc>
          <w:tcPr>
            <w:tcW w:w="1376" w:type="dxa"/>
            <w:tcBorders>
              <w:bottom w:val="nil"/>
            </w:tcBorders>
            <w:shd w:val="clear" w:color="auto" w:fill="auto"/>
            <w:noWrap/>
            <w:vAlign w:val="bottom"/>
          </w:tcPr>
          <w:p w:rsidR="001B3839" w:rsidRPr="00135264" w:rsidRDefault="001B3839" w:rsidP="00FE7B17">
            <w:pPr>
              <w:ind w:left="250"/>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6970</w:t>
            </w:r>
          </w:p>
        </w:tc>
        <w:tc>
          <w:tcPr>
            <w:tcW w:w="1650" w:type="dxa"/>
            <w:tcBorders>
              <w:bottom w:val="nil"/>
            </w:tcBorders>
            <w:shd w:val="clear" w:color="auto" w:fill="auto"/>
            <w:noWrap/>
            <w:vAlign w:val="bottom"/>
          </w:tcPr>
          <w:p w:rsidR="001B3839" w:rsidRPr="00135264" w:rsidRDefault="001B3839" w:rsidP="00FE7B17">
            <w:pPr>
              <w:ind w:left="250"/>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w:t>
            </w:r>
          </w:p>
        </w:tc>
        <w:tc>
          <w:tcPr>
            <w:tcW w:w="962" w:type="dxa"/>
            <w:tcBorders>
              <w:bottom w:val="nil"/>
            </w:tcBorders>
            <w:shd w:val="clear" w:color="auto" w:fill="auto"/>
            <w:noWrap/>
            <w:vAlign w:val="bottom"/>
          </w:tcPr>
          <w:p w:rsidR="001B3839" w:rsidRPr="00135264" w:rsidRDefault="001B3839" w:rsidP="00FE7B17">
            <w:pPr>
              <w:ind w:left="35"/>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1172</w:t>
            </w:r>
          </w:p>
        </w:tc>
        <w:tc>
          <w:tcPr>
            <w:tcW w:w="1189" w:type="dxa"/>
            <w:tcBorders>
              <w:bottom w:val="nil"/>
            </w:tcBorders>
            <w:shd w:val="clear" w:color="auto" w:fill="auto"/>
            <w:noWrap/>
            <w:vAlign w:val="bottom"/>
          </w:tcPr>
          <w:p w:rsidR="001B3839" w:rsidRPr="00135264" w:rsidRDefault="001B3839" w:rsidP="00FE7B17">
            <w:pPr>
              <w:ind w:left="175"/>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CPS</w:t>
            </w:r>
          </w:p>
        </w:tc>
        <w:tc>
          <w:tcPr>
            <w:tcW w:w="1336" w:type="dxa"/>
            <w:tcBorders>
              <w:bottom w:val="nil"/>
            </w:tcBorders>
            <w:vAlign w:val="bottom"/>
          </w:tcPr>
          <w:p w:rsidR="001B3839" w:rsidRPr="007B12F4" w:rsidRDefault="001B3839"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&gt;300</w:t>
            </w:r>
          </w:p>
        </w:tc>
      </w:tr>
      <w:tr w:rsidR="001B3839" w:rsidRPr="00135264" w:rsidTr="001313F0">
        <w:trPr>
          <w:trHeight w:val="277"/>
          <w:jc w:val="center"/>
        </w:trPr>
        <w:tc>
          <w:tcPr>
            <w:tcW w:w="689" w:type="dxa"/>
            <w:tcBorders>
              <w:top w:val="nil"/>
              <w:bottom w:val="nil"/>
            </w:tcBorders>
            <w:shd w:val="clear" w:color="auto" w:fill="auto"/>
            <w:noWrap/>
            <w:vAlign w:val="bottom"/>
            <w:hideMark/>
          </w:tcPr>
          <w:p w:rsidR="001B3839" w:rsidRPr="00135264" w:rsidRDefault="001B3839" w:rsidP="00FE7B17">
            <w:pPr>
              <w:ind w:left="34"/>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2</w:t>
            </w:r>
          </w:p>
        </w:tc>
        <w:tc>
          <w:tcPr>
            <w:tcW w:w="827" w:type="dxa"/>
            <w:tcBorders>
              <w:top w:val="nil"/>
              <w:bottom w:val="nil"/>
            </w:tcBorders>
            <w:shd w:val="clear" w:color="auto" w:fill="auto"/>
            <w:noWrap/>
            <w:vAlign w:val="bottom"/>
            <w:hideMark/>
          </w:tcPr>
          <w:p w:rsidR="001B3839" w:rsidRPr="00135264" w:rsidRDefault="001B3839" w:rsidP="00FE7B17">
            <w:pPr>
              <w:ind w:left="250"/>
              <w:rPr>
                <w:rFonts w:ascii="Arial" w:eastAsia="Times New Roman" w:hAnsi="Arial" w:cs="Arial"/>
                <w:sz w:val="16"/>
                <w:szCs w:val="16"/>
                <w:lang w:val="es-ES_tradnl"/>
              </w:rPr>
            </w:pPr>
            <w:r w:rsidRPr="00135264">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hideMark/>
          </w:tcPr>
          <w:p w:rsidR="001B3839" w:rsidRPr="00135264" w:rsidRDefault="001B3839" w:rsidP="00FE7B17">
            <w:pP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R356W/R356W</w:t>
            </w:r>
          </w:p>
        </w:tc>
        <w:tc>
          <w:tcPr>
            <w:tcW w:w="2620" w:type="dxa"/>
            <w:tcBorders>
              <w:top w:val="nil"/>
              <w:bottom w:val="nil"/>
            </w:tcBorders>
            <w:shd w:val="clear" w:color="auto" w:fill="auto"/>
            <w:noWrap/>
            <w:vAlign w:val="bottom"/>
            <w:hideMark/>
          </w:tcPr>
          <w:p w:rsidR="001B3839" w:rsidRPr="00135264" w:rsidRDefault="001B3839" w:rsidP="00FE7B17">
            <w:pPr>
              <w:ind w:left="250" w:hanging="217"/>
              <w:rPr>
                <w:rFonts w:ascii="Arial" w:eastAsia="Times New Roman" w:hAnsi="Arial" w:cs="Arial"/>
                <w:color w:val="000000"/>
                <w:sz w:val="16"/>
                <w:szCs w:val="16"/>
                <w:lang w:val="es-ES_tradnl"/>
              </w:rPr>
            </w:pPr>
            <w:r>
              <w:rPr>
                <w:rFonts w:ascii="Arial" w:eastAsia="Times New Roman" w:hAnsi="Arial" w:cs="Arial"/>
                <w:color w:val="000000"/>
                <w:sz w:val="16"/>
                <w:szCs w:val="16"/>
                <w:lang w:val="es-ES_tradnl"/>
              </w:rPr>
              <w:t>Crise</w:t>
            </w:r>
            <w:r w:rsidRPr="00135264">
              <w:rPr>
                <w:rFonts w:ascii="Arial" w:eastAsia="Times New Roman" w:hAnsi="Arial" w:cs="Arial"/>
                <w:color w:val="000000"/>
                <w:sz w:val="16"/>
                <w:szCs w:val="16"/>
                <w:lang w:val="es-ES_tradnl"/>
              </w:rPr>
              <w:t xml:space="preserve"> adrenal + Viriliza</w:t>
            </w:r>
            <w:r>
              <w:rPr>
                <w:rFonts w:ascii="Arial" w:eastAsia="Times New Roman" w:hAnsi="Arial" w:cs="Arial"/>
                <w:color w:val="000000"/>
                <w:sz w:val="16"/>
                <w:szCs w:val="16"/>
                <w:lang w:val="es-ES_tradnl"/>
              </w:rPr>
              <w:t>ção</w:t>
            </w:r>
          </w:p>
        </w:tc>
        <w:tc>
          <w:tcPr>
            <w:tcW w:w="1241" w:type="dxa"/>
            <w:tcBorders>
              <w:top w:val="nil"/>
              <w:bottom w:val="nil"/>
            </w:tcBorders>
            <w:shd w:val="clear" w:color="auto" w:fill="auto"/>
            <w:noWrap/>
            <w:vAlign w:val="bottom"/>
            <w:hideMark/>
          </w:tcPr>
          <w:p w:rsidR="001B3839" w:rsidRPr="00135264" w:rsidRDefault="001B3839" w:rsidP="00FE7B17">
            <w:pPr>
              <w:ind w:left="250"/>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12 d</w:t>
            </w:r>
          </w:p>
        </w:tc>
        <w:tc>
          <w:tcPr>
            <w:tcW w:w="1376" w:type="dxa"/>
            <w:tcBorders>
              <w:top w:val="nil"/>
              <w:bottom w:val="nil"/>
            </w:tcBorders>
            <w:shd w:val="clear" w:color="auto" w:fill="auto"/>
            <w:noWrap/>
            <w:vAlign w:val="bottom"/>
            <w:hideMark/>
          </w:tcPr>
          <w:p w:rsidR="001B3839" w:rsidRPr="00135264" w:rsidRDefault="001B3839" w:rsidP="00FE7B17">
            <w:pPr>
              <w:ind w:left="250"/>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w:t>
            </w:r>
          </w:p>
        </w:tc>
        <w:tc>
          <w:tcPr>
            <w:tcW w:w="1650" w:type="dxa"/>
            <w:tcBorders>
              <w:top w:val="nil"/>
              <w:bottom w:val="nil"/>
            </w:tcBorders>
            <w:shd w:val="clear" w:color="auto" w:fill="auto"/>
            <w:noWrap/>
            <w:vAlign w:val="bottom"/>
            <w:hideMark/>
          </w:tcPr>
          <w:p w:rsidR="001B3839" w:rsidRPr="00135264" w:rsidRDefault="001B3839" w:rsidP="00FE7B17">
            <w:pPr>
              <w:ind w:left="250"/>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hideMark/>
          </w:tcPr>
          <w:p w:rsidR="001B3839" w:rsidRPr="00135264" w:rsidRDefault="001B3839" w:rsidP="00FE7B17">
            <w:pPr>
              <w:ind w:left="35"/>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w:t>
            </w:r>
          </w:p>
        </w:tc>
        <w:tc>
          <w:tcPr>
            <w:tcW w:w="1189" w:type="dxa"/>
            <w:tcBorders>
              <w:top w:val="nil"/>
              <w:bottom w:val="nil"/>
            </w:tcBorders>
            <w:shd w:val="clear" w:color="auto" w:fill="auto"/>
            <w:noWrap/>
            <w:vAlign w:val="bottom"/>
            <w:hideMark/>
          </w:tcPr>
          <w:p w:rsidR="001B3839" w:rsidRPr="00135264" w:rsidRDefault="001B3839" w:rsidP="00FE7B17">
            <w:pPr>
              <w:ind w:left="175"/>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CPS</w:t>
            </w:r>
          </w:p>
        </w:tc>
        <w:tc>
          <w:tcPr>
            <w:tcW w:w="1336" w:type="dxa"/>
            <w:tcBorders>
              <w:top w:val="nil"/>
              <w:bottom w:val="nil"/>
            </w:tcBorders>
            <w:vAlign w:val="bottom"/>
          </w:tcPr>
          <w:p w:rsidR="001B3839" w:rsidRPr="007B12F4" w:rsidRDefault="001B3839"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B3839" w:rsidRPr="00135264" w:rsidTr="001313F0">
        <w:trPr>
          <w:trHeight w:val="277"/>
          <w:jc w:val="center"/>
        </w:trPr>
        <w:tc>
          <w:tcPr>
            <w:tcW w:w="689" w:type="dxa"/>
            <w:tcBorders>
              <w:top w:val="nil"/>
              <w:bottom w:val="nil"/>
            </w:tcBorders>
            <w:shd w:val="clear" w:color="auto" w:fill="auto"/>
            <w:noWrap/>
            <w:vAlign w:val="bottom"/>
          </w:tcPr>
          <w:p w:rsidR="001B3839" w:rsidRPr="00135264" w:rsidRDefault="001B3839" w:rsidP="00FE7B17">
            <w:pPr>
              <w:ind w:left="34"/>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3</w:t>
            </w:r>
          </w:p>
        </w:tc>
        <w:tc>
          <w:tcPr>
            <w:tcW w:w="827" w:type="dxa"/>
            <w:tcBorders>
              <w:top w:val="nil"/>
              <w:bottom w:val="nil"/>
            </w:tcBorders>
            <w:shd w:val="clear" w:color="auto" w:fill="auto"/>
            <w:noWrap/>
            <w:vAlign w:val="bottom"/>
          </w:tcPr>
          <w:p w:rsidR="001B3839" w:rsidRPr="00135264" w:rsidRDefault="001B3839" w:rsidP="00FE7B17">
            <w:pPr>
              <w:ind w:left="250"/>
              <w:rPr>
                <w:rFonts w:ascii="Arial" w:eastAsia="Times New Roman" w:hAnsi="Arial" w:cs="Arial"/>
                <w:sz w:val="16"/>
                <w:szCs w:val="16"/>
                <w:lang w:val="es-ES_tradnl"/>
              </w:rPr>
            </w:pPr>
            <w:r w:rsidRPr="00135264">
              <w:rPr>
                <w:rFonts w:ascii="Arial" w:eastAsia="Times New Roman" w:hAnsi="Arial" w:cs="Arial"/>
                <w:sz w:val="16"/>
                <w:szCs w:val="16"/>
                <w:lang w:val="es-ES_tradnl"/>
              </w:rPr>
              <w:t>M</w:t>
            </w:r>
          </w:p>
        </w:tc>
        <w:tc>
          <w:tcPr>
            <w:tcW w:w="1788" w:type="dxa"/>
            <w:tcBorders>
              <w:top w:val="nil"/>
              <w:bottom w:val="nil"/>
            </w:tcBorders>
            <w:shd w:val="clear" w:color="auto" w:fill="auto"/>
            <w:noWrap/>
            <w:vAlign w:val="bottom"/>
          </w:tcPr>
          <w:p w:rsidR="001B3839" w:rsidRPr="00135264" w:rsidRDefault="001B3839" w:rsidP="00FE7B17">
            <w:pP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I2 splice/F306+nt</w:t>
            </w:r>
          </w:p>
        </w:tc>
        <w:tc>
          <w:tcPr>
            <w:tcW w:w="2620" w:type="dxa"/>
            <w:tcBorders>
              <w:top w:val="nil"/>
              <w:bottom w:val="nil"/>
            </w:tcBorders>
            <w:shd w:val="clear" w:color="auto" w:fill="auto"/>
            <w:noWrap/>
            <w:vAlign w:val="bottom"/>
          </w:tcPr>
          <w:p w:rsidR="001B3839" w:rsidRPr="00135264" w:rsidRDefault="001B3839" w:rsidP="003E047A">
            <w:pPr>
              <w:ind w:left="250" w:hanging="217"/>
              <w:rPr>
                <w:rFonts w:ascii="Arial" w:eastAsia="Times New Roman" w:hAnsi="Arial" w:cs="Arial"/>
                <w:color w:val="000000"/>
                <w:sz w:val="16"/>
                <w:szCs w:val="16"/>
                <w:lang w:val="es-ES_tradnl"/>
              </w:rPr>
            </w:pPr>
            <w:r>
              <w:rPr>
                <w:rFonts w:ascii="Arial" w:eastAsia="Times New Roman" w:hAnsi="Arial" w:cs="Arial"/>
                <w:color w:val="000000"/>
                <w:sz w:val="16"/>
                <w:szCs w:val="16"/>
                <w:lang w:val="es-ES_tradnl"/>
              </w:rPr>
              <w:t>Crise adrenal</w:t>
            </w:r>
          </w:p>
        </w:tc>
        <w:tc>
          <w:tcPr>
            <w:tcW w:w="1241" w:type="dxa"/>
            <w:tcBorders>
              <w:top w:val="nil"/>
              <w:bottom w:val="nil"/>
            </w:tcBorders>
            <w:shd w:val="clear" w:color="auto" w:fill="auto"/>
            <w:noWrap/>
            <w:vAlign w:val="bottom"/>
          </w:tcPr>
          <w:p w:rsidR="001B3839" w:rsidRPr="00135264" w:rsidRDefault="001B3839" w:rsidP="00FE7B17">
            <w:pPr>
              <w:ind w:left="250"/>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10 d</w:t>
            </w:r>
          </w:p>
        </w:tc>
        <w:tc>
          <w:tcPr>
            <w:tcW w:w="1376" w:type="dxa"/>
            <w:tcBorders>
              <w:top w:val="nil"/>
              <w:bottom w:val="nil"/>
            </w:tcBorders>
            <w:shd w:val="clear" w:color="auto" w:fill="auto"/>
            <w:noWrap/>
            <w:vAlign w:val="bottom"/>
          </w:tcPr>
          <w:p w:rsidR="001B3839" w:rsidRPr="00135264" w:rsidRDefault="001B3839" w:rsidP="00FE7B17">
            <w:pPr>
              <w:ind w:left="250"/>
              <w:jc w:val="center"/>
              <w:rPr>
                <w:rFonts w:ascii="Arial" w:eastAsia="Times New Roman" w:hAnsi="Arial" w:cs="Arial"/>
                <w:color w:val="000000"/>
                <w:sz w:val="16"/>
                <w:szCs w:val="16"/>
                <w:lang w:val="es-ES_tradnl"/>
              </w:rPr>
            </w:pPr>
            <w:r>
              <w:rPr>
                <w:rFonts w:ascii="Arial" w:eastAsia="Times New Roman" w:hAnsi="Arial" w:cs="Arial"/>
                <w:color w:val="000000"/>
                <w:sz w:val="16"/>
                <w:szCs w:val="16"/>
                <w:lang w:val="es-ES_tradnl"/>
              </w:rPr>
              <w:t>585</w:t>
            </w:r>
            <w:r w:rsidRPr="00135264">
              <w:rPr>
                <w:rFonts w:ascii="Arial" w:eastAsia="Times New Roman" w:hAnsi="Arial" w:cs="Arial"/>
                <w:color w:val="000000"/>
                <w:sz w:val="16"/>
                <w:szCs w:val="16"/>
                <w:lang w:val="es-ES_tradnl"/>
              </w:rPr>
              <w:t>0</w:t>
            </w:r>
          </w:p>
        </w:tc>
        <w:tc>
          <w:tcPr>
            <w:tcW w:w="1650" w:type="dxa"/>
            <w:tcBorders>
              <w:top w:val="nil"/>
              <w:bottom w:val="nil"/>
            </w:tcBorders>
            <w:shd w:val="clear" w:color="auto" w:fill="auto"/>
            <w:noWrap/>
            <w:vAlign w:val="bottom"/>
          </w:tcPr>
          <w:p w:rsidR="001B3839" w:rsidRPr="00135264" w:rsidRDefault="001B3839" w:rsidP="00FE7B17">
            <w:pPr>
              <w:ind w:left="250"/>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B3839" w:rsidRPr="00135264" w:rsidRDefault="001B3839" w:rsidP="00FE7B17">
            <w:pPr>
              <w:ind w:left="35"/>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2241</w:t>
            </w:r>
          </w:p>
        </w:tc>
        <w:tc>
          <w:tcPr>
            <w:tcW w:w="1189" w:type="dxa"/>
            <w:tcBorders>
              <w:top w:val="nil"/>
              <w:bottom w:val="nil"/>
            </w:tcBorders>
            <w:shd w:val="clear" w:color="auto" w:fill="auto"/>
            <w:noWrap/>
            <w:vAlign w:val="bottom"/>
          </w:tcPr>
          <w:p w:rsidR="001B3839" w:rsidRPr="00135264" w:rsidRDefault="001B3839" w:rsidP="00FE7B17">
            <w:pPr>
              <w:ind w:left="175"/>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CPS</w:t>
            </w:r>
          </w:p>
        </w:tc>
        <w:tc>
          <w:tcPr>
            <w:tcW w:w="1336" w:type="dxa"/>
            <w:tcBorders>
              <w:top w:val="nil"/>
              <w:bottom w:val="nil"/>
            </w:tcBorders>
            <w:vAlign w:val="bottom"/>
          </w:tcPr>
          <w:p w:rsidR="001B3839" w:rsidRPr="007B12F4" w:rsidRDefault="001B3839"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B3839" w:rsidRPr="00135264" w:rsidTr="001313F0">
        <w:trPr>
          <w:trHeight w:val="277"/>
          <w:jc w:val="center"/>
        </w:trPr>
        <w:tc>
          <w:tcPr>
            <w:tcW w:w="689" w:type="dxa"/>
            <w:tcBorders>
              <w:top w:val="nil"/>
              <w:bottom w:val="nil"/>
            </w:tcBorders>
            <w:shd w:val="clear" w:color="auto" w:fill="auto"/>
            <w:noWrap/>
            <w:vAlign w:val="bottom"/>
          </w:tcPr>
          <w:p w:rsidR="001B3839" w:rsidRPr="00135264" w:rsidRDefault="001B3839" w:rsidP="00FE7B17">
            <w:pPr>
              <w:ind w:left="34"/>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4</w:t>
            </w:r>
          </w:p>
        </w:tc>
        <w:tc>
          <w:tcPr>
            <w:tcW w:w="827" w:type="dxa"/>
            <w:tcBorders>
              <w:top w:val="nil"/>
              <w:bottom w:val="nil"/>
            </w:tcBorders>
            <w:shd w:val="clear" w:color="auto" w:fill="auto"/>
            <w:noWrap/>
            <w:vAlign w:val="bottom"/>
          </w:tcPr>
          <w:p w:rsidR="001B3839" w:rsidRPr="0056419A" w:rsidRDefault="001B3839" w:rsidP="00FE7B17">
            <w:pPr>
              <w:ind w:left="250"/>
              <w:rPr>
                <w:rFonts w:ascii="Arial" w:eastAsia="Times New Roman" w:hAnsi="Arial" w:cs="Arial"/>
                <w:sz w:val="16"/>
                <w:szCs w:val="16"/>
                <w:lang w:val="es-ES_tradnl"/>
              </w:rPr>
            </w:pPr>
            <w:r w:rsidRPr="0056419A">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tcPr>
          <w:p w:rsidR="001B3839" w:rsidRPr="0056419A" w:rsidRDefault="001B3839" w:rsidP="00FE7B17">
            <w:pP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I2 splice/I2 splice</w:t>
            </w:r>
          </w:p>
        </w:tc>
        <w:tc>
          <w:tcPr>
            <w:tcW w:w="2620" w:type="dxa"/>
            <w:tcBorders>
              <w:top w:val="nil"/>
              <w:bottom w:val="nil"/>
            </w:tcBorders>
            <w:shd w:val="clear" w:color="auto" w:fill="auto"/>
            <w:noWrap/>
            <w:vAlign w:val="bottom"/>
          </w:tcPr>
          <w:p w:rsidR="001B3839" w:rsidRPr="0056419A" w:rsidRDefault="001B3839"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Crise adrenal + Virilização</w:t>
            </w:r>
          </w:p>
        </w:tc>
        <w:tc>
          <w:tcPr>
            <w:tcW w:w="1241" w:type="dxa"/>
            <w:tcBorders>
              <w:top w:val="nil"/>
              <w:bottom w:val="nil"/>
            </w:tcBorders>
            <w:shd w:val="clear" w:color="auto" w:fill="auto"/>
            <w:noWrap/>
            <w:vAlign w:val="bottom"/>
          </w:tcPr>
          <w:p w:rsidR="001B3839" w:rsidRPr="0056419A" w:rsidRDefault="001B3839"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20 d</w:t>
            </w:r>
          </w:p>
        </w:tc>
        <w:tc>
          <w:tcPr>
            <w:tcW w:w="1376" w:type="dxa"/>
            <w:tcBorders>
              <w:top w:val="nil"/>
              <w:bottom w:val="nil"/>
            </w:tcBorders>
            <w:shd w:val="clear" w:color="auto" w:fill="auto"/>
            <w:noWrap/>
            <w:vAlign w:val="bottom"/>
          </w:tcPr>
          <w:p w:rsidR="001B3839" w:rsidRPr="0056419A" w:rsidRDefault="001B3839"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5820</w:t>
            </w:r>
          </w:p>
        </w:tc>
        <w:tc>
          <w:tcPr>
            <w:tcW w:w="1650" w:type="dxa"/>
            <w:tcBorders>
              <w:top w:val="nil"/>
              <w:bottom w:val="nil"/>
            </w:tcBorders>
            <w:shd w:val="clear" w:color="auto" w:fill="auto"/>
            <w:noWrap/>
            <w:vAlign w:val="bottom"/>
          </w:tcPr>
          <w:p w:rsidR="001B3839" w:rsidRPr="0056419A" w:rsidRDefault="001B3839"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B3839" w:rsidRPr="0056419A" w:rsidRDefault="001B3839"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292</w:t>
            </w:r>
          </w:p>
        </w:tc>
        <w:tc>
          <w:tcPr>
            <w:tcW w:w="1189" w:type="dxa"/>
            <w:tcBorders>
              <w:top w:val="nil"/>
              <w:bottom w:val="nil"/>
            </w:tcBorders>
            <w:shd w:val="clear" w:color="auto" w:fill="auto"/>
            <w:noWrap/>
            <w:vAlign w:val="bottom"/>
          </w:tcPr>
          <w:p w:rsidR="001B3839" w:rsidRPr="0056419A" w:rsidRDefault="001B3839"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CPS</w:t>
            </w:r>
          </w:p>
        </w:tc>
        <w:tc>
          <w:tcPr>
            <w:tcW w:w="1336" w:type="dxa"/>
            <w:tcBorders>
              <w:top w:val="nil"/>
              <w:bottom w:val="nil"/>
            </w:tcBorders>
            <w:vAlign w:val="bottom"/>
          </w:tcPr>
          <w:p w:rsidR="001B3839" w:rsidRPr="007B12F4" w:rsidRDefault="001B3839"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20062</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35264" w:rsidRDefault="001313F0" w:rsidP="00FE7B17">
            <w:pPr>
              <w:ind w:left="34"/>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5</w:t>
            </w:r>
          </w:p>
        </w:tc>
        <w:tc>
          <w:tcPr>
            <w:tcW w:w="827" w:type="dxa"/>
            <w:tcBorders>
              <w:top w:val="nil"/>
              <w:bottom w:val="nil"/>
            </w:tcBorders>
            <w:shd w:val="clear" w:color="auto" w:fill="auto"/>
            <w:noWrap/>
            <w:vAlign w:val="bottom"/>
          </w:tcPr>
          <w:p w:rsidR="001313F0" w:rsidRPr="0056419A" w:rsidRDefault="001313F0" w:rsidP="00FE7B17">
            <w:pPr>
              <w:ind w:left="250"/>
              <w:rPr>
                <w:rFonts w:ascii="Arial" w:eastAsia="Times New Roman" w:hAnsi="Arial" w:cs="Arial"/>
                <w:color w:val="000000"/>
                <w:sz w:val="16"/>
                <w:szCs w:val="16"/>
                <w:lang w:val="es-ES_tradnl"/>
              </w:rPr>
            </w:pPr>
            <w:r w:rsidRPr="0056419A">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tcPr>
          <w:p w:rsidR="001313F0" w:rsidRPr="0056419A" w:rsidRDefault="001313F0" w:rsidP="00FE7B17">
            <w:pP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I2 splice/Δ8pb/Q318X</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Virilização</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1 d</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3220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1330</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CPS</w:t>
            </w:r>
          </w:p>
        </w:tc>
        <w:tc>
          <w:tcPr>
            <w:tcW w:w="1336" w:type="dxa"/>
            <w:tcBorders>
              <w:top w:val="nil"/>
              <w:bottom w:val="nil"/>
            </w:tcBorders>
            <w:vAlign w:val="bottom"/>
          </w:tcPr>
          <w:p w:rsidR="001313F0" w:rsidRPr="007B12F4" w:rsidRDefault="001313F0"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37.2</w:t>
            </w:r>
          </w:p>
        </w:tc>
      </w:tr>
      <w:tr w:rsidR="001313F0" w:rsidRPr="00135264" w:rsidTr="001313F0">
        <w:trPr>
          <w:trHeight w:val="110"/>
          <w:jc w:val="center"/>
        </w:trPr>
        <w:tc>
          <w:tcPr>
            <w:tcW w:w="689" w:type="dxa"/>
            <w:tcBorders>
              <w:top w:val="nil"/>
              <w:bottom w:val="nil"/>
            </w:tcBorders>
            <w:shd w:val="clear" w:color="auto" w:fill="auto"/>
            <w:noWrap/>
            <w:vAlign w:val="bottom"/>
          </w:tcPr>
          <w:p w:rsidR="001313F0" w:rsidRPr="00135264" w:rsidRDefault="001313F0" w:rsidP="00FE7B17">
            <w:pPr>
              <w:ind w:left="34"/>
              <w:jc w:val="center"/>
              <w:rPr>
                <w:rFonts w:ascii="Arial" w:eastAsia="Times New Roman" w:hAnsi="Arial" w:cs="Arial"/>
                <w:color w:val="000000"/>
                <w:sz w:val="16"/>
                <w:szCs w:val="16"/>
                <w:lang w:val="es-ES_tradnl"/>
              </w:rPr>
            </w:pPr>
          </w:p>
        </w:tc>
        <w:tc>
          <w:tcPr>
            <w:tcW w:w="827" w:type="dxa"/>
            <w:tcBorders>
              <w:top w:val="nil"/>
              <w:bottom w:val="nil"/>
            </w:tcBorders>
            <w:shd w:val="clear" w:color="auto" w:fill="auto"/>
            <w:noWrap/>
            <w:vAlign w:val="bottom"/>
          </w:tcPr>
          <w:p w:rsidR="001313F0" w:rsidRPr="0056419A" w:rsidRDefault="001313F0" w:rsidP="00FE7B17">
            <w:pPr>
              <w:ind w:left="250"/>
              <w:rPr>
                <w:rFonts w:ascii="Arial" w:eastAsia="Times New Roman" w:hAnsi="Arial" w:cs="Arial"/>
                <w:sz w:val="16"/>
                <w:szCs w:val="16"/>
                <w:lang w:val="es-ES_tradnl"/>
              </w:rPr>
            </w:pPr>
          </w:p>
        </w:tc>
        <w:tc>
          <w:tcPr>
            <w:tcW w:w="1788" w:type="dxa"/>
            <w:tcBorders>
              <w:top w:val="nil"/>
              <w:bottom w:val="nil"/>
            </w:tcBorders>
            <w:shd w:val="clear" w:color="auto" w:fill="auto"/>
            <w:noWrap/>
            <w:vAlign w:val="bottom"/>
          </w:tcPr>
          <w:p w:rsidR="001313F0" w:rsidRPr="0056419A" w:rsidRDefault="001313F0" w:rsidP="00FE7B17">
            <w:pPr>
              <w:rPr>
                <w:rFonts w:ascii="Arial" w:eastAsia="Times New Roman" w:hAnsi="Arial" w:cs="Arial"/>
                <w:color w:val="000000"/>
                <w:sz w:val="16"/>
                <w:szCs w:val="16"/>
                <w:lang w:val="es-ES_tradnl"/>
              </w:rPr>
            </w:pP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p>
        </w:tc>
        <w:tc>
          <w:tcPr>
            <w:tcW w:w="1336" w:type="dxa"/>
            <w:tcBorders>
              <w:top w:val="nil"/>
              <w:bottom w:val="nil"/>
            </w:tcBorders>
            <w:vAlign w:val="bottom"/>
          </w:tcPr>
          <w:p w:rsidR="001313F0" w:rsidRPr="007B12F4" w:rsidRDefault="001313F0" w:rsidP="0056419A">
            <w:pPr>
              <w:ind w:left="175"/>
              <w:jc w:val="center"/>
              <w:rPr>
                <w:rFonts w:ascii="Arial" w:eastAsia="Times New Roman" w:hAnsi="Arial" w:cs="Arial"/>
                <w:color w:val="000000"/>
                <w:sz w:val="16"/>
                <w:szCs w:val="16"/>
                <w:highlight w:val="yellow"/>
                <w:lang w:val="es-ES_tradnl"/>
              </w:rPr>
            </w:pP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6</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I2 splice/I172N</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Virilização</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0 d</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&gt;2500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CVS</w:t>
            </w:r>
          </w:p>
        </w:tc>
        <w:tc>
          <w:tcPr>
            <w:tcW w:w="1336" w:type="dxa"/>
            <w:tcBorders>
              <w:top w:val="nil"/>
              <w:bottom w:val="nil"/>
            </w:tcBorders>
            <w:vAlign w:val="bottom"/>
          </w:tcPr>
          <w:p w:rsidR="001313F0" w:rsidRPr="007B12F4" w:rsidRDefault="001313F0"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7</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I172N/I172N</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Virilização</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2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4690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CVS</w:t>
            </w:r>
          </w:p>
        </w:tc>
        <w:tc>
          <w:tcPr>
            <w:tcW w:w="1336" w:type="dxa"/>
            <w:tcBorders>
              <w:top w:val="nil"/>
              <w:bottom w:val="nil"/>
            </w:tcBorders>
            <w:vAlign w:val="bottom"/>
          </w:tcPr>
          <w:p w:rsidR="001313F0" w:rsidRPr="007B12F4" w:rsidRDefault="00764E08"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33.65</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8</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M</w:t>
            </w:r>
          </w:p>
        </w:tc>
        <w:tc>
          <w:tcPr>
            <w:tcW w:w="1788" w:type="dxa"/>
            <w:tcBorders>
              <w:top w:val="nil"/>
              <w:bottom w:val="nil"/>
            </w:tcBorders>
            <w:shd w:val="clear" w:color="auto" w:fill="auto"/>
            <w:noWrap/>
            <w:vAlign w:val="bottom"/>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I2 splice/I172N</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2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3652</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3960</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292</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CVS</w:t>
            </w:r>
          </w:p>
        </w:tc>
        <w:tc>
          <w:tcPr>
            <w:tcW w:w="1336" w:type="dxa"/>
            <w:tcBorders>
              <w:top w:val="nil"/>
              <w:bottom w:val="nil"/>
            </w:tcBorders>
            <w:vAlign w:val="bottom"/>
          </w:tcPr>
          <w:p w:rsidR="001313F0" w:rsidRPr="007B12F4" w:rsidRDefault="00764E08"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112</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9</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color w:val="000000"/>
                <w:sz w:val="16"/>
                <w:szCs w:val="16"/>
                <w:lang w:val="es-ES_tradnl"/>
              </w:rPr>
              <w:t>F</w:t>
            </w:r>
          </w:p>
        </w:tc>
        <w:tc>
          <w:tcPr>
            <w:tcW w:w="1788" w:type="dxa"/>
            <w:tcBorders>
              <w:top w:val="nil"/>
              <w:bottom w:val="nil"/>
            </w:tcBorders>
            <w:shd w:val="clear" w:color="auto" w:fill="auto"/>
            <w:noWrap/>
            <w:vAlign w:val="bottom"/>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I172N/F306+nt</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Virilização</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5350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CVS</w:t>
            </w:r>
          </w:p>
        </w:tc>
        <w:tc>
          <w:tcPr>
            <w:tcW w:w="1336" w:type="dxa"/>
            <w:tcBorders>
              <w:top w:val="nil"/>
              <w:bottom w:val="nil"/>
            </w:tcBorders>
            <w:vAlign w:val="bottom"/>
          </w:tcPr>
          <w:p w:rsidR="001313F0" w:rsidRPr="007B12F4" w:rsidRDefault="00764E08"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28</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10</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color w:val="000000"/>
                <w:sz w:val="16"/>
                <w:szCs w:val="16"/>
                <w:lang w:val="es-ES_tradnl"/>
              </w:rPr>
            </w:pPr>
            <w:r w:rsidRPr="001831B9">
              <w:rPr>
                <w:rFonts w:ascii="Arial" w:eastAsia="Times New Roman" w:hAnsi="Arial" w:cs="Arial"/>
                <w:sz w:val="16"/>
                <w:szCs w:val="16"/>
                <w:lang w:val="es-ES_tradnl"/>
              </w:rPr>
              <w:t>M</w:t>
            </w:r>
          </w:p>
        </w:tc>
        <w:tc>
          <w:tcPr>
            <w:tcW w:w="1788" w:type="dxa"/>
            <w:tcBorders>
              <w:top w:val="nil"/>
              <w:bottom w:val="nil"/>
            </w:tcBorders>
            <w:shd w:val="clear" w:color="auto" w:fill="auto"/>
            <w:noWrap/>
            <w:vAlign w:val="bottom"/>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Q318X/-</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4230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CVS</w:t>
            </w:r>
          </w:p>
        </w:tc>
        <w:tc>
          <w:tcPr>
            <w:tcW w:w="1336" w:type="dxa"/>
            <w:tcBorders>
              <w:top w:val="nil"/>
              <w:bottom w:val="nil"/>
            </w:tcBorders>
            <w:vAlign w:val="bottom"/>
          </w:tcPr>
          <w:p w:rsidR="001313F0" w:rsidRPr="007B12F4" w:rsidRDefault="00764E08"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11</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M</w:t>
            </w:r>
          </w:p>
        </w:tc>
        <w:tc>
          <w:tcPr>
            <w:tcW w:w="1788" w:type="dxa"/>
            <w:tcBorders>
              <w:top w:val="nil"/>
              <w:bottom w:val="nil"/>
            </w:tcBorders>
            <w:shd w:val="clear" w:color="auto" w:fill="auto"/>
            <w:noWrap/>
            <w:vAlign w:val="bottom"/>
          </w:tcPr>
          <w:p w:rsidR="001313F0" w:rsidRPr="001831B9" w:rsidRDefault="001313F0" w:rsidP="00FE7B17">
            <w:pPr>
              <w:ind w:left="175" w:hanging="175"/>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I172N/V281L</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4550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142</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CVS</w:t>
            </w:r>
          </w:p>
        </w:tc>
        <w:tc>
          <w:tcPr>
            <w:tcW w:w="1336" w:type="dxa"/>
            <w:tcBorders>
              <w:top w:val="nil"/>
              <w:bottom w:val="nil"/>
            </w:tcBorders>
            <w:vAlign w:val="bottom"/>
          </w:tcPr>
          <w:p w:rsidR="001313F0" w:rsidRPr="007B12F4" w:rsidRDefault="00D74B3D"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165</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12</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color w:val="000000"/>
                <w:sz w:val="16"/>
                <w:szCs w:val="16"/>
                <w:lang w:val="es-ES_tradnl"/>
              </w:rPr>
            </w:pPr>
            <w:r w:rsidRPr="001831B9">
              <w:rPr>
                <w:rFonts w:ascii="Arial" w:eastAsia="Times New Roman" w:hAnsi="Arial" w:cs="Arial"/>
                <w:sz w:val="16"/>
                <w:szCs w:val="16"/>
                <w:lang w:val="es-ES_tradnl"/>
              </w:rPr>
              <w:t>M</w:t>
            </w:r>
          </w:p>
        </w:tc>
        <w:tc>
          <w:tcPr>
            <w:tcW w:w="1788" w:type="dxa"/>
            <w:tcBorders>
              <w:top w:val="nil"/>
              <w:bottom w:val="nil"/>
            </w:tcBorders>
            <w:shd w:val="clear" w:color="auto" w:fill="auto"/>
            <w:noWrap/>
            <w:vAlign w:val="bottom"/>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Δ8pb/del</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 + O</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7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9554</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8884</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CVS</w:t>
            </w:r>
          </w:p>
        </w:tc>
        <w:tc>
          <w:tcPr>
            <w:tcW w:w="1336" w:type="dxa"/>
            <w:tcBorders>
              <w:top w:val="nil"/>
              <w:bottom w:val="nil"/>
            </w:tcBorders>
            <w:vAlign w:val="bottom"/>
          </w:tcPr>
          <w:p w:rsidR="001313F0" w:rsidRPr="007B12F4" w:rsidRDefault="00D74B3D"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78"/>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p>
        </w:tc>
        <w:tc>
          <w:tcPr>
            <w:tcW w:w="1788" w:type="dxa"/>
            <w:tcBorders>
              <w:top w:val="nil"/>
              <w:bottom w:val="nil"/>
            </w:tcBorders>
            <w:shd w:val="clear" w:color="auto" w:fill="auto"/>
            <w:noWrap/>
            <w:vAlign w:val="bottom"/>
          </w:tcPr>
          <w:p w:rsidR="001313F0" w:rsidRPr="001831B9" w:rsidRDefault="001313F0" w:rsidP="00FE7B17">
            <w:pPr>
              <w:jc w:val="both"/>
              <w:rPr>
                <w:rFonts w:ascii="Arial" w:eastAsia="Times New Roman" w:hAnsi="Arial" w:cs="Arial"/>
                <w:color w:val="000000"/>
                <w:sz w:val="16"/>
                <w:szCs w:val="16"/>
                <w:lang w:val="es-ES_tradnl"/>
              </w:rPr>
            </w:pP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p>
        </w:tc>
        <w:tc>
          <w:tcPr>
            <w:tcW w:w="1336" w:type="dxa"/>
            <w:tcBorders>
              <w:top w:val="nil"/>
              <w:bottom w:val="nil"/>
            </w:tcBorders>
            <w:vAlign w:val="bottom"/>
          </w:tcPr>
          <w:p w:rsidR="001313F0" w:rsidRPr="007B12F4" w:rsidRDefault="001313F0" w:rsidP="0056419A">
            <w:pPr>
              <w:ind w:left="175"/>
              <w:jc w:val="center"/>
              <w:rPr>
                <w:rFonts w:ascii="Arial" w:eastAsia="Times New Roman" w:hAnsi="Arial" w:cs="Arial"/>
                <w:color w:val="000000"/>
                <w:sz w:val="16"/>
                <w:szCs w:val="16"/>
                <w:highlight w:val="yellow"/>
                <w:lang w:val="es-ES_tradnl"/>
              </w:rPr>
            </w:pP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13</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tcPr>
          <w:p w:rsidR="001313F0" w:rsidRPr="001831B9" w:rsidRDefault="001313F0" w:rsidP="00FE7B17">
            <w:pPr>
              <w:jc w:val="both"/>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V281L/Q318X</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1220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32</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14</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tcPr>
          <w:p w:rsidR="001313F0" w:rsidRPr="001831B9" w:rsidRDefault="001313F0" w:rsidP="00FE7B17">
            <w:pPr>
              <w:jc w:val="both"/>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I172N/V281L</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4140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21</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15</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V281L/V281L</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5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2880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3750</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79</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hideMark/>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16</w:t>
            </w:r>
          </w:p>
        </w:tc>
        <w:tc>
          <w:tcPr>
            <w:tcW w:w="827" w:type="dxa"/>
            <w:tcBorders>
              <w:top w:val="nil"/>
              <w:bottom w:val="nil"/>
            </w:tcBorders>
            <w:shd w:val="clear" w:color="auto" w:fill="auto"/>
            <w:noWrap/>
            <w:vAlign w:val="bottom"/>
            <w:hideMark/>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hideMark/>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V281L/V281L/del</w:t>
            </w:r>
          </w:p>
        </w:tc>
        <w:tc>
          <w:tcPr>
            <w:tcW w:w="2620" w:type="dxa"/>
            <w:tcBorders>
              <w:top w:val="nil"/>
              <w:bottom w:val="nil"/>
            </w:tcBorders>
            <w:shd w:val="clear" w:color="auto" w:fill="auto"/>
            <w:noWrap/>
            <w:vAlign w:val="bottom"/>
            <w:hideMark/>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w:t>
            </w:r>
          </w:p>
        </w:tc>
        <w:tc>
          <w:tcPr>
            <w:tcW w:w="1241"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5 A</w:t>
            </w:r>
          </w:p>
        </w:tc>
        <w:tc>
          <w:tcPr>
            <w:tcW w:w="1376"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3120</w:t>
            </w:r>
          </w:p>
        </w:tc>
        <w:tc>
          <w:tcPr>
            <w:tcW w:w="1650"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hideMark/>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78</w:t>
            </w:r>
          </w:p>
        </w:tc>
        <w:tc>
          <w:tcPr>
            <w:tcW w:w="1189" w:type="dxa"/>
            <w:tcBorders>
              <w:top w:val="nil"/>
              <w:bottom w:val="nil"/>
            </w:tcBorders>
            <w:shd w:val="clear" w:color="auto" w:fill="auto"/>
            <w:noWrap/>
            <w:vAlign w:val="bottom"/>
            <w:hideMark/>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hideMark/>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17</w:t>
            </w:r>
          </w:p>
        </w:tc>
        <w:tc>
          <w:tcPr>
            <w:tcW w:w="827" w:type="dxa"/>
            <w:tcBorders>
              <w:top w:val="nil"/>
              <w:bottom w:val="nil"/>
            </w:tcBorders>
            <w:shd w:val="clear" w:color="auto" w:fill="auto"/>
            <w:noWrap/>
            <w:vAlign w:val="bottom"/>
            <w:hideMark/>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color w:val="000000"/>
                <w:sz w:val="16"/>
                <w:szCs w:val="16"/>
                <w:lang w:val="es-ES_tradnl"/>
              </w:rPr>
              <w:t>F</w:t>
            </w:r>
          </w:p>
        </w:tc>
        <w:tc>
          <w:tcPr>
            <w:tcW w:w="1788" w:type="dxa"/>
            <w:tcBorders>
              <w:top w:val="nil"/>
              <w:bottom w:val="nil"/>
            </w:tcBorders>
            <w:shd w:val="clear" w:color="auto" w:fill="auto"/>
            <w:noWrap/>
            <w:vAlign w:val="bottom"/>
            <w:hideMark/>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V281L/V281L</w:t>
            </w:r>
          </w:p>
        </w:tc>
        <w:tc>
          <w:tcPr>
            <w:tcW w:w="2620" w:type="dxa"/>
            <w:tcBorders>
              <w:top w:val="nil"/>
              <w:bottom w:val="nil"/>
            </w:tcBorders>
            <w:shd w:val="clear" w:color="auto" w:fill="auto"/>
            <w:noWrap/>
            <w:vAlign w:val="bottom"/>
            <w:hideMark/>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 + O</w:t>
            </w:r>
          </w:p>
        </w:tc>
        <w:tc>
          <w:tcPr>
            <w:tcW w:w="1241"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5 A</w:t>
            </w:r>
          </w:p>
        </w:tc>
        <w:tc>
          <w:tcPr>
            <w:tcW w:w="1376"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830</w:t>
            </w:r>
          </w:p>
        </w:tc>
        <w:tc>
          <w:tcPr>
            <w:tcW w:w="1650"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hideMark/>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22</w:t>
            </w:r>
          </w:p>
        </w:tc>
        <w:tc>
          <w:tcPr>
            <w:tcW w:w="1189" w:type="dxa"/>
            <w:tcBorders>
              <w:top w:val="nil"/>
              <w:bottom w:val="nil"/>
            </w:tcBorders>
            <w:shd w:val="clear" w:color="auto" w:fill="auto"/>
            <w:noWrap/>
            <w:vAlign w:val="bottom"/>
            <w:hideMark/>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hideMark/>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18</w:t>
            </w:r>
          </w:p>
        </w:tc>
        <w:tc>
          <w:tcPr>
            <w:tcW w:w="827" w:type="dxa"/>
            <w:tcBorders>
              <w:top w:val="nil"/>
              <w:bottom w:val="nil"/>
            </w:tcBorders>
            <w:shd w:val="clear" w:color="auto" w:fill="auto"/>
            <w:noWrap/>
            <w:vAlign w:val="bottom"/>
            <w:hideMark/>
          </w:tcPr>
          <w:p w:rsidR="001313F0" w:rsidRPr="001831B9" w:rsidRDefault="001313F0" w:rsidP="00FE7B17">
            <w:pPr>
              <w:ind w:left="250"/>
              <w:rPr>
                <w:rFonts w:ascii="Arial" w:eastAsia="Times New Roman" w:hAnsi="Arial" w:cs="Arial"/>
                <w:color w:val="000000"/>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hideMark/>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V281L/V281L</w:t>
            </w:r>
          </w:p>
        </w:tc>
        <w:tc>
          <w:tcPr>
            <w:tcW w:w="2620" w:type="dxa"/>
            <w:tcBorders>
              <w:top w:val="nil"/>
              <w:bottom w:val="nil"/>
            </w:tcBorders>
            <w:shd w:val="clear" w:color="auto" w:fill="auto"/>
            <w:noWrap/>
            <w:vAlign w:val="bottom"/>
            <w:hideMark/>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w:t>
            </w:r>
          </w:p>
        </w:tc>
        <w:tc>
          <w:tcPr>
            <w:tcW w:w="1241"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7 A</w:t>
            </w:r>
          </w:p>
        </w:tc>
        <w:tc>
          <w:tcPr>
            <w:tcW w:w="1376"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1700</w:t>
            </w:r>
          </w:p>
        </w:tc>
        <w:tc>
          <w:tcPr>
            <w:tcW w:w="1650"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3150</w:t>
            </w:r>
          </w:p>
        </w:tc>
        <w:tc>
          <w:tcPr>
            <w:tcW w:w="962" w:type="dxa"/>
            <w:tcBorders>
              <w:top w:val="nil"/>
              <w:bottom w:val="nil"/>
            </w:tcBorders>
            <w:shd w:val="clear" w:color="auto" w:fill="auto"/>
            <w:noWrap/>
            <w:vAlign w:val="bottom"/>
            <w:hideMark/>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77</w:t>
            </w:r>
          </w:p>
        </w:tc>
        <w:tc>
          <w:tcPr>
            <w:tcW w:w="1189" w:type="dxa"/>
            <w:tcBorders>
              <w:top w:val="nil"/>
              <w:bottom w:val="nil"/>
            </w:tcBorders>
            <w:shd w:val="clear" w:color="auto" w:fill="auto"/>
            <w:noWrap/>
            <w:vAlign w:val="bottom"/>
            <w:hideMark/>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hideMark/>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19</w:t>
            </w:r>
          </w:p>
        </w:tc>
        <w:tc>
          <w:tcPr>
            <w:tcW w:w="827" w:type="dxa"/>
            <w:tcBorders>
              <w:top w:val="nil"/>
              <w:bottom w:val="nil"/>
            </w:tcBorders>
            <w:shd w:val="clear" w:color="auto" w:fill="auto"/>
            <w:noWrap/>
            <w:vAlign w:val="bottom"/>
            <w:hideMark/>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hideMark/>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I172N/V281L</w:t>
            </w:r>
          </w:p>
        </w:tc>
        <w:tc>
          <w:tcPr>
            <w:tcW w:w="2620" w:type="dxa"/>
            <w:tcBorders>
              <w:top w:val="nil"/>
              <w:bottom w:val="nil"/>
            </w:tcBorders>
            <w:shd w:val="clear" w:color="auto" w:fill="auto"/>
            <w:noWrap/>
            <w:vAlign w:val="bottom"/>
            <w:hideMark/>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 + O</w:t>
            </w:r>
          </w:p>
        </w:tc>
        <w:tc>
          <w:tcPr>
            <w:tcW w:w="1241"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7 A</w:t>
            </w:r>
          </w:p>
        </w:tc>
        <w:tc>
          <w:tcPr>
            <w:tcW w:w="1376"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4170</w:t>
            </w:r>
          </w:p>
        </w:tc>
        <w:tc>
          <w:tcPr>
            <w:tcW w:w="1650" w:type="dxa"/>
            <w:tcBorders>
              <w:top w:val="nil"/>
              <w:bottom w:val="nil"/>
            </w:tcBorders>
            <w:shd w:val="clear" w:color="auto" w:fill="auto"/>
            <w:noWrap/>
            <w:vAlign w:val="bottom"/>
            <w:hideMark/>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hideMark/>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50</w:t>
            </w:r>
          </w:p>
        </w:tc>
        <w:tc>
          <w:tcPr>
            <w:tcW w:w="1189" w:type="dxa"/>
            <w:tcBorders>
              <w:top w:val="nil"/>
              <w:bottom w:val="nil"/>
            </w:tcBorders>
            <w:shd w:val="clear" w:color="auto" w:fill="auto"/>
            <w:noWrap/>
            <w:vAlign w:val="bottom"/>
            <w:hideMark/>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F71C8C" w:rsidTr="001313F0">
        <w:trPr>
          <w:trHeight w:val="277"/>
          <w:jc w:val="center"/>
        </w:trPr>
        <w:tc>
          <w:tcPr>
            <w:tcW w:w="689" w:type="dxa"/>
            <w:tcBorders>
              <w:top w:val="nil"/>
              <w:bottom w:val="nil"/>
            </w:tcBorders>
            <w:shd w:val="clear" w:color="auto" w:fill="auto"/>
            <w:noWrap/>
            <w:vAlign w:val="bottom"/>
          </w:tcPr>
          <w:p w:rsidR="001313F0" w:rsidRPr="001831B9" w:rsidRDefault="001313F0" w:rsidP="00FE7B17">
            <w:pPr>
              <w:ind w:left="34"/>
              <w:jc w:val="cente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20</w:t>
            </w:r>
          </w:p>
        </w:tc>
        <w:tc>
          <w:tcPr>
            <w:tcW w:w="827" w:type="dxa"/>
            <w:tcBorders>
              <w:top w:val="nil"/>
              <w:bottom w:val="nil"/>
            </w:tcBorders>
            <w:shd w:val="clear" w:color="auto" w:fill="auto"/>
            <w:noWrap/>
            <w:vAlign w:val="bottom"/>
          </w:tcPr>
          <w:p w:rsidR="001313F0" w:rsidRPr="001831B9" w:rsidRDefault="001313F0" w:rsidP="00FE7B17">
            <w:pPr>
              <w:ind w:left="250"/>
              <w:rPr>
                <w:rFonts w:ascii="Arial" w:eastAsia="Times New Roman" w:hAnsi="Arial" w:cs="Arial"/>
                <w:sz w:val="16"/>
                <w:szCs w:val="16"/>
                <w:lang w:val="es-ES_tradnl"/>
              </w:rPr>
            </w:pPr>
            <w:r w:rsidRPr="001831B9">
              <w:rPr>
                <w:rFonts w:ascii="Arial" w:eastAsia="Times New Roman" w:hAnsi="Arial" w:cs="Arial"/>
                <w:sz w:val="16"/>
                <w:szCs w:val="16"/>
                <w:lang w:val="es-ES_tradnl"/>
              </w:rPr>
              <w:t>F</w:t>
            </w:r>
          </w:p>
        </w:tc>
        <w:tc>
          <w:tcPr>
            <w:tcW w:w="1788" w:type="dxa"/>
            <w:tcBorders>
              <w:top w:val="nil"/>
              <w:bottom w:val="nil"/>
            </w:tcBorders>
            <w:shd w:val="clear" w:color="auto" w:fill="auto"/>
            <w:noWrap/>
            <w:vAlign w:val="bottom"/>
          </w:tcPr>
          <w:p w:rsidR="001313F0" w:rsidRPr="001831B9" w:rsidRDefault="001313F0" w:rsidP="00FE7B17">
            <w:pPr>
              <w:rPr>
                <w:rFonts w:ascii="Arial" w:eastAsia="Times New Roman" w:hAnsi="Arial" w:cs="Arial"/>
                <w:color w:val="000000"/>
                <w:sz w:val="16"/>
                <w:szCs w:val="16"/>
                <w:lang w:val="es-ES_tradnl"/>
              </w:rPr>
            </w:pPr>
            <w:r w:rsidRPr="001831B9">
              <w:rPr>
                <w:rFonts w:ascii="Arial" w:eastAsia="Times New Roman" w:hAnsi="Arial" w:cs="Arial"/>
                <w:color w:val="000000"/>
                <w:sz w:val="16"/>
                <w:szCs w:val="16"/>
                <w:lang w:val="es-ES_tradnl"/>
              </w:rPr>
              <w:t>V281L/-</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O</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7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500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1600</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bottom w:val="nil"/>
            </w:tcBorders>
            <w:shd w:val="clear" w:color="auto" w:fill="auto"/>
            <w:noWrap/>
            <w:vAlign w:val="bottom"/>
          </w:tcPr>
          <w:p w:rsidR="001313F0" w:rsidRPr="00135264" w:rsidRDefault="001313F0" w:rsidP="00FE7B17">
            <w:pPr>
              <w:ind w:left="34"/>
              <w:jc w:val="center"/>
              <w:rPr>
                <w:rFonts w:ascii="Arial" w:eastAsia="Times New Roman" w:hAnsi="Arial" w:cs="Arial"/>
                <w:color w:val="000000"/>
                <w:sz w:val="16"/>
                <w:szCs w:val="16"/>
                <w:lang w:val="es-ES_tradnl"/>
              </w:rPr>
            </w:pPr>
            <w:r w:rsidRPr="00135264">
              <w:rPr>
                <w:rFonts w:ascii="Arial" w:eastAsia="Times New Roman" w:hAnsi="Arial" w:cs="Arial"/>
                <w:color w:val="000000"/>
                <w:sz w:val="16"/>
                <w:szCs w:val="16"/>
                <w:lang w:val="es-ES_tradnl"/>
              </w:rPr>
              <w:t>21</w:t>
            </w:r>
          </w:p>
        </w:tc>
        <w:tc>
          <w:tcPr>
            <w:tcW w:w="827" w:type="dxa"/>
            <w:tcBorders>
              <w:top w:val="nil"/>
              <w:bottom w:val="nil"/>
            </w:tcBorders>
            <w:shd w:val="clear" w:color="auto" w:fill="auto"/>
            <w:noWrap/>
            <w:vAlign w:val="bottom"/>
          </w:tcPr>
          <w:p w:rsidR="001313F0" w:rsidRPr="0056419A" w:rsidRDefault="001313F0" w:rsidP="00FE7B17">
            <w:pPr>
              <w:ind w:left="250"/>
              <w:rPr>
                <w:rFonts w:ascii="Arial" w:eastAsia="Times New Roman" w:hAnsi="Arial" w:cs="Arial"/>
                <w:sz w:val="16"/>
                <w:szCs w:val="16"/>
                <w:lang w:val="es-ES_tradnl"/>
              </w:rPr>
            </w:pPr>
            <w:r w:rsidRPr="0056419A">
              <w:rPr>
                <w:rFonts w:ascii="Arial" w:eastAsia="Times New Roman" w:hAnsi="Arial" w:cs="Arial"/>
                <w:sz w:val="16"/>
                <w:szCs w:val="16"/>
                <w:lang w:val="es-ES_tradnl"/>
              </w:rPr>
              <w:t>M</w:t>
            </w:r>
          </w:p>
        </w:tc>
        <w:tc>
          <w:tcPr>
            <w:tcW w:w="1788" w:type="dxa"/>
            <w:tcBorders>
              <w:top w:val="nil"/>
              <w:bottom w:val="nil"/>
            </w:tcBorders>
            <w:shd w:val="clear" w:color="auto" w:fill="auto"/>
            <w:noWrap/>
            <w:vAlign w:val="bottom"/>
          </w:tcPr>
          <w:p w:rsidR="001313F0" w:rsidRPr="0056419A" w:rsidRDefault="001313F0" w:rsidP="00FE7B17">
            <w:pP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V281L/V281L</w:t>
            </w:r>
          </w:p>
        </w:tc>
        <w:tc>
          <w:tcPr>
            <w:tcW w:w="2620" w:type="dxa"/>
            <w:tcBorders>
              <w:top w:val="nil"/>
              <w:bottom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Puberdade precoce + AC</w:t>
            </w:r>
          </w:p>
        </w:tc>
        <w:tc>
          <w:tcPr>
            <w:tcW w:w="1241"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8 A</w:t>
            </w:r>
          </w:p>
        </w:tc>
        <w:tc>
          <w:tcPr>
            <w:tcW w:w="1376"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4730</w:t>
            </w:r>
          </w:p>
        </w:tc>
        <w:tc>
          <w:tcPr>
            <w:tcW w:w="1650" w:type="dxa"/>
            <w:tcBorders>
              <w:top w:val="nil"/>
              <w:bottom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w:t>
            </w:r>
          </w:p>
        </w:tc>
        <w:tc>
          <w:tcPr>
            <w:tcW w:w="962" w:type="dxa"/>
            <w:tcBorders>
              <w:top w:val="nil"/>
              <w:bottom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30.3</w:t>
            </w:r>
          </w:p>
        </w:tc>
        <w:tc>
          <w:tcPr>
            <w:tcW w:w="1189" w:type="dxa"/>
            <w:tcBorders>
              <w:top w:val="nil"/>
              <w:bottom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NC</w:t>
            </w:r>
          </w:p>
        </w:tc>
        <w:tc>
          <w:tcPr>
            <w:tcW w:w="1336" w:type="dxa"/>
            <w:tcBorders>
              <w:top w:val="nil"/>
              <w:bottom w:val="nil"/>
            </w:tcBorders>
            <w:vAlign w:val="bottom"/>
          </w:tcPr>
          <w:p w:rsidR="001313F0" w:rsidRPr="007B12F4" w:rsidRDefault="0056419A" w:rsidP="0056419A">
            <w:pPr>
              <w:ind w:left="175"/>
              <w:jc w:val="center"/>
              <w:rPr>
                <w:rFonts w:ascii="Arial" w:eastAsia="Times New Roman" w:hAnsi="Arial" w:cs="Arial"/>
                <w:color w:val="000000"/>
                <w:sz w:val="16"/>
                <w:szCs w:val="16"/>
                <w:highlight w:val="yellow"/>
                <w:lang w:val="es-ES_tradnl"/>
              </w:rPr>
            </w:pPr>
            <w:r w:rsidRPr="007B12F4">
              <w:rPr>
                <w:rFonts w:ascii="Arial" w:eastAsia="Times New Roman" w:hAnsi="Arial" w:cs="Arial"/>
                <w:color w:val="000000"/>
                <w:sz w:val="16"/>
                <w:szCs w:val="16"/>
                <w:highlight w:val="yellow"/>
                <w:lang w:val="es-ES_tradnl"/>
              </w:rPr>
              <w:t>-</w:t>
            </w:r>
          </w:p>
        </w:tc>
      </w:tr>
      <w:tr w:rsidR="001313F0" w:rsidRPr="00135264" w:rsidTr="001313F0">
        <w:trPr>
          <w:trHeight w:val="277"/>
          <w:jc w:val="center"/>
        </w:trPr>
        <w:tc>
          <w:tcPr>
            <w:tcW w:w="689" w:type="dxa"/>
            <w:tcBorders>
              <w:top w:val="nil"/>
            </w:tcBorders>
            <w:shd w:val="clear" w:color="auto" w:fill="auto"/>
            <w:noWrap/>
            <w:vAlign w:val="bottom"/>
          </w:tcPr>
          <w:p w:rsidR="001313F0" w:rsidRPr="00135264" w:rsidRDefault="001313F0" w:rsidP="00FE7B17">
            <w:pPr>
              <w:ind w:left="34"/>
              <w:jc w:val="center"/>
              <w:rPr>
                <w:rFonts w:ascii="Arial" w:eastAsia="Times New Roman" w:hAnsi="Arial" w:cs="Arial"/>
                <w:color w:val="000000"/>
                <w:sz w:val="16"/>
                <w:szCs w:val="16"/>
                <w:lang w:val="es-ES_tradnl"/>
              </w:rPr>
            </w:pPr>
            <w:r w:rsidRPr="00B43D9E">
              <w:rPr>
                <w:rFonts w:ascii="Arial" w:eastAsia="Times New Roman" w:hAnsi="Arial" w:cs="Times New Roman"/>
                <w:color w:val="000000"/>
                <w:sz w:val="17"/>
                <w:szCs w:val="17"/>
                <w:lang w:val="es-ES_tradnl"/>
              </w:rPr>
              <w:t>22</w:t>
            </w:r>
          </w:p>
        </w:tc>
        <w:tc>
          <w:tcPr>
            <w:tcW w:w="827" w:type="dxa"/>
            <w:tcBorders>
              <w:top w:val="nil"/>
            </w:tcBorders>
            <w:shd w:val="clear" w:color="auto" w:fill="auto"/>
            <w:noWrap/>
            <w:vAlign w:val="bottom"/>
          </w:tcPr>
          <w:p w:rsidR="001313F0" w:rsidRPr="0056419A" w:rsidRDefault="001313F0" w:rsidP="00FE7B17">
            <w:pPr>
              <w:ind w:left="250"/>
              <w:rPr>
                <w:rFonts w:ascii="Arial" w:eastAsia="Times New Roman" w:hAnsi="Arial" w:cs="Arial"/>
                <w:sz w:val="16"/>
                <w:szCs w:val="16"/>
                <w:lang w:val="es-ES_tradnl"/>
              </w:rPr>
            </w:pPr>
            <w:r w:rsidRPr="0056419A">
              <w:rPr>
                <w:rFonts w:ascii="Arial" w:eastAsia="Times New Roman" w:hAnsi="Arial" w:cs="Times New Roman"/>
                <w:sz w:val="17"/>
                <w:szCs w:val="17"/>
                <w:lang w:val="es-ES_tradnl"/>
              </w:rPr>
              <w:t>F</w:t>
            </w:r>
          </w:p>
        </w:tc>
        <w:tc>
          <w:tcPr>
            <w:tcW w:w="1788" w:type="dxa"/>
            <w:tcBorders>
              <w:top w:val="nil"/>
            </w:tcBorders>
            <w:shd w:val="clear" w:color="auto" w:fill="auto"/>
            <w:noWrap/>
            <w:vAlign w:val="bottom"/>
          </w:tcPr>
          <w:p w:rsidR="001313F0" w:rsidRPr="0056419A" w:rsidRDefault="001313F0" w:rsidP="00FE7B17">
            <w:pPr>
              <w:rPr>
                <w:rFonts w:ascii="Arial" w:eastAsia="Times New Roman" w:hAnsi="Arial" w:cs="Arial"/>
                <w:color w:val="000000"/>
                <w:sz w:val="16"/>
                <w:szCs w:val="16"/>
                <w:lang w:val="es-ES_tradnl"/>
              </w:rPr>
            </w:pPr>
            <w:r w:rsidRPr="0056419A">
              <w:rPr>
                <w:rFonts w:ascii="Arial" w:eastAsia="Times New Roman" w:hAnsi="Arial" w:cs="Times New Roman"/>
                <w:color w:val="000000"/>
                <w:sz w:val="17"/>
                <w:szCs w:val="17"/>
                <w:lang w:val="es-ES_tradnl"/>
              </w:rPr>
              <w:t>V281L/V281L</w:t>
            </w:r>
          </w:p>
        </w:tc>
        <w:tc>
          <w:tcPr>
            <w:tcW w:w="2620" w:type="dxa"/>
            <w:tcBorders>
              <w:top w:val="nil"/>
            </w:tcBorders>
            <w:shd w:val="clear" w:color="auto" w:fill="auto"/>
            <w:noWrap/>
            <w:vAlign w:val="bottom"/>
          </w:tcPr>
          <w:p w:rsidR="001313F0" w:rsidRPr="0056419A" w:rsidRDefault="001313F0" w:rsidP="00FE7B17">
            <w:pPr>
              <w:ind w:left="250" w:hanging="217"/>
              <w:rPr>
                <w:rFonts w:ascii="Arial" w:eastAsia="Times New Roman" w:hAnsi="Arial" w:cs="Arial"/>
                <w:color w:val="000000"/>
                <w:sz w:val="16"/>
                <w:szCs w:val="16"/>
                <w:lang w:val="es-ES_tradnl"/>
              </w:rPr>
            </w:pPr>
            <w:r w:rsidRPr="0056419A">
              <w:rPr>
                <w:rFonts w:ascii="Arial" w:eastAsia="Times New Roman" w:hAnsi="Arial" w:cs="Arial"/>
                <w:color w:val="000000"/>
                <w:sz w:val="16"/>
                <w:szCs w:val="16"/>
                <w:lang w:val="es-ES_tradnl"/>
              </w:rPr>
              <w:t xml:space="preserve">Puberdade precoce </w:t>
            </w:r>
            <w:r w:rsidRPr="0056419A">
              <w:rPr>
                <w:rFonts w:ascii="Arial" w:eastAsia="Times New Roman" w:hAnsi="Arial" w:cs="Times New Roman"/>
                <w:color w:val="000000"/>
                <w:sz w:val="17"/>
                <w:szCs w:val="17"/>
                <w:lang w:val="es-ES_tradnl"/>
              </w:rPr>
              <w:t>+ O</w:t>
            </w:r>
          </w:p>
        </w:tc>
        <w:tc>
          <w:tcPr>
            <w:tcW w:w="1241" w:type="dxa"/>
            <w:tcBorders>
              <w:top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Times New Roman"/>
                <w:color w:val="000000"/>
                <w:sz w:val="17"/>
                <w:szCs w:val="17"/>
                <w:lang w:val="es-ES_tradnl"/>
              </w:rPr>
              <w:t>5 A</w:t>
            </w:r>
          </w:p>
        </w:tc>
        <w:tc>
          <w:tcPr>
            <w:tcW w:w="1376" w:type="dxa"/>
            <w:tcBorders>
              <w:top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Times New Roman"/>
                <w:color w:val="000000"/>
                <w:sz w:val="17"/>
                <w:szCs w:val="17"/>
                <w:lang w:val="es-ES_tradnl"/>
              </w:rPr>
              <w:t>1270</w:t>
            </w:r>
          </w:p>
        </w:tc>
        <w:tc>
          <w:tcPr>
            <w:tcW w:w="1650" w:type="dxa"/>
            <w:tcBorders>
              <w:top w:val="nil"/>
            </w:tcBorders>
            <w:shd w:val="clear" w:color="auto" w:fill="auto"/>
            <w:noWrap/>
            <w:vAlign w:val="bottom"/>
          </w:tcPr>
          <w:p w:rsidR="001313F0" w:rsidRPr="0056419A" w:rsidRDefault="001313F0" w:rsidP="00FE7B17">
            <w:pPr>
              <w:ind w:left="250"/>
              <w:jc w:val="center"/>
              <w:rPr>
                <w:rFonts w:ascii="Arial" w:eastAsia="Times New Roman" w:hAnsi="Arial" w:cs="Arial"/>
                <w:color w:val="000000"/>
                <w:sz w:val="16"/>
                <w:szCs w:val="16"/>
                <w:lang w:val="es-ES_tradnl"/>
              </w:rPr>
            </w:pPr>
            <w:r w:rsidRPr="0056419A">
              <w:rPr>
                <w:rFonts w:ascii="Arial" w:eastAsia="Times New Roman" w:hAnsi="Arial" w:cs="Times New Roman"/>
                <w:color w:val="000000"/>
                <w:sz w:val="17"/>
                <w:szCs w:val="17"/>
                <w:lang w:val="es-ES_tradnl"/>
              </w:rPr>
              <w:t>3901</w:t>
            </w:r>
          </w:p>
        </w:tc>
        <w:tc>
          <w:tcPr>
            <w:tcW w:w="962" w:type="dxa"/>
            <w:tcBorders>
              <w:top w:val="nil"/>
            </w:tcBorders>
            <w:shd w:val="clear" w:color="auto" w:fill="auto"/>
            <w:noWrap/>
            <w:vAlign w:val="bottom"/>
          </w:tcPr>
          <w:p w:rsidR="001313F0" w:rsidRPr="0056419A" w:rsidRDefault="001313F0" w:rsidP="00FE7B17">
            <w:pPr>
              <w:ind w:left="35"/>
              <w:jc w:val="center"/>
              <w:rPr>
                <w:rFonts w:ascii="Arial" w:eastAsia="Times New Roman" w:hAnsi="Arial" w:cs="Arial"/>
                <w:color w:val="000000"/>
                <w:sz w:val="16"/>
                <w:szCs w:val="16"/>
                <w:lang w:val="es-ES_tradnl"/>
              </w:rPr>
            </w:pPr>
            <w:r w:rsidRPr="0056419A">
              <w:rPr>
                <w:rFonts w:ascii="Arial" w:eastAsia="Times New Roman" w:hAnsi="Arial" w:cs="Times New Roman"/>
                <w:color w:val="000000"/>
                <w:sz w:val="17"/>
                <w:szCs w:val="17"/>
                <w:lang w:val="es-ES_tradnl"/>
              </w:rPr>
              <w:t>4.0</w:t>
            </w:r>
          </w:p>
        </w:tc>
        <w:tc>
          <w:tcPr>
            <w:tcW w:w="1189" w:type="dxa"/>
            <w:tcBorders>
              <w:top w:val="nil"/>
            </w:tcBorders>
            <w:shd w:val="clear" w:color="auto" w:fill="auto"/>
            <w:noWrap/>
            <w:vAlign w:val="bottom"/>
          </w:tcPr>
          <w:p w:rsidR="001313F0" w:rsidRPr="0056419A" w:rsidRDefault="001313F0" w:rsidP="00FE7B17">
            <w:pPr>
              <w:ind w:left="175"/>
              <w:jc w:val="center"/>
              <w:rPr>
                <w:rFonts w:ascii="Arial" w:eastAsia="Times New Roman" w:hAnsi="Arial" w:cs="Arial"/>
                <w:color w:val="000000"/>
                <w:sz w:val="16"/>
                <w:szCs w:val="16"/>
                <w:lang w:val="es-ES_tradnl"/>
              </w:rPr>
            </w:pPr>
            <w:r w:rsidRPr="0056419A">
              <w:rPr>
                <w:rFonts w:ascii="Arial" w:eastAsia="Times New Roman" w:hAnsi="Arial" w:cs="Times New Roman"/>
                <w:color w:val="000000"/>
                <w:sz w:val="17"/>
                <w:szCs w:val="17"/>
                <w:lang w:val="es-ES_tradnl"/>
              </w:rPr>
              <w:t>NC</w:t>
            </w:r>
          </w:p>
        </w:tc>
        <w:tc>
          <w:tcPr>
            <w:tcW w:w="1336" w:type="dxa"/>
            <w:tcBorders>
              <w:top w:val="nil"/>
            </w:tcBorders>
            <w:vAlign w:val="bottom"/>
          </w:tcPr>
          <w:p w:rsidR="001313F0" w:rsidRPr="007B12F4" w:rsidRDefault="0056419A" w:rsidP="0056419A">
            <w:pPr>
              <w:ind w:left="175"/>
              <w:jc w:val="center"/>
              <w:rPr>
                <w:rFonts w:ascii="Arial" w:eastAsia="Times New Roman" w:hAnsi="Arial" w:cs="Times New Roman"/>
                <w:color w:val="000000"/>
                <w:sz w:val="17"/>
                <w:szCs w:val="17"/>
                <w:highlight w:val="yellow"/>
                <w:lang w:val="es-ES_tradnl"/>
              </w:rPr>
            </w:pPr>
            <w:r w:rsidRPr="007B12F4">
              <w:rPr>
                <w:rFonts w:ascii="Arial" w:eastAsia="Times New Roman" w:hAnsi="Arial" w:cs="Times New Roman"/>
                <w:color w:val="000000"/>
                <w:sz w:val="17"/>
                <w:szCs w:val="17"/>
                <w:highlight w:val="yellow"/>
                <w:lang w:val="es-ES_tradnl"/>
              </w:rPr>
              <w:t>-</w:t>
            </w:r>
          </w:p>
        </w:tc>
      </w:tr>
    </w:tbl>
    <w:p w:rsidR="00A46ED3" w:rsidRPr="00765F11" w:rsidRDefault="00765F11" w:rsidP="008E3164">
      <w:pPr>
        <w:ind w:left="142"/>
        <w:jc w:val="both"/>
        <w:rPr>
          <w:lang w:val="es-ES_tradnl"/>
        </w:rPr>
      </w:pPr>
      <w:r w:rsidRPr="0089669A">
        <w:rPr>
          <w:rFonts w:ascii="Arial" w:hAnsi="Arial" w:cs="Arial"/>
          <w:sz w:val="18"/>
          <w:lang w:val="es-ES_tradnl"/>
        </w:rPr>
        <w:t>AC - aceleração do</w:t>
      </w:r>
      <w:r w:rsidR="00F01690" w:rsidRPr="0089669A">
        <w:rPr>
          <w:rFonts w:ascii="Arial" w:hAnsi="Arial" w:cs="Arial"/>
          <w:sz w:val="18"/>
          <w:lang w:val="es-ES_tradnl"/>
        </w:rPr>
        <w:t xml:space="preserve"> cre</w:t>
      </w:r>
      <w:r w:rsidRPr="0089669A">
        <w:rPr>
          <w:rFonts w:ascii="Arial" w:hAnsi="Arial" w:cs="Arial"/>
          <w:sz w:val="18"/>
          <w:lang w:val="es-ES_tradnl"/>
        </w:rPr>
        <w:t>scimento. O - od</w:t>
      </w:r>
      <w:r w:rsidR="00F01690" w:rsidRPr="0089669A">
        <w:rPr>
          <w:rFonts w:ascii="Arial" w:hAnsi="Arial" w:cs="Arial"/>
          <w:sz w:val="18"/>
          <w:lang w:val="es-ES_tradnl"/>
        </w:rPr>
        <w:t xml:space="preserve">or corporal </w:t>
      </w:r>
      <w:r w:rsidRPr="0089669A">
        <w:rPr>
          <w:rFonts w:ascii="Arial" w:hAnsi="Arial" w:cs="Arial"/>
          <w:sz w:val="18"/>
          <w:lang w:val="es-ES_tradnl"/>
        </w:rPr>
        <w:t xml:space="preserve">do </w:t>
      </w:r>
      <w:r w:rsidR="00F01690" w:rsidRPr="0089669A">
        <w:rPr>
          <w:rFonts w:ascii="Arial" w:hAnsi="Arial" w:cs="Arial"/>
          <w:sz w:val="18"/>
          <w:lang w:val="es-ES_tradnl"/>
        </w:rPr>
        <w:t>adulto. CPS - forma clás</w:t>
      </w:r>
      <w:r w:rsidRPr="0089669A">
        <w:rPr>
          <w:rFonts w:ascii="Arial" w:hAnsi="Arial" w:cs="Arial"/>
          <w:sz w:val="18"/>
          <w:lang w:val="es-ES_tradnl"/>
        </w:rPr>
        <w:t>s</w:t>
      </w:r>
      <w:r w:rsidR="00F01690" w:rsidRPr="0089669A">
        <w:rPr>
          <w:rFonts w:ascii="Arial" w:hAnsi="Arial" w:cs="Arial"/>
          <w:sz w:val="18"/>
          <w:lang w:val="es-ES_tradnl"/>
        </w:rPr>
        <w:t xml:space="preserve">ica </w:t>
      </w:r>
      <w:r w:rsidRPr="0089669A">
        <w:rPr>
          <w:rFonts w:ascii="Arial" w:hAnsi="Arial" w:cs="Arial"/>
          <w:sz w:val="18"/>
          <w:lang w:val="es-ES_tradnl"/>
        </w:rPr>
        <w:t>perdedora de sal</w:t>
      </w:r>
      <w:r w:rsidR="00F01690" w:rsidRPr="0089669A">
        <w:rPr>
          <w:rFonts w:ascii="Arial" w:hAnsi="Arial" w:cs="Arial"/>
          <w:sz w:val="18"/>
          <w:lang w:val="es-ES_tradnl"/>
        </w:rPr>
        <w:t>. CVS - forma clás</w:t>
      </w:r>
      <w:r w:rsidRPr="0089669A">
        <w:rPr>
          <w:rFonts w:ascii="Arial" w:hAnsi="Arial" w:cs="Arial"/>
          <w:sz w:val="18"/>
          <w:lang w:val="es-ES_tradnl"/>
        </w:rPr>
        <w:t>s</w:t>
      </w:r>
      <w:r w:rsidR="00F01690" w:rsidRPr="0089669A">
        <w:rPr>
          <w:rFonts w:ascii="Arial" w:hAnsi="Arial" w:cs="Arial"/>
          <w:sz w:val="18"/>
          <w:lang w:val="es-ES_tradnl"/>
        </w:rPr>
        <w:t>ica virilizante simple</w:t>
      </w:r>
      <w:r w:rsidRPr="0089669A">
        <w:rPr>
          <w:rFonts w:ascii="Arial" w:hAnsi="Arial" w:cs="Arial"/>
          <w:sz w:val="18"/>
          <w:lang w:val="es-ES_tradnl"/>
        </w:rPr>
        <w:t>s. NC - forma não</w:t>
      </w:r>
      <w:r w:rsidR="00F01690" w:rsidRPr="0089669A">
        <w:rPr>
          <w:rFonts w:ascii="Arial" w:hAnsi="Arial" w:cs="Arial"/>
          <w:sz w:val="18"/>
          <w:lang w:val="es-ES_tradnl"/>
        </w:rPr>
        <w:t xml:space="preserve"> clá</w:t>
      </w:r>
      <w:r w:rsidR="003E047A" w:rsidRPr="0089669A">
        <w:rPr>
          <w:rFonts w:ascii="Arial" w:hAnsi="Arial" w:cs="Arial"/>
          <w:sz w:val="18"/>
          <w:lang w:val="es-ES_tradnl"/>
        </w:rPr>
        <w:t>s</w:t>
      </w:r>
      <w:r w:rsidR="00F01690" w:rsidRPr="0089669A">
        <w:rPr>
          <w:rFonts w:ascii="Arial" w:hAnsi="Arial" w:cs="Arial"/>
          <w:sz w:val="18"/>
          <w:lang w:val="es-ES_tradnl"/>
        </w:rPr>
        <w:t xml:space="preserve">sica. 17-OHP (17-hidroxiprogesterona). 17-OHP estimulada – 17-OHP </w:t>
      </w:r>
      <w:r w:rsidR="00D7489C">
        <w:rPr>
          <w:rFonts w:ascii="Arial" w:hAnsi="Arial" w:cs="Arial"/>
          <w:sz w:val="18"/>
          <w:lang w:val="es-ES_tradnl"/>
        </w:rPr>
        <w:t xml:space="preserve">após estímulo com </w:t>
      </w:r>
      <w:r w:rsidR="00F01690" w:rsidRPr="0089669A">
        <w:rPr>
          <w:rFonts w:ascii="Arial" w:hAnsi="Arial" w:cs="Arial"/>
          <w:sz w:val="18"/>
          <w:lang w:val="es-ES_tradnl"/>
        </w:rPr>
        <w:t>ACTH. T – Testosterona.</w:t>
      </w:r>
      <w:r w:rsidRPr="0089669A">
        <w:rPr>
          <w:rFonts w:ascii="Arial" w:hAnsi="Arial" w:cs="Arial"/>
          <w:sz w:val="18"/>
          <w:lang w:val="es-ES_tradnl"/>
        </w:rPr>
        <w:t xml:space="preserve"> </w:t>
      </w:r>
      <w:r w:rsidR="00E55F83" w:rsidRPr="0089669A">
        <w:rPr>
          <w:rFonts w:ascii="Arial" w:hAnsi="Arial" w:cs="Arial"/>
          <w:sz w:val="18"/>
          <w:lang w:val="es-ES_tradnl"/>
        </w:rPr>
        <w:t>d – dias, A – anos</w:t>
      </w:r>
      <w:r w:rsidR="00E55F83">
        <w:rPr>
          <w:rFonts w:ascii="Arial" w:hAnsi="Arial" w:cs="Arial"/>
          <w:lang w:val="es-ES_tradnl"/>
        </w:rPr>
        <w:t>.</w:t>
      </w:r>
    </w:p>
    <w:p w:rsidR="00A6104D" w:rsidRDefault="00A6104D" w:rsidP="00931F35">
      <w:pPr>
        <w:spacing w:line="360" w:lineRule="auto"/>
        <w:outlineLvl w:val="0"/>
        <w:rPr>
          <w:rFonts w:ascii="Arial" w:hAnsi="Arial" w:cs="Arial"/>
          <w:b/>
          <w:lang w:val="es-ES_tradnl"/>
        </w:rPr>
      </w:pPr>
    </w:p>
    <w:p w:rsidR="00A46ED3" w:rsidRPr="00924B4A" w:rsidRDefault="00A46ED3" w:rsidP="00931F35">
      <w:pPr>
        <w:spacing w:line="360" w:lineRule="auto"/>
        <w:outlineLvl w:val="0"/>
        <w:rPr>
          <w:sz w:val="20"/>
          <w:lang w:val="es-ES_tradnl"/>
        </w:rPr>
      </w:pPr>
      <w:r w:rsidRPr="00924B4A">
        <w:rPr>
          <w:rFonts w:ascii="Arial" w:hAnsi="Arial" w:cs="Arial"/>
          <w:b/>
          <w:sz w:val="20"/>
          <w:lang w:val="es-ES_tradnl"/>
        </w:rPr>
        <w:t>Tab</w:t>
      </w:r>
      <w:r w:rsidR="00931F35" w:rsidRPr="00924B4A">
        <w:rPr>
          <w:rFonts w:ascii="Arial" w:hAnsi="Arial" w:cs="Arial"/>
          <w:b/>
          <w:sz w:val="20"/>
          <w:lang w:val="es-ES_tradnl"/>
        </w:rPr>
        <w:t>e</w:t>
      </w:r>
      <w:r w:rsidRPr="00924B4A">
        <w:rPr>
          <w:rFonts w:ascii="Arial" w:hAnsi="Arial" w:cs="Arial"/>
          <w:b/>
          <w:sz w:val="20"/>
          <w:lang w:val="es-ES_tradnl"/>
        </w:rPr>
        <w:t>la 2</w:t>
      </w:r>
      <w:r w:rsidR="00931F35" w:rsidRPr="00924B4A">
        <w:rPr>
          <w:rFonts w:ascii="Arial" w:hAnsi="Arial" w:cs="Arial"/>
          <w:sz w:val="20"/>
          <w:lang w:val="es-ES_tradnl"/>
        </w:rPr>
        <w:t>: Frequê</w:t>
      </w:r>
      <w:r w:rsidR="00A6104D" w:rsidRPr="00924B4A">
        <w:rPr>
          <w:rFonts w:ascii="Arial" w:hAnsi="Arial" w:cs="Arial"/>
          <w:sz w:val="20"/>
          <w:lang w:val="es-ES_tradnl"/>
        </w:rPr>
        <w:t>ncia de mutações</w:t>
      </w:r>
      <w:r w:rsidR="00931F35" w:rsidRPr="00924B4A">
        <w:rPr>
          <w:rFonts w:ascii="Arial" w:hAnsi="Arial" w:cs="Arial"/>
          <w:sz w:val="20"/>
          <w:lang w:val="es-ES_tradnl"/>
        </w:rPr>
        <w:t xml:space="preserve"> em</w:t>
      </w:r>
      <w:r w:rsidRPr="00924B4A">
        <w:rPr>
          <w:rFonts w:ascii="Arial" w:hAnsi="Arial" w:cs="Arial"/>
          <w:sz w:val="20"/>
          <w:lang w:val="es-ES_tradnl"/>
        </w:rPr>
        <w:t xml:space="preserve"> </w:t>
      </w:r>
      <w:r w:rsidR="00C01AF6" w:rsidRPr="00924B4A">
        <w:rPr>
          <w:rFonts w:ascii="Arial" w:hAnsi="Arial" w:cs="Arial"/>
          <w:sz w:val="20"/>
          <w:lang w:val="es-ES_tradnl"/>
        </w:rPr>
        <w:t>45 alelos afec</w:t>
      </w:r>
      <w:r w:rsidRPr="00924B4A">
        <w:rPr>
          <w:rFonts w:ascii="Arial" w:hAnsi="Arial" w:cs="Arial"/>
          <w:sz w:val="20"/>
          <w:lang w:val="es-ES_tradnl"/>
        </w:rPr>
        <w:t xml:space="preserve">tados de 22 pacientes </w:t>
      </w:r>
      <w:r w:rsidR="00C01AF6" w:rsidRPr="00924B4A">
        <w:rPr>
          <w:rFonts w:ascii="Arial" w:hAnsi="Arial" w:cs="Arial"/>
          <w:sz w:val="20"/>
          <w:lang w:val="es-ES_tradnl"/>
        </w:rPr>
        <w:t>não</w:t>
      </w:r>
      <w:r w:rsidR="00931F35" w:rsidRPr="00924B4A">
        <w:rPr>
          <w:rFonts w:ascii="Arial" w:hAnsi="Arial" w:cs="Arial"/>
          <w:sz w:val="20"/>
          <w:lang w:val="es-ES_tradnl"/>
        </w:rPr>
        <w:t xml:space="preserve"> relacionados com</w:t>
      </w:r>
      <w:r w:rsidRPr="00924B4A">
        <w:rPr>
          <w:rFonts w:ascii="Arial" w:hAnsi="Arial" w:cs="Arial"/>
          <w:sz w:val="20"/>
          <w:lang w:val="es-ES_tradnl"/>
        </w:rPr>
        <w:t xml:space="preserve"> </w:t>
      </w:r>
      <w:r w:rsidR="00931F35" w:rsidRPr="00924B4A">
        <w:rPr>
          <w:rFonts w:ascii="Arial" w:hAnsi="Arial" w:cs="Arial"/>
          <w:sz w:val="20"/>
          <w:lang w:val="es-ES_tradnl"/>
        </w:rPr>
        <w:t>deficiê</w:t>
      </w:r>
      <w:r w:rsidRPr="00924B4A">
        <w:rPr>
          <w:rFonts w:ascii="Arial" w:hAnsi="Arial" w:cs="Arial"/>
          <w:sz w:val="20"/>
          <w:lang w:val="es-ES_tradnl"/>
        </w:rPr>
        <w:t>ncia de 21-</w:t>
      </w:r>
      <w:r w:rsidR="00931F35" w:rsidRPr="00924B4A">
        <w:rPr>
          <w:rFonts w:ascii="Arial" w:hAnsi="Arial" w:cs="Arial"/>
          <w:sz w:val="20"/>
          <w:lang w:val="es-ES_tradnl"/>
        </w:rPr>
        <w:t>hidroxílase</w:t>
      </w:r>
      <w:r w:rsidRPr="00924B4A">
        <w:rPr>
          <w:rFonts w:ascii="Arial" w:hAnsi="Arial" w:cs="Arial"/>
          <w:sz w:val="20"/>
          <w:lang w:val="es-ES_tradnl"/>
        </w:rPr>
        <w:t>.</w:t>
      </w:r>
      <w:r w:rsidR="00D16264" w:rsidRPr="00924B4A">
        <w:rPr>
          <w:rFonts w:ascii="Arial" w:hAnsi="Arial" w:cs="Arial"/>
          <w:sz w:val="20"/>
          <w:lang w:val="es-ES_tradnl"/>
        </w:rPr>
        <w:t xml:space="preserve"> </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1252"/>
        <w:gridCol w:w="1252"/>
        <w:gridCol w:w="1252"/>
        <w:gridCol w:w="1252"/>
        <w:gridCol w:w="1252"/>
        <w:gridCol w:w="1253"/>
      </w:tblGrid>
      <w:tr w:rsidR="00A46ED3" w:rsidRPr="005A5189" w:rsidTr="009A573A">
        <w:trPr>
          <w:trHeight w:val="340"/>
        </w:trPr>
        <w:tc>
          <w:tcPr>
            <w:tcW w:w="1984" w:type="dxa"/>
            <w:tcBorders>
              <w:bottom w:val="nil"/>
              <w:right w:val="nil"/>
            </w:tcBorders>
            <w:shd w:val="clear" w:color="auto" w:fill="auto"/>
            <w:noWrap/>
            <w:vAlign w:val="bottom"/>
          </w:tcPr>
          <w:p w:rsidR="00A46ED3" w:rsidRPr="005A5189" w:rsidRDefault="00307368" w:rsidP="009A573A">
            <w:pPr>
              <w:ind w:left="250"/>
              <w:rPr>
                <w:rFonts w:ascii="Arial" w:eastAsia="Times New Roman" w:hAnsi="Arial" w:cs="Times New Roman"/>
                <w:b/>
                <w:bCs/>
                <w:sz w:val="16"/>
                <w:szCs w:val="16"/>
                <w:lang w:val="es-ES_tradnl"/>
              </w:rPr>
            </w:pPr>
            <w:r>
              <w:rPr>
                <w:rFonts w:ascii="Arial" w:eastAsia="Times New Roman" w:hAnsi="Arial" w:cs="Times New Roman"/>
                <w:b/>
                <w:bCs/>
                <w:sz w:val="16"/>
                <w:szCs w:val="16"/>
                <w:lang w:val="es-ES_tradnl"/>
              </w:rPr>
              <w:t>Mutação</w:t>
            </w:r>
          </w:p>
        </w:tc>
        <w:tc>
          <w:tcPr>
            <w:tcW w:w="3756" w:type="dxa"/>
            <w:gridSpan w:val="3"/>
            <w:tcBorders>
              <w:left w:val="nil"/>
              <w:bottom w:val="nil"/>
            </w:tcBorders>
            <w:shd w:val="clear" w:color="auto" w:fill="auto"/>
            <w:noWrap/>
            <w:vAlign w:val="bottom"/>
          </w:tcPr>
          <w:p w:rsidR="00A46ED3" w:rsidRPr="005A5189" w:rsidRDefault="00A46ED3" w:rsidP="009A573A">
            <w:pPr>
              <w:ind w:left="250"/>
              <w:jc w:val="center"/>
              <w:rPr>
                <w:rFonts w:ascii="Arial" w:eastAsia="Times New Roman" w:hAnsi="Arial" w:cs="Times New Roman"/>
                <w:b/>
                <w:bCs/>
                <w:sz w:val="16"/>
                <w:szCs w:val="16"/>
                <w:lang w:val="es-ES_tradnl"/>
              </w:rPr>
            </w:pPr>
            <w:r w:rsidRPr="005A5189">
              <w:rPr>
                <w:rFonts w:ascii="Arial" w:eastAsia="Times New Roman" w:hAnsi="Arial" w:cs="Times New Roman"/>
                <w:b/>
                <w:bCs/>
                <w:sz w:val="16"/>
                <w:szCs w:val="16"/>
                <w:lang w:val="es-ES_tradnl"/>
              </w:rPr>
              <w:t>Número de alelos</w:t>
            </w:r>
          </w:p>
        </w:tc>
        <w:tc>
          <w:tcPr>
            <w:tcW w:w="3757" w:type="dxa"/>
            <w:gridSpan w:val="3"/>
            <w:tcBorders>
              <w:bottom w:val="nil"/>
            </w:tcBorders>
            <w:shd w:val="clear" w:color="auto" w:fill="auto"/>
            <w:noWrap/>
            <w:vAlign w:val="bottom"/>
          </w:tcPr>
          <w:p w:rsidR="00A46ED3" w:rsidRPr="005A5189" w:rsidRDefault="00A46ED3" w:rsidP="009A573A">
            <w:pPr>
              <w:ind w:left="250"/>
              <w:jc w:val="center"/>
              <w:rPr>
                <w:rFonts w:ascii="Arial" w:eastAsia="Times New Roman" w:hAnsi="Arial" w:cs="Times New Roman"/>
                <w:b/>
                <w:bCs/>
                <w:color w:val="000000"/>
                <w:sz w:val="16"/>
                <w:szCs w:val="16"/>
                <w:lang w:val="es-ES_tradnl"/>
              </w:rPr>
            </w:pPr>
            <w:r w:rsidRPr="005A5189">
              <w:rPr>
                <w:rFonts w:ascii="Arial" w:eastAsia="Times New Roman" w:hAnsi="Arial" w:cs="Times New Roman"/>
                <w:b/>
                <w:bCs/>
                <w:color w:val="000000"/>
                <w:sz w:val="16"/>
                <w:szCs w:val="16"/>
                <w:lang w:val="es-ES_tradnl"/>
              </w:rPr>
              <w:t>% Total</w:t>
            </w:r>
          </w:p>
        </w:tc>
      </w:tr>
      <w:tr w:rsidR="00A46ED3" w:rsidRPr="005A5189" w:rsidTr="009A573A">
        <w:trPr>
          <w:trHeight w:val="340"/>
        </w:trPr>
        <w:tc>
          <w:tcPr>
            <w:tcW w:w="1984" w:type="dxa"/>
            <w:tcBorders>
              <w:top w:val="nil"/>
              <w:bottom w:val="nil"/>
              <w:right w:val="nil"/>
            </w:tcBorders>
            <w:shd w:val="clear" w:color="auto" w:fill="auto"/>
            <w:noWrap/>
            <w:vAlign w:val="bottom"/>
            <w:hideMark/>
          </w:tcPr>
          <w:p w:rsidR="00A46ED3" w:rsidRPr="005A5189" w:rsidRDefault="00A46ED3" w:rsidP="009A573A">
            <w:pPr>
              <w:ind w:left="250" w:right="174"/>
              <w:rPr>
                <w:rFonts w:ascii="Arial" w:eastAsia="Times New Roman" w:hAnsi="Arial" w:cs="Times New Roman"/>
                <w:b/>
                <w:bCs/>
                <w:sz w:val="16"/>
                <w:szCs w:val="16"/>
                <w:lang w:val="es-ES_tradnl"/>
              </w:rPr>
            </w:pPr>
          </w:p>
        </w:tc>
        <w:tc>
          <w:tcPr>
            <w:tcW w:w="1252" w:type="dxa"/>
            <w:tcBorders>
              <w:top w:val="nil"/>
              <w:left w:val="nil"/>
              <w:right w:val="nil"/>
            </w:tcBorders>
            <w:shd w:val="clear" w:color="auto" w:fill="auto"/>
            <w:noWrap/>
            <w:vAlign w:val="bottom"/>
            <w:hideMark/>
          </w:tcPr>
          <w:p w:rsidR="00A46ED3" w:rsidRPr="005A5189" w:rsidRDefault="00A46ED3" w:rsidP="009A573A">
            <w:pPr>
              <w:ind w:left="250"/>
              <w:jc w:val="center"/>
              <w:rPr>
                <w:rFonts w:ascii="Arial" w:eastAsia="Times New Roman" w:hAnsi="Arial" w:cs="Times New Roman"/>
                <w:b/>
                <w:bCs/>
                <w:sz w:val="16"/>
                <w:szCs w:val="16"/>
                <w:lang w:val="es-ES_tradnl"/>
              </w:rPr>
            </w:pPr>
          </w:p>
          <w:p w:rsidR="00A46ED3" w:rsidRPr="005A5189" w:rsidRDefault="00A46ED3" w:rsidP="009A573A">
            <w:pPr>
              <w:ind w:left="250"/>
              <w:jc w:val="center"/>
              <w:rPr>
                <w:rFonts w:ascii="Arial" w:eastAsia="Times New Roman" w:hAnsi="Arial" w:cs="Times New Roman"/>
                <w:b/>
                <w:bCs/>
                <w:sz w:val="16"/>
                <w:szCs w:val="16"/>
                <w:lang w:val="es-ES_tradnl"/>
              </w:rPr>
            </w:pPr>
          </w:p>
          <w:p w:rsidR="00A46ED3" w:rsidRPr="005A5189" w:rsidRDefault="00A46ED3" w:rsidP="009A573A">
            <w:pPr>
              <w:ind w:left="250"/>
              <w:jc w:val="center"/>
              <w:rPr>
                <w:rFonts w:ascii="Arial" w:eastAsia="Times New Roman" w:hAnsi="Arial" w:cs="Times New Roman"/>
                <w:b/>
                <w:bCs/>
                <w:sz w:val="16"/>
                <w:szCs w:val="16"/>
                <w:lang w:val="es-ES_tradnl"/>
              </w:rPr>
            </w:pPr>
            <w:r>
              <w:rPr>
                <w:rFonts w:ascii="Arial" w:eastAsia="Times New Roman" w:hAnsi="Arial" w:cs="Times New Roman"/>
                <w:b/>
                <w:bCs/>
                <w:sz w:val="16"/>
                <w:szCs w:val="16"/>
                <w:lang w:val="es-ES_tradnl"/>
              </w:rPr>
              <w:t>Clás</w:t>
            </w:r>
            <w:r w:rsidR="003C3685">
              <w:rPr>
                <w:rFonts w:ascii="Arial" w:eastAsia="Times New Roman" w:hAnsi="Arial" w:cs="Times New Roman"/>
                <w:b/>
                <w:bCs/>
                <w:sz w:val="16"/>
                <w:szCs w:val="16"/>
                <w:lang w:val="es-ES_tradnl"/>
              </w:rPr>
              <w:t>s</w:t>
            </w:r>
            <w:r w:rsidRPr="005A5189">
              <w:rPr>
                <w:rFonts w:ascii="Arial" w:eastAsia="Times New Roman" w:hAnsi="Arial" w:cs="Times New Roman"/>
                <w:b/>
                <w:bCs/>
                <w:sz w:val="16"/>
                <w:szCs w:val="16"/>
                <w:lang w:val="es-ES_tradnl"/>
              </w:rPr>
              <w:t>ica</w:t>
            </w:r>
          </w:p>
        </w:tc>
        <w:tc>
          <w:tcPr>
            <w:tcW w:w="1252" w:type="dxa"/>
            <w:tcBorders>
              <w:top w:val="nil"/>
              <w:left w:val="nil"/>
              <w:right w:val="nil"/>
            </w:tcBorders>
            <w:shd w:val="clear" w:color="auto" w:fill="auto"/>
            <w:noWrap/>
            <w:vAlign w:val="bottom"/>
            <w:hideMark/>
          </w:tcPr>
          <w:p w:rsidR="00A46ED3" w:rsidRPr="005A5189" w:rsidRDefault="00A46ED3" w:rsidP="009A573A">
            <w:pPr>
              <w:ind w:left="250"/>
              <w:jc w:val="center"/>
              <w:rPr>
                <w:rFonts w:ascii="Arial" w:eastAsia="Times New Roman" w:hAnsi="Arial" w:cs="Times New Roman"/>
                <w:b/>
                <w:bCs/>
                <w:sz w:val="16"/>
                <w:szCs w:val="16"/>
                <w:lang w:val="es-ES_tradnl"/>
              </w:rPr>
            </w:pPr>
            <w:r w:rsidRPr="005A5189">
              <w:rPr>
                <w:rFonts w:ascii="Arial" w:eastAsia="Times New Roman" w:hAnsi="Arial" w:cs="Times New Roman"/>
                <w:b/>
                <w:bCs/>
                <w:sz w:val="16"/>
                <w:szCs w:val="16"/>
                <w:lang w:val="es-ES_tradnl"/>
              </w:rPr>
              <w:t>NC</w:t>
            </w:r>
          </w:p>
        </w:tc>
        <w:tc>
          <w:tcPr>
            <w:tcW w:w="1252" w:type="dxa"/>
            <w:tcBorders>
              <w:top w:val="nil"/>
              <w:left w:val="nil"/>
            </w:tcBorders>
            <w:shd w:val="clear" w:color="auto" w:fill="auto"/>
            <w:noWrap/>
            <w:vAlign w:val="bottom"/>
            <w:hideMark/>
          </w:tcPr>
          <w:p w:rsidR="00A46ED3" w:rsidRPr="005A5189" w:rsidRDefault="00A46ED3" w:rsidP="009A573A">
            <w:pPr>
              <w:ind w:left="250"/>
              <w:jc w:val="center"/>
              <w:rPr>
                <w:rFonts w:ascii="Arial" w:eastAsia="Times New Roman" w:hAnsi="Arial" w:cs="Times New Roman"/>
                <w:b/>
                <w:bCs/>
                <w:sz w:val="16"/>
                <w:szCs w:val="16"/>
                <w:lang w:val="es-ES_tradnl"/>
              </w:rPr>
            </w:pPr>
            <w:r w:rsidRPr="005A5189">
              <w:rPr>
                <w:rFonts w:ascii="Arial" w:eastAsia="Times New Roman" w:hAnsi="Arial" w:cs="Times New Roman"/>
                <w:b/>
                <w:bCs/>
                <w:sz w:val="16"/>
                <w:szCs w:val="16"/>
                <w:lang w:val="es-ES_tradnl"/>
              </w:rPr>
              <w:t>Total</w:t>
            </w:r>
          </w:p>
        </w:tc>
        <w:tc>
          <w:tcPr>
            <w:tcW w:w="1252" w:type="dxa"/>
            <w:tcBorders>
              <w:top w:val="nil"/>
              <w:right w:val="nil"/>
            </w:tcBorders>
            <w:shd w:val="clear" w:color="auto" w:fill="auto"/>
            <w:noWrap/>
            <w:vAlign w:val="bottom"/>
            <w:hideMark/>
          </w:tcPr>
          <w:p w:rsidR="00A46ED3" w:rsidRPr="005A5189" w:rsidRDefault="00A46ED3" w:rsidP="009A573A">
            <w:pPr>
              <w:ind w:left="250"/>
              <w:jc w:val="center"/>
              <w:rPr>
                <w:rFonts w:ascii="Arial" w:eastAsia="Times New Roman" w:hAnsi="Arial" w:cs="Times New Roman"/>
                <w:b/>
                <w:bCs/>
                <w:sz w:val="16"/>
                <w:szCs w:val="16"/>
                <w:lang w:val="es-ES_tradnl"/>
              </w:rPr>
            </w:pPr>
          </w:p>
          <w:p w:rsidR="00A46ED3" w:rsidRPr="005A5189" w:rsidRDefault="00A46ED3" w:rsidP="009A573A">
            <w:pPr>
              <w:ind w:left="250"/>
              <w:jc w:val="center"/>
              <w:rPr>
                <w:rFonts w:ascii="Arial" w:eastAsia="Times New Roman" w:hAnsi="Arial" w:cs="Times New Roman"/>
                <w:b/>
                <w:bCs/>
                <w:sz w:val="16"/>
                <w:szCs w:val="16"/>
                <w:lang w:val="es-ES_tradnl"/>
              </w:rPr>
            </w:pPr>
          </w:p>
          <w:p w:rsidR="00A46ED3" w:rsidRPr="005A5189" w:rsidRDefault="00A46ED3" w:rsidP="009A573A">
            <w:pPr>
              <w:ind w:left="250"/>
              <w:jc w:val="center"/>
              <w:rPr>
                <w:rFonts w:ascii="Arial" w:eastAsia="Times New Roman" w:hAnsi="Arial" w:cs="Times New Roman"/>
                <w:b/>
                <w:bCs/>
                <w:color w:val="000000"/>
                <w:sz w:val="16"/>
                <w:szCs w:val="16"/>
                <w:lang w:val="es-ES_tradnl"/>
              </w:rPr>
            </w:pPr>
            <w:r w:rsidRPr="005A5189">
              <w:rPr>
                <w:rFonts w:ascii="Arial" w:eastAsia="Times New Roman" w:hAnsi="Arial" w:cs="Times New Roman"/>
                <w:b/>
                <w:bCs/>
                <w:sz w:val="16"/>
                <w:szCs w:val="16"/>
                <w:lang w:val="es-ES_tradnl"/>
              </w:rPr>
              <w:t>Clás</w:t>
            </w:r>
            <w:r w:rsidR="003C3685">
              <w:rPr>
                <w:rFonts w:ascii="Arial" w:eastAsia="Times New Roman" w:hAnsi="Arial" w:cs="Times New Roman"/>
                <w:b/>
                <w:bCs/>
                <w:sz w:val="16"/>
                <w:szCs w:val="16"/>
                <w:lang w:val="es-ES_tradnl"/>
              </w:rPr>
              <w:t>s</w:t>
            </w:r>
            <w:r w:rsidRPr="005A5189">
              <w:rPr>
                <w:rFonts w:ascii="Arial" w:eastAsia="Times New Roman" w:hAnsi="Arial" w:cs="Times New Roman"/>
                <w:b/>
                <w:bCs/>
                <w:sz w:val="16"/>
                <w:szCs w:val="16"/>
                <w:lang w:val="es-ES_tradnl"/>
              </w:rPr>
              <w:t>ica</w:t>
            </w:r>
          </w:p>
        </w:tc>
        <w:tc>
          <w:tcPr>
            <w:tcW w:w="1252" w:type="dxa"/>
            <w:tcBorders>
              <w:top w:val="nil"/>
              <w:left w:val="nil"/>
              <w:right w:val="nil"/>
            </w:tcBorders>
            <w:shd w:val="clear" w:color="auto" w:fill="auto"/>
            <w:noWrap/>
            <w:vAlign w:val="bottom"/>
            <w:hideMark/>
          </w:tcPr>
          <w:p w:rsidR="00A46ED3" w:rsidRPr="005A5189" w:rsidRDefault="00A46ED3" w:rsidP="009A573A">
            <w:pPr>
              <w:ind w:left="250"/>
              <w:jc w:val="center"/>
              <w:rPr>
                <w:rFonts w:ascii="Arial" w:eastAsia="Times New Roman" w:hAnsi="Arial" w:cs="Times New Roman"/>
                <w:b/>
                <w:bCs/>
                <w:color w:val="000000"/>
                <w:sz w:val="16"/>
                <w:szCs w:val="16"/>
                <w:lang w:val="es-ES_tradnl"/>
              </w:rPr>
            </w:pPr>
            <w:r w:rsidRPr="005A5189">
              <w:rPr>
                <w:rFonts w:ascii="Arial" w:eastAsia="Times New Roman" w:hAnsi="Arial" w:cs="Times New Roman"/>
                <w:b/>
                <w:bCs/>
                <w:sz w:val="16"/>
                <w:szCs w:val="16"/>
                <w:lang w:val="es-ES_tradnl"/>
              </w:rPr>
              <w:t>NC</w:t>
            </w:r>
          </w:p>
        </w:tc>
        <w:tc>
          <w:tcPr>
            <w:tcW w:w="1253" w:type="dxa"/>
            <w:tcBorders>
              <w:top w:val="nil"/>
              <w:left w:val="nil"/>
            </w:tcBorders>
            <w:shd w:val="clear" w:color="auto" w:fill="auto"/>
            <w:noWrap/>
            <w:vAlign w:val="bottom"/>
            <w:hideMark/>
          </w:tcPr>
          <w:p w:rsidR="00A46ED3" w:rsidRPr="005A5189" w:rsidRDefault="00A46ED3" w:rsidP="009A573A">
            <w:pPr>
              <w:ind w:left="250"/>
              <w:jc w:val="center"/>
              <w:rPr>
                <w:rFonts w:ascii="Arial" w:eastAsia="Times New Roman" w:hAnsi="Arial" w:cs="Times New Roman"/>
                <w:b/>
                <w:bCs/>
                <w:color w:val="000000"/>
                <w:sz w:val="16"/>
                <w:szCs w:val="16"/>
                <w:lang w:val="es-ES_tradnl"/>
              </w:rPr>
            </w:pPr>
            <w:r w:rsidRPr="005A5189">
              <w:rPr>
                <w:rFonts w:ascii="Arial" w:eastAsia="Times New Roman" w:hAnsi="Arial" w:cs="Times New Roman"/>
                <w:b/>
                <w:bCs/>
                <w:sz w:val="16"/>
                <w:szCs w:val="16"/>
                <w:lang w:val="es-ES_tradnl"/>
              </w:rPr>
              <w:t>Total</w:t>
            </w:r>
          </w:p>
        </w:tc>
      </w:tr>
      <w:tr w:rsidR="00A46ED3" w:rsidRPr="005A5189" w:rsidTr="009A573A">
        <w:trPr>
          <w:trHeight w:val="300"/>
        </w:trPr>
        <w:tc>
          <w:tcPr>
            <w:tcW w:w="1984" w:type="dxa"/>
            <w:shd w:val="clear" w:color="auto" w:fill="auto"/>
            <w:noWrap/>
            <w:vAlign w:val="bottom"/>
            <w:hideMark/>
          </w:tcPr>
          <w:p w:rsidR="00A46ED3" w:rsidRPr="005A5189" w:rsidRDefault="00A46ED3" w:rsidP="009A573A">
            <w:pPr>
              <w:jc w:val="center"/>
              <w:rPr>
                <w:rFonts w:ascii="Arial" w:eastAsia="Times New Roman" w:hAnsi="Arial" w:cs="Times New Roman"/>
                <w:b/>
                <w:bCs/>
                <w:sz w:val="16"/>
                <w:szCs w:val="16"/>
                <w:lang w:val="es-ES_tradnl"/>
              </w:rPr>
            </w:pPr>
            <w:r w:rsidRPr="005A5189">
              <w:rPr>
                <w:rFonts w:ascii="Arial" w:eastAsia="Times New Roman" w:hAnsi="Arial" w:cs="Times New Roman"/>
                <w:color w:val="000000"/>
                <w:sz w:val="16"/>
                <w:szCs w:val="16"/>
                <w:lang w:val="es-ES_tradnl"/>
              </w:rPr>
              <w:t>R356W</w:t>
            </w:r>
          </w:p>
        </w:tc>
        <w:tc>
          <w:tcPr>
            <w:tcW w:w="1252" w:type="dxa"/>
            <w:shd w:val="clear" w:color="auto" w:fill="auto"/>
            <w:noWrap/>
            <w:vAlign w:val="bottom"/>
            <w:hideMark/>
          </w:tcPr>
          <w:p w:rsidR="00A46ED3" w:rsidRPr="005A5189" w:rsidRDefault="00A46ED3" w:rsidP="009A573A">
            <w:pPr>
              <w:ind w:left="250"/>
              <w:jc w:val="center"/>
              <w:rPr>
                <w:rFonts w:ascii="Arial" w:eastAsia="Times New Roman" w:hAnsi="Arial" w:cs="Times New Roman"/>
                <w:b/>
                <w:bCs/>
                <w:sz w:val="16"/>
                <w:szCs w:val="16"/>
                <w:lang w:val="es-ES_tradnl"/>
              </w:rPr>
            </w:pPr>
            <w:r w:rsidRPr="005A5189">
              <w:rPr>
                <w:rFonts w:ascii="Arial" w:eastAsia="Times New Roman" w:hAnsi="Arial" w:cs="Times New Roman"/>
                <w:color w:val="000000"/>
                <w:sz w:val="16"/>
                <w:szCs w:val="16"/>
                <w:lang w:val="es-ES_tradnl"/>
              </w:rPr>
              <w:t>2</w:t>
            </w:r>
          </w:p>
        </w:tc>
        <w:tc>
          <w:tcPr>
            <w:tcW w:w="1252" w:type="dxa"/>
            <w:shd w:val="clear" w:color="auto" w:fill="auto"/>
            <w:noWrap/>
            <w:vAlign w:val="bottom"/>
            <w:hideMark/>
          </w:tcPr>
          <w:p w:rsidR="00A46ED3" w:rsidRPr="005A5189" w:rsidRDefault="00A46ED3" w:rsidP="009A573A">
            <w:pPr>
              <w:ind w:left="250"/>
              <w:jc w:val="center"/>
              <w:rPr>
                <w:rFonts w:ascii="Arial" w:eastAsia="Times New Roman" w:hAnsi="Arial" w:cs="Times New Roman"/>
                <w:b/>
                <w:bCs/>
                <w:sz w:val="16"/>
                <w:szCs w:val="16"/>
                <w:lang w:val="es-ES_tradnl"/>
              </w:rPr>
            </w:pPr>
            <w:r w:rsidRPr="005A5189">
              <w:rPr>
                <w:rFonts w:ascii="Arial" w:eastAsia="Times New Roman" w:hAnsi="Arial" w:cs="Times New Roman"/>
                <w:color w:val="000000"/>
                <w:sz w:val="16"/>
                <w:szCs w:val="16"/>
                <w:lang w:val="es-ES_tradnl"/>
              </w:rPr>
              <w:t>0</w:t>
            </w:r>
          </w:p>
        </w:tc>
        <w:tc>
          <w:tcPr>
            <w:tcW w:w="1252" w:type="dxa"/>
            <w:shd w:val="clear" w:color="auto" w:fill="auto"/>
            <w:noWrap/>
            <w:vAlign w:val="bottom"/>
            <w:hideMark/>
          </w:tcPr>
          <w:p w:rsidR="00A46ED3" w:rsidRPr="005A5189" w:rsidRDefault="00A46ED3" w:rsidP="009A573A">
            <w:pPr>
              <w:ind w:left="250"/>
              <w:jc w:val="center"/>
              <w:rPr>
                <w:rFonts w:ascii="Arial" w:eastAsia="Times New Roman" w:hAnsi="Arial" w:cs="Times New Roman"/>
                <w:b/>
                <w:bCs/>
                <w:sz w:val="16"/>
                <w:szCs w:val="16"/>
                <w:lang w:val="es-ES_tradnl"/>
              </w:rPr>
            </w:pPr>
            <w:r w:rsidRPr="005A5189">
              <w:rPr>
                <w:rFonts w:ascii="Arial" w:eastAsia="Times New Roman" w:hAnsi="Arial" w:cs="Times New Roman"/>
                <w:color w:val="000000"/>
                <w:sz w:val="16"/>
                <w:szCs w:val="16"/>
                <w:lang w:val="es-ES_tradnl"/>
              </w:rPr>
              <w:t>2</w:t>
            </w:r>
          </w:p>
        </w:tc>
        <w:tc>
          <w:tcPr>
            <w:tcW w:w="1252" w:type="dxa"/>
            <w:shd w:val="clear" w:color="auto" w:fill="auto"/>
            <w:noWrap/>
            <w:vAlign w:val="bottom"/>
            <w:hideMark/>
          </w:tcPr>
          <w:p w:rsidR="00A46ED3" w:rsidRPr="005A5189" w:rsidRDefault="00A46ED3" w:rsidP="009A573A">
            <w:pPr>
              <w:ind w:left="250"/>
              <w:jc w:val="center"/>
              <w:rPr>
                <w:rFonts w:ascii="Arial" w:eastAsia="Times New Roman" w:hAnsi="Arial" w:cs="Times New Roman"/>
                <w:bCs/>
                <w:color w:val="000000"/>
                <w:sz w:val="16"/>
                <w:szCs w:val="16"/>
                <w:lang w:val="es-ES_tradnl"/>
              </w:rPr>
            </w:pPr>
            <w:r w:rsidRPr="005A5189">
              <w:rPr>
                <w:rFonts w:ascii="Arial" w:eastAsia="Times New Roman" w:hAnsi="Arial" w:cs="Times New Roman"/>
                <w:bCs/>
                <w:color w:val="000000"/>
                <w:sz w:val="16"/>
                <w:szCs w:val="16"/>
                <w:lang w:val="es-ES_tradnl"/>
              </w:rPr>
              <w:t>8%</w:t>
            </w:r>
          </w:p>
        </w:tc>
        <w:tc>
          <w:tcPr>
            <w:tcW w:w="1252" w:type="dxa"/>
            <w:shd w:val="clear" w:color="auto" w:fill="auto"/>
            <w:noWrap/>
            <w:vAlign w:val="bottom"/>
            <w:hideMark/>
          </w:tcPr>
          <w:p w:rsidR="00A46ED3" w:rsidRPr="005A5189" w:rsidRDefault="00A46ED3" w:rsidP="009A573A">
            <w:pPr>
              <w:ind w:left="250"/>
              <w:jc w:val="center"/>
              <w:rPr>
                <w:rFonts w:ascii="Arial" w:eastAsia="Times New Roman" w:hAnsi="Arial" w:cs="Times New Roman"/>
                <w:bCs/>
                <w:color w:val="000000"/>
                <w:sz w:val="16"/>
                <w:szCs w:val="16"/>
                <w:lang w:val="es-ES_tradnl"/>
              </w:rPr>
            </w:pPr>
            <w:r w:rsidRPr="005A5189">
              <w:rPr>
                <w:rFonts w:ascii="Arial" w:eastAsia="Times New Roman" w:hAnsi="Arial" w:cs="Times New Roman"/>
                <w:color w:val="000000"/>
                <w:sz w:val="16"/>
                <w:szCs w:val="16"/>
                <w:lang w:val="es-ES_tradnl"/>
              </w:rPr>
              <w:t>0</w:t>
            </w:r>
          </w:p>
        </w:tc>
        <w:tc>
          <w:tcPr>
            <w:tcW w:w="1253" w:type="dxa"/>
            <w:shd w:val="clear" w:color="auto" w:fill="auto"/>
            <w:noWrap/>
            <w:vAlign w:val="bottom"/>
            <w:hideMark/>
          </w:tcPr>
          <w:p w:rsidR="00A46ED3" w:rsidRPr="005A5189" w:rsidRDefault="00A46ED3" w:rsidP="009A573A">
            <w:pPr>
              <w:ind w:left="250"/>
              <w:jc w:val="center"/>
              <w:rPr>
                <w:rFonts w:ascii="Arial" w:eastAsia="Times New Roman" w:hAnsi="Arial" w:cs="Times New Roman"/>
                <w:bCs/>
                <w:color w:val="000000"/>
                <w:sz w:val="16"/>
                <w:szCs w:val="16"/>
                <w:lang w:val="es-ES_tradnl"/>
              </w:rPr>
            </w:pPr>
            <w:r>
              <w:rPr>
                <w:rFonts w:ascii="Arial" w:eastAsia="Times New Roman" w:hAnsi="Arial" w:cs="Times New Roman"/>
                <w:bCs/>
                <w:color w:val="000000"/>
                <w:sz w:val="16"/>
                <w:szCs w:val="16"/>
                <w:lang w:val="es-ES_tradnl"/>
              </w:rPr>
              <w:t>4.4</w:t>
            </w:r>
            <w:r w:rsidRPr="005A5189">
              <w:rPr>
                <w:rFonts w:ascii="Arial" w:eastAsia="Times New Roman" w:hAnsi="Arial" w:cs="Times New Roman"/>
                <w:bCs/>
                <w:color w:val="000000"/>
                <w:sz w:val="16"/>
                <w:szCs w:val="16"/>
                <w:lang w:val="es-ES_tradnl"/>
              </w:rPr>
              <w:t>%</w:t>
            </w:r>
          </w:p>
        </w:tc>
      </w:tr>
      <w:tr w:rsidR="00A46ED3" w:rsidRPr="005A5189" w:rsidTr="009A573A">
        <w:trPr>
          <w:trHeight w:val="300"/>
        </w:trPr>
        <w:tc>
          <w:tcPr>
            <w:tcW w:w="1984" w:type="dxa"/>
            <w:shd w:val="clear" w:color="auto" w:fill="auto"/>
            <w:noWrap/>
            <w:vAlign w:val="bottom"/>
            <w:hideMark/>
          </w:tcPr>
          <w:p w:rsidR="00A46ED3" w:rsidRPr="005A5189" w:rsidRDefault="00A46ED3" w:rsidP="009A573A">
            <w:pPr>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Q318X</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4</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1</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5</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16%</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5</w:t>
            </w:r>
            <w:r w:rsidRPr="005A5189">
              <w:rPr>
                <w:rFonts w:ascii="Arial" w:eastAsia="Times New Roman" w:hAnsi="Arial" w:cs="Times New Roman"/>
                <w:color w:val="000000"/>
                <w:sz w:val="16"/>
                <w:szCs w:val="16"/>
                <w:lang w:val="es-ES_tradnl"/>
              </w:rPr>
              <w:t>%</w:t>
            </w:r>
          </w:p>
        </w:tc>
        <w:tc>
          <w:tcPr>
            <w:tcW w:w="1253"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11.1</w:t>
            </w:r>
            <w:r w:rsidRPr="005A5189">
              <w:rPr>
                <w:rFonts w:ascii="Arial" w:eastAsia="Times New Roman" w:hAnsi="Arial" w:cs="Times New Roman"/>
                <w:color w:val="000000"/>
                <w:sz w:val="16"/>
                <w:szCs w:val="16"/>
                <w:lang w:val="es-ES_tradnl"/>
              </w:rPr>
              <w:t>%</w:t>
            </w:r>
          </w:p>
        </w:tc>
      </w:tr>
      <w:tr w:rsidR="00A46ED3" w:rsidRPr="005A5189" w:rsidTr="009A573A">
        <w:trPr>
          <w:trHeight w:val="300"/>
        </w:trPr>
        <w:tc>
          <w:tcPr>
            <w:tcW w:w="1984" w:type="dxa"/>
            <w:shd w:val="clear" w:color="auto" w:fill="auto"/>
            <w:noWrap/>
            <w:vAlign w:val="bottom"/>
            <w:hideMark/>
          </w:tcPr>
          <w:p w:rsidR="00A46ED3" w:rsidRPr="005A5189" w:rsidRDefault="00BE5D41" w:rsidP="009A573A">
            <w:pPr>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Deleções</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4</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sz w:val="16"/>
                <w:szCs w:val="16"/>
                <w:lang w:val="es-ES_tradnl"/>
              </w:rPr>
            </w:pPr>
            <w:r w:rsidRPr="005A5189">
              <w:rPr>
                <w:rFonts w:ascii="Arial" w:eastAsia="Times New Roman" w:hAnsi="Arial" w:cs="Times New Roman"/>
                <w:sz w:val="16"/>
                <w:szCs w:val="16"/>
                <w:lang w:val="es-ES_tradnl"/>
              </w:rPr>
              <w:t>1</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5</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bCs/>
                <w:color w:val="000000"/>
                <w:sz w:val="16"/>
                <w:szCs w:val="16"/>
                <w:lang w:val="es-ES_tradnl"/>
              </w:rPr>
              <w:t>16%</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5</w:t>
            </w:r>
            <w:r w:rsidRPr="005A5189">
              <w:rPr>
                <w:rFonts w:ascii="Arial" w:eastAsia="Times New Roman" w:hAnsi="Arial" w:cs="Times New Roman"/>
                <w:color w:val="000000"/>
                <w:sz w:val="16"/>
                <w:szCs w:val="16"/>
                <w:lang w:val="es-ES_tradnl"/>
              </w:rPr>
              <w:t>%</w:t>
            </w:r>
          </w:p>
        </w:tc>
        <w:tc>
          <w:tcPr>
            <w:tcW w:w="1253"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11.1</w:t>
            </w:r>
            <w:r w:rsidRPr="005A5189">
              <w:rPr>
                <w:rFonts w:ascii="Arial" w:eastAsia="Times New Roman" w:hAnsi="Arial" w:cs="Times New Roman"/>
                <w:color w:val="000000"/>
                <w:sz w:val="16"/>
                <w:szCs w:val="16"/>
                <w:lang w:val="es-ES_tradnl"/>
              </w:rPr>
              <w:t>%</w:t>
            </w:r>
          </w:p>
        </w:tc>
      </w:tr>
      <w:tr w:rsidR="00A46ED3" w:rsidRPr="005A5189" w:rsidTr="009A573A">
        <w:trPr>
          <w:trHeight w:val="300"/>
        </w:trPr>
        <w:tc>
          <w:tcPr>
            <w:tcW w:w="1984" w:type="dxa"/>
            <w:shd w:val="clear" w:color="auto" w:fill="auto"/>
            <w:noWrap/>
            <w:vAlign w:val="bottom"/>
            <w:hideMark/>
          </w:tcPr>
          <w:p w:rsidR="00A46ED3" w:rsidRPr="005A5189" w:rsidRDefault="00A46ED3" w:rsidP="009A573A">
            <w:pPr>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I2 splice</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6</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0</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6</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24%</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0</w:t>
            </w:r>
          </w:p>
        </w:tc>
        <w:tc>
          <w:tcPr>
            <w:tcW w:w="1253"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13.3</w:t>
            </w:r>
            <w:r w:rsidRPr="005A5189">
              <w:rPr>
                <w:rFonts w:ascii="Arial" w:eastAsia="Times New Roman" w:hAnsi="Arial" w:cs="Times New Roman"/>
                <w:color w:val="000000"/>
                <w:sz w:val="16"/>
                <w:szCs w:val="16"/>
                <w:lang w:val="es-ES_tradnl"/>
              </w:rPr>
              <w:t>%</w:t>
            </w:r>
          </w:p>
        </w:tc>
      </w:tr>
      <w:tr w:rsidR="00A46ED3" w:rsidRPr="005A5189" w:rsidTr="009A573A">
        <w:trPr>
          <w:trHeight w:val="300"/>
        </w:trPr>
        <w:tc>
          <w:tcPr>
            <w:tcW w:w="1984" w:type="dxa"/>
            <w:shd w:val="clear" w:color="auto" w:fill="auto"/>
            <w:noWrap/>
            <w:vAlign w:val="bottom"/>
            <w:hideMark/>
          </w:tcPr>
          <w:p w:rsidR="00A46ED3" w:rsidRPr="005A5189" w:rsidRDefault="00A46ED3" w:rsidP="009A573A">
            <w:pPr>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F306+nt</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2</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0</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2</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bCs/>
                <w:color w:val="000000"/>
                <w:sz w:val="16"/>
                <w:szCs w:val="16"/>
                <w:lang w:val="es-ES_tradnl"/>
              </w:rPr>
              <w:t>8%</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0</w:t>
            </w:r>
          </w:p>
        </w:tc>
        <w:tc>
          <w:tcPr>
            <w:tcW w:w="1253"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4.</w:t>
            </w:r>
            <w:r>
              <w:rPr>
                <w:rFonts w:ascii="Arial" w:eastAsia="Times New Roman" w:hAnsi="Arial" w:cs="Times New Roman"/>
                <w:color w:val="000000"/>
                <w:sz w:val="16"/>
                <w:szCs w:val="16"/>
                <w:lang w:val="es-ES_tradnl"/>
              </w:rPr>
              <w:t>4</w:t>
            </w:r>
            <w:r w:rsidRPr="005A5189">
              <w:rPr>
                <w:rFonts w:ascii="Arial" w:eastAsia="Times New Roman" w:hAnsi="Arial" w:cs="Times New Roman"/>
                <w:color w:val="000000"/>
                <w:sz w:val="16"/>
                <w:szCs w:val="16"/>
                <w:lang w:val="es-ES_tradnl"/>
              </w:rPr>
              <w:t>%</w:t>
            </w:r>
          </w:p>
        </w:tc>
      </w:tr>
      <w:tr w:rsidR="00A46ED3" w:rsidRPr="005A5189" w:rsidTr="009A573A">
        <w:trPr>
          <w:trHeight w:val="300"/>
        </w:trPr>
        <w:tc>
          <w:tcPr>
            <w:tcW w:w="1984" w:type="dxa"/>
            <w:shd w:val="clear" w:color="auto" w:fill="auto"/>
            <w:noWrap/>
            <w:vAlign w:val="bottom"/>
            <w:hideMark/>
          </w:tcPr>
          <w:p w:rsidR="00A46ED3" w:rsidRPr="005A5189" w:rsidRDefault="00A46ED3" w:rsidP="009A573A">
            <w:pPr>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I172N</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6</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2</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8</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24%</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10</w:t>
            </w:r>
            <w:r w:rsidRPr="005A5189">
              <w:rPr>
                <w:rFonts w:ascii="Arial" w:eastAsia="Times New Roman" w:hAnsi="Arial" w:cs="Times New Roman"/>
                <w:color w:val="000000"/>
                <w:sz w:val="16"/>
                <w:szCs w:val="16"/>
                <w:lang w:val="es-ES_tradnl"/>
              </w:rPr>
              <w:t>%</w:t>
            </w:r>
          </w:p>
        </w:tc>
        <w:tc>
          <w:tcPr>
            <w:tcW w:w="1253"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17.8</w:t>
            </w:r>
            <w:r w:rsidRPr="005A5189">
              <w:rPr>
                <w:rFonts w:ascii="Arial" w:eastAsia="Times New Roman" w:hAnsi="Arial" w:cs="Times New Roman"/>
                <w:color w:val="000000"/>
                <w:sz w:val="16"/>
                <w:szCs w:val="16"/>
                <w:lang w:val="es-ES_tradnl"/>
              </w:rPr>
              <w:t>%</w:t>
            </w:r>
          </w:p>
        </w:tc>
      </w:tr>
      <w:tr w:rsidR="00A46ED3" w:rsidRPr="005A5189" w:rsidTr="009A573A">
        <w:trPr>
          <w:trHeight w:val="300"/>
        </w:trPr>
        <w:tc>
          <w:tcPr>
            <w:tcW w:w="1984" w:type="dxa"/>
            <w:shd w:val="clear" w:color="auto" w:fill="auto"/>
            <w:noWrap/>
            <w:vAlign w:val="bottom"/>
            <w:hideMark/>
          </w:tcPr>
          <w:p w:rsidR="00A46ED3" w:rsidRPr="005A5189" w:rsidRDefault="00A46ED3" w:rsidP="009A573A">
            <w:pPr>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V281L</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1</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1</w:t>
            </w:r>
            <w:r>
              <w:rPr>
                <w:rFonts w:ascii="Arial" w:eastAsia="Times New Roman" w:hAnsi="Arial" w:cs="Times New Roman"/>
                <w:color w:val="000000"/>
                <w:sz w:val="16"/>
                <w:szCs w:val="16"/>
                <w:lang w:val="es-ES_tradnl"/>
              </w:rPr>
              <w:t>6</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1</w:t>
            </w:r>
            <w:r>
              <w:rPr>
                <w:rFonts w:ascii="Arial" w:eastAsia="Times New Roman" w:hAnsi="Arial" w:cs="Times New Roman"/>
                <w:color w:val="000000"/>
                <w:sz w:val="16"/>
                <w:szCs w:val="16"/>
                <w:lang w:val="es-ES_tradnl"/>
              </w:rPr>
              <w:t>7</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4%</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80</w:t>
            </w:r>
            <w:r w:rsidRPr="005A5189">
              <w:rPr>
                <w:rFonts w:ascii="Arial" w:eastAsia="Times New Roman" w:hAnsi="Arial" w:cs="Times New Roman"/>
                <w:color w:val="000000"/>
                <w:sz w:val="16"/>
                <w:szCs w:val="16"/>
                <w:lang w:val="es-ES_tradnl"/>
              </w:rPr>
              <w:t>%</w:t>
            </w:r>
          </w:p>
        </w:tc>
        <w:tc>
          <w:tcPr>
            <w:tcW w:w="1253"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37.8</w:t>
            </w:r>
            <w:r w:rsidRPr="005A5189">
              <w:rPr>
                <w:rFonts w:ascii="Arial" w:eastAsia="Times New Roman" w:hAnsi="Arial" w:cs="Times New Roman"/>
                <w:color w:val="000000"/>
                <w:sz w:val="16"/>
                <w:szCs w:val="16"/>
                <w:lang w:val="es-ES_tradnl"/>
              </w:rPr>
              <w:t>%</w:t>
            </w:r>
          </w:p>
        </w:tc>
      </w:tr>
      <w:tr w:rsidR="00A46ED3" w:rsidRPr="005A5189" w:rsidTr="009A573A">
        <w:trPr>
          <w:trHeight w:val="300"/>
        </w:trPr>
        <w:tc>
          <w:tcPr>
            <w:tcW w:w="1984" w:type="dxa"/>
            <w:shd w:val="clear" w:color="auto" w:fill="auto"/>
            <w:noWrap/>
            <w:vAlign w:val="bottom"/>
          </w:tcPr>
          <w:p w:rsidR="00A46ED3" w:rsidRPr="005A5189" w:rsidRDefault="00A46ED3" w:rsidP="009A573A">
            <w:pPr>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Total</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25</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Pr>
                <w:rFonts w:ascii="Arial" w:eastAsia="Times New Roman" w:hAnsi="Arial" w:cs="Times New Roman"/>
                <w:color w:val="000000"/>
                <w:sz w:val="16"/>
                <w:szCs w:val="16"/>
                <w:lang w:val="es-ES_tradnl"/>
              </w:rPr>
              <w:t>20</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4</w:t>
            </w:r>
            <w:r>
              <w:rPr>
                <w:rFonts w:ascii="Arial" w:eastAsia="Times New Roman" w:hAnsi="Arial" w:cs="Times New Roman"/>
                <w:color w:val="000000"/>
                <w:sz w:val="16"/>
                <w:szCs w:val="16"/>
                <w:lang w:val="es-ES_tradnl"/>
              </w:rPr>
              <w:t>5</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100%</w:t>
            </w:r>
          </w:p>
        </w:tc>
        <w:tc>
          <w:tcPr>
            <w:tcW w:w="1252"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100%</w:t>
            </w:r>
          </w:p>
        </w:tc>
        <w:tc>
          <w:tcPr>
            <w:tcW w:w="1253" w:type="dxa"/>
            <w:shd w:val="clear" w:color="auto" w:fill="auto"/>
            <w:noWrap/>
            <w:vAlign w:val="bottom"/>
          </w:tcPr>
          <w:p w:rsidR="00A46ED3" w:rsidRPr="005A5189" w:rsidRDefault="00A46ED3" w:rsidP="009A573A">
            <w:pPr>
              <w:ind w:left="250"/>
              <w:jc w:val="center"/>
              <w:rPr>
                <w:rFonts w:ascii="Arial" w:eastAsia="Times New Roman" w:hAnsi="Arial" w:cs="Times New Roman"/>
                <w:color w:val="000000"/>
                <w:sz w:val="16"/>
                <w:szCs w:val="16"/>
                <w:lang w:val="es-ES_tradnl"/>
              </w:rPr>
            </w:pPr>
            <w:r w:rsidRPr="005A5189">
              <w:rPr>
                <w:rFonts w:ascii="Arial" w:eastAsia="Times New Roman" w:hAnsi="Arial" w:cs="Times New Roman"/>
                <w:color w:val="000000"/>
                <w:sz w:val="16"/>
                <w:szCs w:val="16"/>
                <w:lang w:val="es-ES_tradnl"/>
              </w:rPr>
              <w:t>100%</w:t>
            </w:r>
          </w:p>
        </w:tc>
      </w:tr>
    </w:tbl>
    <w:p w:rsidR="00A46ED3" w:rsidRPr="004D35D0" w:rsidRDefault="00931F35" w:rsidP="00A46ED3">
      <w:pPr>
        <w:rPr>
          <w:sz w:val="18"/>
          <w:lang w:val="es-ES_tradnl"/>
        </w:rPr>
      </w:pPr>
      <w:r w:rsidRPr="004D35D0">
        <w:rPr>
          <w:rFonts w:ascii="Arial" w:hAnsi="Arial" w:cs="Arial"/>
          <w:sz w:val="18"/>
          <w:lang w:val="es-ES_tradnl"/>
        </w:rPr>
        <w:t>NC - forma não clássica.</w:t>
      </w:r>
    </w:p>
    <w:p w:rsidR="00A46ED3" w:rsidRPr="005A5189" w:rsidRDefault="007347C7" w:rsidP="007347C7">
      <w:pPr>
        <w:tabs>
          <w:tab w:val="left" w:pos="11248"/>
        </w:tabs>
        <w:rPr>
          <w:lang w:val="es-ES_tradnl"/>
        </w:rPr>
      </w:pPr>
      <w:r>
        <w:rPr>
          <w:lang w:val="es-ES_tradnl"/>
        </w:rPr>
        <w:tab/>
      </w:r>
    </w:p>
    <w:p w:rsidR="00A46ED3" w:rsidRPr="005A5189" w:rsidRDefault="00A46ED3" w:rsidP="00A46ED3">
      <w:pPr>
        <w:rPr>
          <w:lang w:val="es-ES_tradnl"/>
        </w:rPr>
      </w:pPr>
    </w:p>
    <w:p w:rsidR="00A46ED3" w:rsidRPr="005A5189" w:rsidRDefault="00A46ED3" w:rsidP="00A46ED3">
      <w:pPr>
        <w:rPr>
          <w:lang w:val="es-ES_tradnl"/>
        </w:rPr>
      </w:pPr>
    </w:p>
    <w:p w:rsidR="00A46ED3" w:rsidRPr="005A5189" w:rsidRDefault="00A46ED3" w:rsidP="00A46ED3">
      <w:pPr>
        <w:rPr>
          <w:lang w:val="es-ES_tradnl"/>
        </w:rPr>
      </w:pPr>
    </w:p>
    <w:p w:rsidR="00A46ED3" w:rsidRPr="005A5189" w:rsidRDefault="00A46ED3" w:rsidP="00A46ED3">
      <w:pPr>
        <w:rPr>
          <w:lang w:val="es-ES_tradnl"/>
        </w:rPr>
      </w:pPr>
    </w:p>
    <w:p w:rsidR="00A46ED3" w:rsidRPr="005A5189" w:rsidRDefault="00A46ED3" w:rsidP="00A46ED3">
      <w:pPr>
        <w:rPr>
          <w:lang w:val="es-ES_tradnl"/>
        </w:rPr>
      </w:pPr>
    </w:p>
    <w:p w:rsidR="00A46ED3" w:rsidRPr="005A5189" w:rsidRDefault="00A46ED3" w:rsidP="00A46ED3">
      <w:pPr>
        <w:rPr>
          <w:lang w:val="es-ES_tradnl"/>
        </w:rPr>
      </w:pPr>
    </w:p>
    <w:p w:rsidR="004D35D0" w:rsidRDefault="004D35D0">
      <w:pPr>
        <w:rPr>
          <w:rFonts w:ascii="Arial" w:hAnsi="Arial" w:cs="Arial"/>
          <w:b/>
          <w:lang w:val="es-ES_tradnl"/>
        </w:rPr>
      </w:pPr>
      <w:r>
        <w:rPr>
          <w:rFonts w:ascii="Arial" w:hAnsi="Arial" w:cs="Arial"/>
          <w:b/>
          <w:lang w:val="es-ES_tradnl"/>
        </w:rPr>
        <w:br w:type="page"/>
      </w:r>
    </w:p>
    <w:p w:rsidR="001B744D" w:rsidRDefault="00A46ED3" w:rsidP="00EB05CF">
      <w:pPr>
        <w:spacing w:line="360" w:lineRule="auto"/>
        <w:ind w:left="142"/>
        <w:jc w:val="both"/>
        <w:rPr>
          <w:sz w:val="20"/>
          <w:lang w:val="es-ES_tradnl"/>
        </w:rPr>
      </w:pPr>
      <w:r w:rsidRPr="00924B4A">
        <w:rPr>
          <w:rFonts w:ascii="Arial" w:hAnsi="Arial" w:cs="Arial"/>
          <w:b/>
          <w:sz w:val="20"/>
          <w:lang w:val="es-ES_tradnl"/>
        </w:rPr>
        <w:t>Tab</w:t>
      </w:r>
      <w:r w:rsidR="00681D68" w:rsidRPr="00924B4A">
        <w:rPr>
          <w:rFonts w:ascii="Arial" w:hAnsi="Arial" w:cs="Arial"/>
          <w:b/>
          <w:sz w:val="20"/>
          <w:lang w:val="es-ES_tradnl"/>
        </w:rPr>
        <w:t>e</w:t>
      </w:r>
      <w:r w:rsidRPr="00924B4A">
        <w:rPr>
          <w:rFonts w:ascii="Arial" w:hAnsi="Arial" w:cs="Arial"/>
          <w:b/>
          <w:sz w:val="20"/>
          <w:lang w:val="es-ES_tradnl"/>
        </w:rPr>
        <w:t>la 3</w:t>
      </w:r>
      <w:r w:rsidRPr="00924B4A">
        <w:rPr>
          <w:rFonts w:ascii="Arial" w:hAnsi="Arial" w:cs="Arial"/>
          <w:sz w:val="20"/>
          <w:lang w:val="es-ES_tradnl"/>
        </w:rPr>
        <w:t xml:space="preserve">: </w:t>
      </w:r>
      <w:r w:rsidR="00681D68" w:rsidRPr="00924B4A">
        <w:rPr>
          <w:rFonts w:ascii="Arial" w:hAnsi="Arial" w:cs="Arial"/>
          <w:sz w:val="20"/>
          <w:lang w:val="es-ES_tradnl"/>
        </w:rPr>
        <w:t>Genótipos agrupados de acor</w:t>
      </w:r>
      <w:r w:rsidRPr="00924B4A">
        <w:rPr>
          <w:rFonts w:ascii="Arial" w:hAnsi="Arial" w:cs="Arial"/>
          <w:sz w:val="20"/>
          <w:lang w:val="es-ES_tradnl"/>
        </w:rPr>
        <w:t>do co</w:t>
      </w:r>
      <w:r w:rsidR="00681D68" w:rsidRPr="00924B4A">
        <w:rPr>
          <w:rFonts w:ascii="Arial" w:hAnsi="Arial" w:cs="Arial"/>
          <w:sz w:val="20"/>
          <w:lang w:val="es-ES_tradnl"/>
        </w:rPr>
        <w:t>m a</w:t>
      </w:r>
      <w:r w:rsidRPr="00924B4A">
        <w:rPr>
          <w:rFonts w:ascii="Arial" w:hAnsi="Arial" w:cs="Arial"/>
          <w:sz w:val="20"/>
          <w:lang w:val="es-ES_tradnl"/>
        </w:rPr>
        <w:t xml:space="preserve"> </w:t>
      </w:r>
      <w:r w:rsidR="00681D68" w:rsidRPr="00924B4A">
        <w:rPr>
          <w:rFonts w:ascii="Arial" w:hAnsi="Arial" w:cs="Arial"/>
          <w:sz w:val="20"/>
          <w:lang w:val="es-ES_tradnl"/>
        </w:rPr>
        <w:t>gravi</w:t>
      </w:r>
      <w:r w:rsidRPr="00924B4A">
        <w:rPr>
          <w:rFonts w:ascii="Arial" w:hAnsi="Arial" w:cs="Arial"/>
          <w:sz w:val="20"/>
          <w:lang w:val="es-ES_tradnl"/>
        </w:rPr>
        <w:t>dad</w:t>
      </w:r>
      <w:r w:rsidR="00681D68" w:rsidRPr="00924B4A">
        <w:rPr>
          <w:rFonts w:ascii="Arial" w:hAnsi="Arial" w:cs="Arial"/>
          <w:sz w:val="20"/>
          <w:lang w:val="es-ES_tradnl"/>
        </w:rPr>
        <w:t>e</w:t>
      </w:r>
      <w:r w:rsidRPr="00924B4A">
        <w:rPr>
          <w:rFonts w:ascii="Arial" w:hAnsi="Arial" w:cs="Arial"/>
          <w:sz w:val="20"/>
          <w:lang w:val="es-ES_tradnl"/>
        </w:rPr>
        <w:t xml:space="preserve"> esperada </w:t>
      </w:r>
      <w:r w:rsidR="00681D68" w:rsidRPr="00924B4A">
        <w:rPr>
          <w:rFonts w:ascii="Arial" w:hAnsi="Arial" w:cs="Arial"/>
          <w:sz w:val="20"/>
          <w:lang w:val="es-ES_tradnl"/>
        </w:rPr>
        <w:t>das mutações envolvidas e correlação com o respetivo fenótipo</w:t>
      </w:r>
      <w:r w:rsidR="00387B23" w:rsidRPr="00924B4A">
        <w:rPr>
          <w:rFonts w:ascii="Arial" w:hAnsi="Arial" w:cs="Arial"/>
          <w:sz w:val="20"/>
          <w:lang w:val="es-ES_tradnl"/>
        </w:rPr>
        <w:t>.</w:t>
      </w:r>
      <w:r w:rsidR="00681D68" w:rsidRPr="00924B4A">
        <w:rPr>
          <w:rFonts w:ascii="Arial" w:hAnsi="Arial" w:cs="Arial"/>
          <w:sz w:val="20"/>
          <w:lang w:val="es-ES_tradnl"/>
        </w:rPr>
        <w:t xml:space="preserve"> </w:t>
      </w:r>
    </w:p>
    <w:p w:rsidR="00A46ED3" w:rsidRPr="005A5189" w:rsidRDefault="00A46ED3" w:rsidP="00A46ED3">
      <w:pPr>
        <w:rPr>
          <w:lang w:val="es-ES_tradnl"/>
        </w:rPr>
      </w:pPr>
    </w:p>
    <w:tbl>
      <w:tblPr>
        <w:tblpPr w:leftFromText="180" w:rightFromText="180" w:vertAnchor="text" w:horzAnchor="page" w:tblpX="1667" w:tblpY="-83"/>
        <w:tblOverlap w:val="never"/>
        <w:tblW w:w="9782" w:type="dxa"/>
        <w:tblBorders>
          <w:top w:val="single" w:sz="4" w:space="0" w:color="auto"/>
          <w:insideH w:val="single" w:sz="4" w:space="0" w:color="auto"/>
          <w:insideV w:val="single" w:sz="4" w:space="0" w:color="auto"/>
        </w:tblBorders>
        <w:tblLayout w:type="fixed"/>
        <w:tblLook w:val="04A0"/>
      </w:tblPr>
      <w:tblGrid>
        <w:gridCol w:w="1308"/>
        <w:gridCol w:w="1979"/>
        <w:gridCol w:w="932"/>
        <w:gridCol w:w="907"/>
        <w:gridCol w:w="908"/>
        <w:gridCol w:w="908"/>
        <w:gridCol w:w="1237"/>
        <w:gridCol w:w="1603"/>
      </w:tblGrid>
      <w:tr w:rsidR="00E734B6" w:rsidRPr="00D16264" w:rsidTr="00794C84">
        <w:trPr>
          <w:trHeight w:val="111"/>
        </w:trPr>
        <w:tc>
          <w:tcPr>
            <w:tcW w:w="1308" w:type="dxa"/>
            <w:vMerge w:val="restart"/>
            <w:tcBorders>
              <w:left w:val="single" w:sz="4" w:space="0" w:color="auto"/>
            </w:tcBorders>
            <w:shd w:val="clear" w:color="auto" w:fill="auto"/>
            <w:noWrap/>
            <w:vAlign w:val="center"/>
            <w:hideMark/>
          </w:tcPr>
          <w:p w:rsidR="005E23BB" w:rsidRPr="0055710D" w:rsidRDefault="005E23BB" w:rsidP="00884973">
            <w:pPr>
              <w:ind w:hanging="284"/>
              <w:jc w:val="center"/>
              <w:rPr>
                <w:rFonts w:ascii="Arial" w:eastAsia="Times New Roman" w:hAnsi="Arial" w:cs="Arial"/>
                <w:b/>
                <w:bCs/>
                <w:color w:val="000000"/>
                <w:sz w:val="16"/>
                <w:szCs w:val="16"/>
                <w:lang w:val="es-ES_tradnl"/>
              </w:rPr>
            </w:pPr>
            <w:r w:rsidRPr="0055710D">
              <w:rPr>
                <w:rFonts w:ascii="Arial" w:eastAsia="Times New Roman" w:hAnsi="Arial" w:cs="Arial"/>
                <w:b/>
                <w:bCs/>
                <w:color w:val="000000"/>
                <w:sz w:val="16"/>
                <w:szCs w:val="16"/>
                <w:lang w:val="es-ES_tradnl"/>
              </w:rPr>
              <w:t>Grupo</w:t>
            </w:r>
          </w:p>
          <w:p w:rsidR="005E23BB" w:rsidRPr="0055710D" w:rsidRDefault="005E23BB" w:rsidP="00884973">
            <w:pPr>
              <w:ind w:hanging="284"/>
              <w:jc w:val="center"/>
              <w:rPr>
                <w:rFonts w:ascii="Arial" w:eastAsia="Times New Roman" w:hAnsi="Arial" w:cs="Arial"/>
                <w:b/>
                <w:bCs/>
                <w:color w:val="000000"/>
                <w:sz w:val="16"/>
                <w:szCs w:val="16"/>
                <w:lang w:val="es-ES_tradnl"/>
              </w:rPr>
            </w:pPr>
          </w:p>
        </w:tc>
        <w:tc>
          <w:tcPr>
            <w:tcW w:w="1979" w:type="dxa"/>
            <w:vMerge w:val="restart"/>
            <w:shd w:val="clear" w:color="auto" w:fill="auto"/>
            <w:noWrap/>
            <w:vAlign w:val="center"/>
            <w:hideMark/>
          </w:tcPr>
          <w:p w:rsidR="005E23BB" w:rsidRPr="0055710D" w:rsidRDefault="004D35D0" w:rsidP="00884973">
            <w:pPr>
              <w:ind w:left="250" w:hanging="284"/>
              <w:jc w:val="center"/>
              <w:rPr>
                <w:rFonts w:ascii="Arial" w:eastAsia="Times New Roman" w:hAnsi="Arial" w:cs="Arial"/>
                <w:b/>
                <w:bCs/>
                <w:sz w:val="16"/>
                <w:szCs w:val="16"/>
                <w:lang w:val="es-ES_tradnl"/>
              </w:rPr>
            </w:pPr>
            <w:r w:rsidRPr="0055710D">
              <w:rPr>
                <w:rFonts w:ascii="Arial" w:eastAsia="Times New Roman" w:hAnsi="Arial" w:cs="Arial"/>
                <w:b/>
                <w:bCs/>
                <w:sz w:val="16"/>
                <w:szCs w:val="16"/>
                <w:lang w:val="es-ES_tradnl"/>
              </w:rPr>
              <w:t>Genó</w:t>
            </w:r>
            <w:r w:rsidR="005E23BB" w:rsidRPr="0055710D">
              <w:rPr>
                <w:rFonts w:ascii="Arial" w:eastAsia="Times New Roman" w:hAnsi="Arial" w:cs="Arial"/>
                <w:b/>
                <w:bCs/>
                <w:sz w:val="16"/>
                <w:szCs w:val="16"/>
                <w:lang w:val="es-ES_tradnl"/>
              </w:rPr>
              <w:t>tipo</w:t>
            </w:r>
          </w:p>
          <w:p w:rsidR="005E23BB" w:rsidRPr="0055710D" w:rsidRDefault="005E23BB" w:rsidP="00884973">
            <w:pPr>
              <w:ind w:left="250" w:hanging="284"/>
              <w:jc w:val="center"/>
              <w:rPr>
                <w:rFonts w:ascii="Arial" w:eastAsia="Times New Roman" w:hAnsi="Arial" w:cs="Arial"/>
                <w:b/>
                <w:bCs/>
                <w:sz w:val="16"/>
                <w:szCs w:val="16"/>
                <w:lang w:val="es-ES_tradnl"/>
              </w:rPr>
            </w:pPr>
          </w:p>
        </w:tc>
        <w:tc>
          <w:tcPr>
            <w:tcW w:w="932" w:type="dxa"/>
            <w:vMerge w:val="restart"/>
            <w:vAlign w:val="center"/>
          </w:tcPr>
          <w:p w:rsidR="005E23BB" w:rsidRPr="0055710D" w:rsidRDefault="005E23BB" w:rsidP="004D35D0">
            <w:pPr>
              <w:ind w:left="34" w:hanging="34"/>
              <w:jc w:val="center"/>
              <w:rPr>
                <w:rFonts w:ascii="Arial" w:eastAsia="Times New Roman" w:hAnsi="Arial" w:cs="Arial"/>
                <w:b/>
                <w:bCs/>
                <w:sz w:val="16"/>
                <w:szCs w:val="16"/>
                <w:lang w:val="es-ES_tradnl"/>
              </w:rPr>
            </w:pPr>
            <w:r w:rsidRPr="0055710D">
              <w:rPr>
                <w:rFonts w:ascii="Arial" w:eastAsia="Times New Roman" w:hAnsi="Arial" w:cs="Arial"/>
                <w:b/>
                <w:bCs/>
                <w:sz w:val="16"/>
                <w:szCs w:val="16"/>
                <w:lang w:val="es-ES_tradnl"/>
              </w:rPr>
              <w:t xml:space="preserve">Nº de </w:t>
            </w:r>
            <w:r w:rsidR="004D35D0" w:rsidRPr="0055710D">
              <w:rPr>
                <w:rFonts w:ascii="Arial" w:eastAsia="Times New Roman" w:hAnsi="Arial" w:cs="Arial"/>
                <w:b/>
                <w:bCs/>
                <w:sz w:val="16"/>
                <w:szCs w:val="16"/>
                <w:lang w:val="es-ES_tradnl"/>
              </w:rPr>
              <w:t>doentes</w:t>
            </w:r>
          </w:p>
        </w:tc>
        <w:tc>
          <w:tcPr>
            <w:tcW w:w="2723" w:type="dxa"/>
            <w:gridSpan w:val="3"/>
            <w:vAlign w:val="center"/>
          </w:tcPr>
          <w:p w:rsidR="005E23BB" w:rsidRPr="0055710D" w:rsidRDefault="005E23BB" w:rsidP="00884973">
            <w:pPr>
              <w:ind w:hanging="284"/>
              <w:jc w:val="center"/>
              <w:rPr>
                <w:rFonts w:ascii="Arial" w:eastAsia="Times New Roman" w:hAnsi="Arial" w:cs="Arial"/>
                <w:b/>
                <w:bCs/>
                <w:color w:val="000000"/>
                <w:sz w:val="16"/>
                <w:szCs w:val="16"/>
                <w:lang w:val="es-ES_tradnl"/>
              </w:rPr>
            </w:pPr>
            <w:r w:rsidRPr="0055710D">
              <w:rPr>
                <w:rFonts w:ascii="Arial" w:eastAsia="Times New Roman" w:hAnsi="Arial" w:cs="Arial"/>
                <w:b/>
                <w:bCs/>
                <w:color w:val="000000"/>
                <w:sz w:val="16"/>
                <w:szCs w:val="16"/>
                <w:lang w:val="es-ES_tradnl"/>
              </w:rPr>
              <w:t>Fe</w:t>
            </w:r>
            <w:r w:rsidR="004D35D0" w:rsidRPr="0055710D">
              <w:rPr>
                <w:rFonts w:ascii="Arial" w:eastAsia="Times New Roman" w:hAnsi="Arial" w:cs="Arial"/>
                <w:b/>
                <w:bCs/>
                <w:color w:val="000000"/>
                <w:sz w:val="16"/>
                <w:szCs w:val="16"/>
                <w:lang w:val="es-ES_tradnl"/>
              </w:rPr>
              <w:t>nó</w:t>
            </w:r>
            <w:r w:rsidRPr="0055710D">
              <w:rPr>
                <w:rFonts w:ascii="Arial" w:eastAsia="Times New Roman" w:hAnsi="Arial" w:cs="Arial"/>
                <w:b/>
                <w:bCs/>
                <w:color w:val="000000"/>
                <w:sz w:val="16"/>
                <w:szCs w:val="16"/>
                <w:lang w:val="es-ES_tradnl"/>
              </w:rPr>
              <w:t>tipo observado</w:t>
            </w:r>
          </w:p>
        </w:tc>
        <w:tc>
          <w:tcPr>
            <w:tcW w:w="1237" w:type="dxa"/>
            <w:tcBorders>
              <w:bottom w:val="nil"/>
            </w:tcBorders>
            <w:vAlign w:val="center"/>
          </w:tcPr>
          <w:p w:rsidR="005E23BB" w:rsidRPr="0055710D" w:rsidRDefault="005E23BB" w:rsidP="00884973">
            <w:pPr>
              <w:ind w:hanging="284"/>
              <w:jc w:val="center"/>
              <w:rPr>
                <w:rFonts w:ascii="Arial" w:eastAsia="Times New Roman" w:hAnsi="Arial" w:cs="Arial"/>
                <w:b/>
                <w:bCs/>
                <w:color w:val="000000"/>
                <w:sz w:val="16"/>
                <w:szCs w:val="16"/>
                <w:lang w:val="es-ES_tradnl"/>
              </w:rPr>
            </w:pPr>
          </w:p>
          <w:p w:rsidR="005E23BB" w:rsidRPr="0055710D" w:rsidRDefault="003876CA" w:rsidP="00884973">
            <w:pPr>
              <w:jc w:val="center"/>
              <w:rPr>
                <w:rFonts w:ascii="Arial" w:eastAsia="Times New Roman" w:hAnsi="Arial" w:cs="Arial"/>
                <w:b/>
                <w:bCs/>
                <w:color w:val="000000"/>
                <w:sz w:val="16"/>
                <w:szCs w:val="16"/>
                <w:lang w:val="es-ES_tradnl"/>
              </w:rPr>
            </w:pPr>
            <w:r w:rsidRPr="0055710D">
              <w:rPr>
                <w:rFonts w:ascii="Arial" w:eastAsia="Times New Roman" w:hAnsi="Arial" w:cs="Arial"/>
                <w:b/>
                <w:bCs/>
                <w:color w:val="000000"/>
                <w:sz w:val="16"/>
                <w:szCs w:val="16"/>
                <w:lang w:val="es-ES_tradnl"/>
              </w:rPr>
              <w:t>Fenó</w:t>
            </w:r>
            <w:r w:rsidR="005E23BB" w:rsidRPr="0055710D">
              <w:rPr>
                <w:rFonts w:ascii="Arial" w:eastAsia="Times New Roman" w:hAnsi="Arial" w:cs="Arial"/>
                <w:b/>
                <w:bCs/>
                <w:color w:val="000000"/>
                <w:sz w:val="16"/>
                <w:szCs w:val="16"/>
                <w:lang w:val="es-ES_tradnl"/>
              </w:rPr>
              <w:t>tipo esperado</w:t>
            </w:r>
          </w:p>
        </w:tc>
        <w:tc>
          <w:tcPr>
            <w:tcW w:w="1603" w:type="dxa"/>
            <w:tcBorders>
              <w:bottom w:val="nil"/>
              <w:right w:val="single" w:sz="4" w:space="0" w:color="auto"/>
            </w:tcBorders>
            <w:vAlign w:val="center"/>
          </w:tcPr>
          <w:p w:rsidR="005E23BB" w:rsidRPr="0055710D" w:rsidRDefault="005E23BB" w:rsidP="00884973">
            <w:pPr>
              <w:ind w:hanging="284"/>
              <w:jc w:val="center"/>
              <w:rPr>
                <w:rFonts w:ascii="Arial" w:eastAsia="Times New Roman" w:hAnsi="Arial" w:cs="Arial"/>
                <w:b/>
                <w:bCs/>
                <w:color w:val="000000"/>
                <w:sz w:val="16"/>
                <w:szCs w:val="16"/>
                <w:lang w:val="es-ES_tradnl"/>
              </w:rPr>
            </w:pPr>
          </w:p>
          <w:p w:rsidR="005E23BB" w:rsidRPr="0055710D" w:rsidRDefault="003876CA" w:rsidP="00884973">
            <w:pPr>
              <w:ind w:left="142" w:hanging="284"/>
              <w:jc w:val="center"/>
              <w:rPr>
                <w:rFonts w:ascii="Arial" w:eastAsia="Times New Roman" w:hAnsi="Arial" w:cs="Arial"/>
                <w:b/>
                <w:bCs/>
                <w:color w:val="000000"/>
                <w:sz w:val="16"/>
                <w:szCs w:val="16"/>
                <w:lang w:val="es-ES_tradnl"/>
              </w:rPr>
            </w:pPr>
            <w:r w:rsidRPr="0055710D">
              <w:rPr>
                <w:rFonts w:ascii="Arial" w:eastAsia="Times New Roman" w:hAnsi="Arial" w:cs="Arial"/>
                <w:b/>
                <w:bCs/>
                <w:color w:val="000000"/>
                <w:sz w:val="16"/>
                <w:szCs w:val="16"/>
                <w:lang w:val="es-ES_tradnl"/>
              </w:rPr>
              <w:t>Correlação</w:t>
            </w:r>
          </w:p>
          <w:p w:rsidR="005E23BB" w:rsidRPr="0055710D" w:rsidRDefault="003876CA" w:rsidP="0015265C">
            <w:pPr>
              <w:ind w:left="142" w:hanging="284"/>
              <w:jc w:val="right"/>
              <w:rPr>
                <w:rFonts w:ascii="Arial" w:eastAsia="Times New Roman" w:hAnsi="Arial" w:cs="Arial"/>
                <w:b/>
                <w:bCs/>
                <w:color w:val="000000"/>
                <w:sz w:val="16"/>
                <w:szCs w:val="16"/>
                <w:lang w:val="es-ES_tradnl"/>
              </w:rPr>
            </w:pPr>
            <w:r w:rsidRPr="0055710D">
              <w:rPr>
                <w:rFonts w:ascii="Arial" w:eastAsia="Times New Roman" w:hAnsi="Arial" w:cs="Arial"/>
                <w:b/>
                <w:bCs/>
                <w:color w:val="000000"/>
                <w:sz w:val="16"/>
                <w:szCs w:val="16"/>
                <w:lang w:val="es-ES_tradnl"/>
              </w:rPr>
              <w:t>Genótipo-fenó</w:t>
            </w:r>
            <w:r w:rsidR="005E23BB" w:rsidRPr="0055710D">
              <w:rPr>
                <w:rFonts w:ascii="Arial" w:eastAsia="Times New Roman" w:hAnsi="Arial" w:cs="Arial"/>
                <w:b/>
                <w:bCs/>
                <w:color w:val="000000"/>
                <w:sz w:val="16"/>
                <w:szCs w:val="16"/>
                <w:lang w:val="es-ES_tradnl"/>
              </w:rPr>
              <w:t>tipo</w:t>
            </w:r>
          </w:p>
        </w:tc>
      </w:tr>
      <w:tr w:rsidR="00E734B6" w:rsidRPr="00D16264" w:rsidTr="00794C84">
        <w:trPr>
          <w:trHeight w:val="356"/>
        </w:trPr>
        <w:tc>
          <w:tcPr>
            <w:tcW w:w="1308" w:type="dxa"/>
            <w:vMerge/>
            <w:tcBorders>
              <w:left w:val="single" w:sz="4" w:space="0" w:color="auto"/>
              <w:bottom w:val="single" w:sz="4" w:space="0" w:color="auto"/>
            </w:tcBorders>
            <w:shd w:val="clear" w:color="auto" w:fill="auto"/>
            <w:noWrap/>
            <w:vAlign w:val="bottom"/>
          </w:tcPr>
          <w:p w:rsidR="005E23BB" w:rsidRPr="0055710D" w:rsidRDefault="005E23BB" w:rsidP="00884973">
            <w:pPr>
              <w:ind w:hanging="284"/>
              <w:rPr>
                <w:rFonts w:ascii="Arial" w:eastAsia="Times New Roman" w:hAnsi="Arial" w:cs="Arial"/>
                <w:b/>
                <w:bCs/>
                <w:color w:val="000000"/>
                <w:sz w:val="16"/>
                <w:szCs w:val="16"/>
                <w:lang w:val="es-ES_tradnl"/>
              </w:rPr>
            </w:pPr>
          </w:p>
        </w:tc>
        <w:tc>
          <w:tcPr>
            <w:tcW w:w="1979" w:type="dxa"/>
            <w:vMerge/>
            <w:tcBorders>
              <w:bottom w:val="single" w:sz="4" w:space="0" w:color="auto"/>
            </w:tcBorders>
            <w:shd w:val="clear" w:color="auto" w:fill="auto"/>
            <w:noWrap/>
            <w:vAlign w:val="bottom"/>
          </w:tcPr>
          <w:p w:rsidR="005E23BB" w:rsidRPr="0055710D" w:rsidRDefault="005E23BB" w:rsidP="00884973">
            <w:pPr>
              <w:ind w:left="250" w:hanging="284"/>
              <w:rPr>
                <w:rFonts w:ascii="Arial" w:eastAsia="Times New Roman" w:hAnsi="Arial" w:cs="Arial"/>
                <w:b/>
                <w:bCs/>
                <w:sz w:val="16"/>
                <w:szCs w:val="16"/>
                <w:lang w:val="es-ES_tradnl"/>
              </w:rPr>
            </w:pPr>
          </w:p>
        </w:tc>
        <w:tc>
          <w:tcPr>
            <w:tcW w:w="932" w:type="dxa"/>
            <w:vMerge/>
            <w:tcBorders>
              <w:bottom w:val="single" w:sz="4" w:space="0" w:color="auto"/>
            </w:tcBorders>
            <w:vAlign w:val="bottom"/>
          </w:tcPr>
          <w:p w:rsidR="005E23BB" w:rsidRPr="0055710D" w:rsidRDefault="005E23BB" w:rsidP="00884973">
            <w:pPr>
              <w:ind w:left="34" w:hanging="284"/>
              <w:rPr>
                <w:rFonts w:ascii="Arial" w:eastAsia="Times New Roman" w:hAnsi="Arial" w:cs="Arial"/>
                <w:b/>
                <w:bCs/>
                <w:sz w:val="16"/>
                <w:szCs w:val="16"/>
                <w:lang w:val="es-ES_tradnl"/>
              </w:rPr>
            </w:pPr>
          </w:p>
        </w:tc>
        <w:tc>
          <w:tcPr>
            <w:tcW w:w="907" w:type="dxa"/>
            <w:tcBorders>
              <w:bottom w:val="single" w:sz="4" w:space="0" w:color="auto"/>
            </w:tcBorders>
          </w:tcPr>
          <w:p w:rsidR="005E23BB" w:rsidRPr="0055710D" w:rsidRDefault="005E23BB" w:rsidP="00884973">
            <w:pPr>
              <w:ind w:hanging="284"/>
              <w:jc w:val="center"/>
              <w:rPr>
                <w:rFonts w:ascii="Arial" w:eastAsia="Times New Roman" w:hAnsi="Arial" w:cs="Arial"/>
                <w:b/>
                <w:bCs/>
                <w:color w:val="000000"/>
                <w:sz w:val="16"/>
                <w:szCs w:val="16"/>
                <w:lang w:val="es-ES_tradnl"/>
              </w:rPr>
            </w:pPr>
          </w:p>
          <w:p w:rsidR="005E23BB" w:rsidRPr="0055710D" w:rsidRDefault="00D16264" w:rsidP="00884973">
            <w:pPr>
              <w:ind w:left="709" w:hanging="710"/>
              <w:jc w:val="center"/>
              <w:rPr>
                <w:rFonts w:ascii="Arial" w:eastAsia="Times New Roman" w:hAnsi="Arial" w:cs="Arial"/>
                <w:b/>
                <w:bCs/>
                <w:color w:val="000000"/>
                <w:sz w:val="16"/>
                <w:szCs w:val="16"/>
                <w:lang w:val="es-ES_tradnl"/>
              </w:rPr>
            </w:pPr>
            <w:r w:rsidRPr="0055710D">
              <w:rPr>
                <w:rFonts w:ascii="Arial" w:eastAsia="Times New Roman" w:hAnsi="Arial" w:cs="Arial"/>
                <w:b/>
                <w:bCs/>
                <w:color w:val="000000"/>
                <w:sz w:val="16"/>
                <w:szCs w:val="16"/>
                <w:lang w:val="es-ES_tradnl"/>
              </w:rPr>
              <w:t>C</w:t>
            </w:r>
            <w:r w:rsidR="005E23BB" w:rsidRPr="0055710D">
              <w:rPr>
                <w:rFonts w:ascii="Arial" w:eastAsia="Times New Roman" w:hAnsi="Arial" w:cs="Arial"/>
                <w:b/>
                <w:bCs/>
                <w:color w:val="000000"/>
                <w:sz w:val="16"/>
                <w:szCs w:val="16"/>
                <w:lang w:val="es-ES_tradnl"/>
              </w:rPr>
              <w:t>PS</w:t>
            </w:r>
          </w:p>
        </w:tc>
        <w:tc>
          <w:tcPr>
            <w:tcW w:w="908" w:type="dxa"/>
            <w:tcBorders>
              <w:bottom w:val="single" w:sz="4" w:space="0" w:color="auto"/>
            </w:tcBorders>
          </w:tcPr>
          <w:p w:rsidR="005E23BB" w:rsidRPr="0055710D" w:rsidRDefault="005E23BB" w:rsidP="00884973">
            <w:pPr>
              <w:ind w:hanging="284"/>
              <w:jc w:val="center"/>
              <w:rPr>
                <w:rFonts w:ascii="Arial" w:eastAsia="Times New Roman" w:hAnsi="Arial" w:cs="Arial"/>
                <w:b/>
                <w:bCs/>
                <w:color w:val="000000"/>
                <w:sz w:val="16"/>
                <w:szCs w:val="16"/>
                <w:lang w:val="es-ES_tradnl"/>
              </w:rPr>
            </w:pPr>
          </w:p>
          <w:p w:rsidR="005E23BB" w:rsidRPr="0055710D" w:rsidRDefault="00D16264" w:rsidP="00884973">
            <w:pPr>
              <w:jc w:val="center"/>
              <w:rPr>
                <w:rFonts w:ascii="Arial" w:eastAsia="Times New Roman" w:hAnsi="Arial" w:cs="Arial"/>
                <w:b/>
                <w:bCs/>
                <w:color w:val="000000"/>
                <w:sz w:val="16"/>
                <w:szCs w:val="16"/>
                <w:lang w:val="es-ES_tradnl"/>
              </w:rPr>
            </w:pPr>
            <w:r w:rsidRPr="0055710D">
              <w:rPr>
                <w:rFonts w:ascii="Arial" w:eastAsia="Times New Roman" w:hAnsi="Arial" w:cs="Arial"/>
                <w:b/>
                <w:bCs/>
                <w:color w:val="000000"/>
                <w:sz w:val="16"/>
                <w:szCs w:val="16"/>
                <w:lang w:val="es-ES_tradnl"/>
              </w:rPr>
              <w:t>C</w:t>
            </w:r>
            <w:r w:rsidR="005E23BB" w:rsidRPr="0055710D">
              <w:rPr>
                <w:rFonts w:ascii="Arial" w:eastAsia="Times New Roman" w:hAnsi="Arial" w:cs="Arial"/>
                <w:b/>
                <w:bCs/>
                <w:color w:val="000000"/>
                <w:sz w:val="16"/>
                <w:szCs w:val="16"/>
                <w:lang w:val="es-ES_tradnl"/>
              </w:rPr>
              <w:t>VS</w:t>
            </w:r>
          </w:p>
        </w:tc>
        <w:tc>
          <w:tcPr>
            <w:tcW w:w="908" w:type="dxa"/>
            <w:tcBorders>
              <w:bottom w:val="single" w:sz="4" w:space="0" w:color="auto"/>
            </w:tcBorders>
          </w:tcPr>
          <w:p w:rsidR="005E23BB" w:rsidRPr="0055710D" w:rsidRDefault="005E23BB" w:rsidP="00884973">
            <w:pPr>
              <w:ind w:hanging="284"/>
              <w:jc w:val="center"/>
              <w:rPr>
                <w:rFonts w:ascii="Arial" w:eastAsia="Times New Roman" w:hAnsi="Arial" w:cs="Arial"/>
                <w:b/>
                <w:bCs/>
                <w:color w:val="000000"/>
                <w:sz w:val="16"/>
                <w:szCs w:val="16"/>
                <w:lang w:val="es-ES_tradnl"/>
              </w:rPr>
            </w:pPr>
          </w:p>
          <w:p w:rsidR="005E23BB" w:rsidRPr="0055710D" w:rsidRDefault="005E23BB" w:rsidP="00884973">
            <w:pPr>
              <w:ind w:hanging="284"/>
              <w:jc w:val="center"/>
              <w:rPr>
                <w:rFonts w:ascii="Arial" w:eastAsia="Times New Roman" w:hAnsi="Arial" w:cs="Arial"/>
                <w:b/>
                <w:bCs/>
                <w:color w:val="000000"/>
                <w:sz w:val="16"/>
                <w:szCs w:val="16"/>
                <w:lang w:val="es-ES_tradnl"/>
              </w:rPr>
            </w:pPr>
            <w:r w:rsidRPr="0055710D">
              <w:rPr>
                <w:rFonts w:ascii="Arial" w:eastAsia="Times New Roman" w:hAnsi="Arial" w:cs="Arial"/>
                <w:b/>
                <w:bCs/>
                <w:color w:val="000000"/>
                <w:sz w:val="16"/>
                <w:szCs w:val="16"/>
                <w:lang w:val="es-ES_tradnl"/>
              </w:rPr>
              <w:t>NC</w:t>
            </w:r>
          </w:p>
        </w:tc>
        <w:tc>
          <w:tcPr>
            <w:tcW w:w="1237" w:type="dxa"/>
            <w:tcBorders>
              <w:top w:val="nil"/>
              <w:bottom w:val="single" w:sz="4" w:space="0" w:color="auto"/>
            </w:tcBorders>
          </w:tcPr>
          <w:p w:rsidR="005E23BB" w:rsidRPr="0055710D" w:rsidRDefault="005E23BB" w:rsidP="00884973">
            <w:pPr>
              <w:ind w:hanging="284"/>
              <w:jc w:val="center"/>
              <w:rPr>
                <w:rFonts w:ascii="Arial" w:eastAsia="Times New Roman" w:hAnsi="Arial" w:cs="Arial"/>
                <w:b/>
                <w:bCs/>
                <w:color w:val="000000"/>
                <w:sz w:val="16"/>
                <w:szCs w:val="16"/>
                <w:lang w:val="es-ES_tradnl"/>
              </w:rPr>
            </w:pPr>
          </w:p>
        </w:tc>
        <w:tc>
          <w:tcPr>
            <w:tcW w:w="1603" w:type="dxa"/>
            <w:tcBorders>
              <w:top w:val="nil"/>
              <w:bottom w:val="single" w:sz="4" w:space="0" w:color="auto"/>
              <w:right w:val="single" w:sz="4" w:space="0" w:color="auto"/>
            </w:tcBorders>
          </w:tcPr>
          <w:p w:rsidR="005E23BB" w:rsidRPr="0055710D" w:rsidRDefault="005E23BB" w:rsidP="00884973">
            <w:pPr>
              <w:ind w:hanging="284"/>
              <w:jc w:val="center"/>
              <w:rPr>
                <w:rFonts w:ascii="Arial" w:eastAsia="Times New Roman" w:hAnsi="Arial" w:cs="Arial"/>
                <w:b/>
                <w:bCs/>
                <w:color w:val="000000"/>
                <w:sz w:val="16"/>
                <w:szCs w:val="16"/>
                <w:lang w:val="es-ES_tradnl"/>
              </w:rPr>
            </w:pPr>
          </w:p>
        </w:tc>
      </w:tr>
      <w:tr w:rsidR="00E734B6" w:rsidRPr="00D16264" w:rsidTr="00794C84">
        <w:trPr>
          <w:trHeight w:val="244"/>
        </w:trPr>
        <w:tc>
          <w:tcPr>
            <w:tcW w:w="1308" w:type="dxa"/>
            <w:tcBorders>
              <w:left w:val="single" w:sz="4" w:space="0" w:color="auto"/>
              <w:bottom w:val="nil"/>
            </w:tcBorders>
            <w:shd w:val="clear" w:color="auto" w:fill="auto"/>
            <w:noWrap/>
            <w:vAlign w:val="center"/>
            <w:hideMark/>
          </w:tcPr>
          <w:p w:rsidR="005E23BB" w:rsidRPr="0055710D" w:rsidRDefault="005E23BB" w:rsidP="00884973">
            <w:pPr>
              <w:ind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Grupo 0</w:t>
            </w:r>
          </w:p>
        </w:tc>
        <w:tc>
          <w:tcPr>
            <w:tcW w:w="1979" w:type="dxa"/>
            <w:tcBorders>
              <w:bottom w:val="nil"/>
            </w:tcBorders>
            <w:shd w:val="clear" w:color="auto" w:fill="auto"/>
            <w:noWrap/>
            <w:vAlign w:val="center"/>
            <w:hideMark/>
          </w:tcPr>
          <w:p w:rsidR="005E23BB" w:rsidRPr="0055710D" w:rsidRDefault="005E23BB" w:rsidP="00884973">
            <w:pPr>
              <w:ind w:left="142"/>
              <w:rPr>
                <w:rFonts w:ascii="Arial" w:eastAsia="Times New Roman" w:hAnsi="Arial" w:cs="Arial"/>
                <w:bCs/>
                <w:sz w:val="16"/>
                <w:szCs w:val="16"/>
                <w:lang w:val="es-ES_tradnl"/>
              </w:rPr>
            </w:pPr>
            <w:r w:rsidRPr="0055710D">
              <w:rPr>
                <w:rFonts w:ascii="Arial" w:eastAsia="Times New Roman" w:hAnsi="Arial" w:cs="Arial"/>
                <w:color w:val="000000"/>
                <w:sz w:val="16"/>
                <w:szCs w:val="16"/>
                <w:lang w:val="es-ES_tradnl"/>
              </w:rPr>
              <w:t>R356W/R356W</w:t>
            </w:r>
          </w:p>
        </w:tc>
        <w:tc>
          <w:tcPr>
            <w:tcW w:w="932" w:type="dxa"/>
            <w:tcBorders>
              <w:bottom w:val="nil"/>
            </w:tcBorders>
            <w:vAlign w:val="center"/>
          </w:tcPr>
          <w:p w:rsidR="005E23BB" w:rsidRPr="0055710D" w:rsidRDefault="005E23BB" w:rsidP="00884973">
            <w:pPr>
              <w:ind w:left="250" w:hanging="284"/>
              <w:jc w:val="center"/>
              <w:rPr>
                <w:rFonts w:ascii="Arial" w:eastAsia="Times New Roman" w:hAnsi="Arial" w:cs="Arial"/>
                <w:bCs/>
                <w:sz w:val="16"/>
                <w:szCs w:val="16"/>
                <w:lang w:val="es-ES_tradnl"/>
              </w:rPr>
            </w:pPr>
            <w:r w:rsidRPr="0055710D">
              <w:rPr>
                <w:rFonts w:ascii="Arial" w:eastAsia="Times New Roman" w:hAnsi="Arial" w:cs="Arial"/>
                <w:color w:val="000000"/>
                <w:sz w:val="16"/>
                <w:szCs w:val="16"/>
                <w:lang w:val="es-ES_tradnl"/>
              </w:rPr>
              <w:t>1</w:t>
            </w:r>
          </w:p>
        </w:tc>
        <w:tc>
          <w:tcPr>
            <w:tcW w:w="907" w:type="dxa"/>
            <w:tcBorders>
              <w:bottom w:val="nil"/>
            </w:tcBorders>
            <w:vAlign w:val="center"/>
          </w:tcPr>
          <w:p w:rsidR="005E23BB" w:rsidRPr="0055710D" w:rsidRDefault="005E23BB" w:rsidP="00884973">
            <w:pPr>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bottom w:val="nil"/>
            </w:tcBorders>
            <w:vAlign w:val="center"/>
          </w:tcPr>
          <w:p w:rsidR="005E23BB" w:rsidRPr="0055710D" w:rsidRDefault="005E23BB" w:rsidP="00884973">
            <w:pPr>
              <w:ind w:left="250" w:hanging="284"/>
              <w:jc w:val="center"/>
              <w:rPr>
                <w:rFonts w:ascii="Arial" w:eastAsia="Times New Roman" w:hAnsi="Arial" w:cs="Arial"/>
                <w:bCs/>
                <w:color w:val="000000"/>
                <w:sz w:val="16"/>
                <w:szCs w:val="16"/>
                <w:lang w:val="es-ES_tradnl"/>
              </w:rPr>
            </w:pPr>
          </w:p>
        </w:tc>
        <w:tc>
          <w:tcPr>
            <w:tcW w:w="908" w:type="dxa"/>
            <w:tcBorders>
              <w:bottom w:val="nil"/>
            </w:tcBorders>
            <w:vAlign w:val="center"/>
          </w:tcPr>
          <w:p w:rsidR="005E23BB" w:rsidRPr="0055710D" w:rsidRDefault="005E23BB" w:rsidP="00884973">
            <w:pPr>
              <w:ind w:left="250" w:hanging="284"/>
              <w:jc w:val="center"/>
              <w:rPr>
                <w:rFonts w:ascii="Arial" w:eastAsia="Times New Roman" w:hAnsi="Arial" w:cs="Arial"/>
                <w:bCs/>
                <w:color w:val="000000"/>
                <w:sz w:val="16"/>
                <w:szCs w:val="16"/>
                <w:lang w:val="es-ES_tradnl"/>
              </w:rPr>
            </w:pPr>
          </w:p>
        </w:tc>
        <w:tc>
          <w:tcPr>
            <w:tcW w:w="1237" w:type="dxa"/>
            <w:tcBorders>
              <w:bottom w:val="nil"/>
            </w:tcBorders>
            <w:vAlign w:val="center"/>
          </w:tcPr>
          <w:p w:rsidR="005E23BB" w:rsidRPr="0055710D" w:rsidRDefault="005E23BB" w:rsidP="00E734B6">
            <w:pPr>
              <w:ind w:left="284" w:hanging="426"/>
              <w:jc w:val="center"/>
              <w:rPr>
                <w:rFonts w:ascii="Arial" w:eastAsia="Times New Roman" w:hAnsi="Arial" w:cs="Arial"/>
                <w:bCs/>
                <w:color w:val="000000"/>
                <w:sz w:val="16"/>
                <w:szCs w:val="16"/>
                <w:lang w:val="es-ES_tradnl"/>
              </w:rPr>
            </w:pPr>
            <w:r w:rsidRPr="0055710D">
              <w:rPr>
                <w:rFonts w:ascii="Arial" w:eastAsia="Times New Roman" w:hAnsi="Arial" w:cs="Arial"/>
                <w:bCs/>
                <w:color w:val="000000"/>
                <w:sz w:val="16"/>
                <w:szCs w:val="16"/>
                <w:lang w:val="es-ES_tradnl"/>
              </w:rPr>
              <w:t>CPS</w:t>
            </w:r>
          </w:p>
        </w:tc>
        <w:tc>
          <w:tcPr>
            <w:tcW w:w="1603" w:type="dxa"/>
            <w:tcBorders>
              <w:bottom w:val="nil"/>
              <w:right w:val="single" w:sz="4" w:space="0" w:color="auto"/>
            </w:tcBorders>
            <w:vAlign w:val="center"/>
          </w:tcPr>
          <w:p w:rsidR="005E23BB" w:rsidRPr="0055710D" w:rsidRDefault="005E23BB" w:rsidP="00884973">
            <w:pPr>
              <w:ind w:hanging="142"/>
              <w:jc w:val="center"/>
              <w:rPr>
                <w:rFonts w:ascii="Arial" w:eastAsia="Times New Roman" w:hAnsi="Arial" w:cs="Arial"/>
                <w:bCs/>
                <w:color w:val="000000"/>
                <w:sz w:val="16"/>
                <w:szCs w:val="16"/>
                <w:lang w:val="es-ES_tradnl"/>
              </w:rPr>
            </w:pPr>
            <w:r w:rsidRPr="0055710D">
              <w:rPr>
                <w:rFonts w:ascii="Arial" w:eastAsia="Times New Roman" w:hAnsi="Arial" w:cs="Arial"/>
                <w:bCs/>
                <w:color w:val="000000"/>
                <w:sz w:val="16"/>
                <w:szCs w:val="16"/>
                <w:lang w:val="es-ES_tradnl"/>
              </w:rPr>
              <w:t>100%</w:t>
            </w:r>
          </w:p>
        </w:tc>
      </w:tr>
      <w:tr w:rsidR="00E734B6" w:rsidRPr="00D16264" w:rsidTr="00794C84">
        <w:trPr>
          <w:trHeight w:val="244"/>
        </w:trPr>
        <w:tc>
          <w:tcPr>
            <w:tcW w:w="1308" w:type="dxa"/>
            <w:tcBorders>
              <w:top w:val="nil"/>
              <w:left w:val="single" w:sz="4" w:space="0" w:color="auto"/>
              <w:bottom w:val="nil"/>
            </w:tcBorders>
            <w:shd w:val="clear" w:color="auto" w:fill="auto"/>
            <w:noWrap/>
            <w:vAlign w:val="center"/>
            <w:hideMark/>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nil"/>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Q318X/Q318X/del</w:t>
            </w:r>
          </w:p>
        </w:tc>
        <w:tc>
          <w:tcPr>
            <w:tcW w:w="932" w:type="dxa"/>
            <w:tcBorders>
              <w:top w:val="nil"/>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nil"/>
            </w:tcBorders>
            <w:vAlign w:val="center"/>
          </w:tcPr>
          <w:p w:rsidR="005E23BB" w:rsidRPr="0055710D" w:rsidRDefault="005E23BB" w:rsidP="00884973">
            <w:pPr>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nil"/>
              <w:bottom w:val="nil"/>
            </w:tcBorders>
            <w:vAlign w:val="center"/>
          </w:tcPr>
          <w:p w:rsidR="005E23BB" w:rsidRPr="0055710D" w:rsidRDefault="005E23BB" w:rsidP="00E734B6">
            <w:pPr>
              <w:ind w:hanging="142"/>
              <w:jc w:val="center"/>
              <w:rPr>
                <w:rFonts w:ascii="Arial" w:eastAsia="Times New Roman" w:hAnsi="Arial" w:cs="Arial"/>
                <w:color w:val="000000"/>
                <w:sz w:val="16"/>
                <w:szCs w:val="16"/>
                <w:lang w:val="es-ES_tradnl"/>
              </w:rPr>
            </w:pPr>
            <w:r w:rsidRPr="0055710D">
              <w:rPr>
                <w:rFonts w:ascii="Arial" w:eastAsia="Times New Roman" w:hAnsi="Arial" w:cs="Arial"/>
                <w:bCs/>
                <w:color w:val="000000"/>
                <w:sz w:val="16"/>
                <w:szCs w:val="16"/>
                <w:lang w:val="es-ES_tradnl"/>
              </w:rPr>
              <w:t>CPS</w:t>
            </w:r>
          </w:p>
        </w:tc>
        <w:tc>
          <w:tcPr>
            <w:tcW w:w="1603" w:type="dxa"/>
            <w:tcBorders>
              <w:top w:val="nil"/>
              <w:bottom w:val="nil"/>
              <w:right w:val="single" w:sz="4" w:space="0" w:color="auto"/>
            </w:tcBorders>
            <w:vAlign w:val="center"/>
          </w:tcPr>
          <w:p w:rsidR="005E23BB" w:rsidRPr="0055710D" w:rsidRDefault="005E23BB" w:rsidP="00884973">
            <w:pPr>
              <w:ind w:left="175" w:hanging="284"/>
              <w:jc w:val="center"/>
              <w:rPr>
                <w:rFonts w:ascii="Arial" w:eastAsia="Times New Roman" w:hAnsi="Arial" w:cs="Arial"/>
                <w:bCs/>
                <w:color w:val="000000"/>
                <w:sz w:val="16"/>
                <w:szCs w:val="16"/>
                <w:lang w:val="es-ES_tradnl"/>
              </w:rPr>
            </w:pPr>
            <w:r w:rsidRPr="0055710D">
              <w:rPr>
                <w:rFonts w:ascii="Arial" w:eastAsia="Times New Roman" w:hAnsi="Arial" w:cs="Arial"/>
                <w:bCs/>
                <w:color w:val="000000"/>
                <w:sz w:val="16"/>
                <w:szCs w:val="16"/>
                <w:lang w:val="es-ES_tradnl"/>
              </w:rPr>
              <w:t>100%</w:t>
            </w:r>
          </w:p>
        </w:tc>
      </w:tr>
      <w:tr w:rsidR="00E734B6" w:rsidRPr="00D16264" w:rsidTr="00794C84">
        <w:trPr>
          <w:trHeight w:val="244"/>
        </w:trPr>
        <w:tc>
          <w:tcPr>
            <w:tcW w:w="1308" w:type="dxa"/>
            <w:tcBorders>
              <w:top w:val="nil"/>
              <w:left w:val="single" w:sz="4" w:space="0" w:color="auto"/>
              <w:bottom w:val="single" w:sz="4" w:space="0" w:color="auto"/>
            </w:tcBorders>
            <w:shd w:val="clear" w:color="auto" w:fill="auto"/>
            <w:noWrap/>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single" w:sz="4" w:space="0" w:color="auto"/>
            </w:tcBorders>
            <w:shd w:val="clear" w:color="auto" w:fill="auto"/>
            <w:noWrap/>
            <w:vAlign w:val="center"/>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Δ8pb/del</w:t>
            </w:r>
          </w:p>
        </w:tc>
        <w:tc>
          <w:tcPr>
            <w:tcW w:w="932" w:type="dxa"/>
            <w:tcBorders>
              <w:top w:val="nil"/>
              <w:bottom w:val="single" w:sz="4" w:space="0" w:color="auto"/>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single" w:sz="4" w:space="0" w:color="auto"/>
            </w:tcBorders>
            <w:vAlign w:val="center"/>
          </w:tcPr>
          <w:p w:rsidR="005E23BB" w:rsidRPr="0055710D" w:rsidRDefault="005E23BB" w:rsidP="00884973">
            <w:pPr>
              <w:ind w:left="284" w:hanging="284"/>
              <w:jc w:val="center"/>
              <w:rPr>
                <w:rFonts w:ascii="Arial" w:eastAsia="Times New Roman" w:hAnsi="Arial" w:cs="Arial"/>
                <w:color w:val="000000"/>
                <w:sz w:val="16"/>
                <w:szCs w:val="16"/>
                <w:lang w:val="es-ES_tradnl"/>
              </w:rPr>
            </w:pPr>
          </w:p>
        </w:tc>
        <w:tc>
          <w:tcPr>
            <w:tcW w:w="908" w:type="dxa"/>
            <w:tcBorders>
              <w:top w:val="nil"/>
              <w:bottom w:val="single" w:sz="4" w:space="0" w:color="auto"/>
            </w:tcBorders>
            <w:vAlign w:val="center"/>
          </w:tcPr>
          <w:p w:rsidR="005E23BB" w:rsidRPr="0055710D" w:rsidRDefault="005E23BB" w:rsidP="00884973">
            <w:pPr>
              <w:ind w:left="567" w:hanging="709"/>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nil"/>
              <w:bottom w:val="single" w:sz="4" w:space="0" w:color="auto"/>
            </w:tcBorders>
            <w:vAlign w:val="center"/>
          </w:tcPr>
          <w:p w:rsidR="005E23BB" w:rsidRPr="0055710D" w:rsidRDefault="005E23BB" w:rsidP="00E734B6">
            <w:pPr>
              <w:ind w:hanging="142"/>
              <w:jc w:val="center"/>
              <w:rPr>
                <w:rFonts w:ascii="Arial" w:eastAsia="Times New Roman" w:hAnsi="Arial" w:cs="Arial"/>
                <w:color w:val="000000"/>
                <w:sz w:val="16"/>
                <w:szCs w:val="16"/>
                <w:lang w:val="es-ES_tradnl"/>
              </w:rPr>
            </w:pPr>
            <w:r w:rsidRPr="0055710D">
              <w:rPr>
                <w:rFonts w:ascii="Arial" w:eastAsia="Times New Roman" w:hAnsi="Arial" w:cs="Arial"/>
                <w:bCs/>
                <w:color w:val="000000"/>
                <w:sz w:val="16"/>
                <w:szCs w:val="16"/>
                <w:lang w:val="es-ES_tradnl"/>
              </w:rPr>
              <w:t>CPS</w:t>
            </w:r>
          </w:p>
        </w:tc>
        <w:tc>
          <w:tcPr>
            <w:tcW w:w="1603" w:type="dxa"/>
            <w:tcBorders>
              <w:top w:val="nil"/>
              <w:bottom w:val="single" w:sz="4" w:space="0" w:color="auto"/>
              <w:right w:val="single" w:sz="4" w:space="0" w:color="auto"/>
            </w:tcBorders>
            <w:vAlign w:val="center"/>
          </w:tcPr>
          <w:p w:rsidR="005E23BB" w:rsidRPr="0055710D" w:rsidRDefault="005E23BB" w:rsidP="00884973">
            <w:pPr>
              <w:ind w:left="175" w:hanging="284"/>
              <w:jc w:val="center"/>
              <w:rPr>
                <w:rFonts w:ascii="Arial" w:eastAsia="Times New Roman" w:hAnsi="Arial" w:cs="Arial"/>
                <w:bCs/>
                <w:color w:val="000000"/>
                <w:sz w:val="16"/>
                <w:szCs w:val="16"/>
                <w:lang w:val="es-ES_tradnl"/>
              </w:rPr>
            </w:pPr>
            <w:r w:rsidRPr="0055710D">
              <w:rPr>
                <w:rFonts w:ascii="Arial" w:eastAsia="Times New Roman" w:hAnsi="Arial" w:cs="Arial"/>
                <w:bCs/>
                <w:color w:val="000000"/>
                <w:sz w:val="16"/>
                <w:szCs w:val="16"/>
                <w:lang w:val="es-ES_tradnl"/>
              </w:rPr>
              <w:t>0%</w:t>
            </w:r>
          </w:p>
        </w:tc>
      </w:tr>
      <w:tr w:rsidR="00E734B6" w:rsidRPr="00D16264" w:rsidTr="00794C84">
        <w:trPr>
          <w:trHeight w:val="244"/>
        </w:trPr>
        <w:tc>
          <w:tcPr>
            <w:tcW w:w="1308" w:type="dxa"/>
            <w:tcBorders>
              <w:top w:val="single" w:sz="4" w:space="0" w:color="auto"/>
              <w:left w:val="single" w:sz="4" w:space="0" w:color="auto"/>
              <w:bottom w:val="nil"/>
            </w:tcBorders>
            <w:shd w:val="clear" w:color="auto" w:fill="auto"/>
            <w:noWrap/>
            <w:vAlign w:val="center"/>
            <w:hideMark/>
          </w:tcPr>
          <w:p w:rsidR="005E23BB" w:rsidRPr="0055710D" w:rsidRDefault="005E23BB" w:rsidP="00884973">
            <w:pPr>
              <w:ind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Grupo A</w:t>
            </w:r>
          </w:p>
        </w:tc>
        <w:tc>
          <w:tcPr>
            <w:tcW w:w="1979" w:type="dxa"/>
            <w:tcBorders>
              <w:top w:val="single" w:sz="4" w:space="0" w:color="auto"/>
              <w:bottom w:val="nil"/>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I2 splice/F306+nt</w:t>
            </w:r>
          </w:p>
        </w:tc>
        <w:tc>
          <w:tcPr>
            <w:tcW w:w="932" w:type="dxa"/>
            <w:tcBorders>
              <w:top w:val="single" w:sz="4" w:space="0" w:color="auto"/>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single" w:sz="4" w:space="0" w:color="auto"/>
              <w:bottom w:val="nil"/>
            </w:tcBorders>
            <w:vAlign w:val="center"/>
          </w:tcPr>
          <w:p w:rsidR="005E23BB" w:rsidRPr="0055710D" w:rsidRDefault="005E23BB" w:rsidP="00884973">
            <w:pPr>
              <w:ind w:left="284"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single" w:sz="4" w:space="0" w:color="auto"/>
              <w:bottom w:val="nil"/>
            </w:tcBorders>
            <w:vAlign w:val="center"/>
          </w:tcPr>
          <w:p w:rsidR="005E23BB" w:rsidRPr="0055710D" w:rsidRDefault="005E23BB" w:rsidP="003876CA">
            <w:pPr>
              <w:ind w:left="175" w:hanging="317"/>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CPS</w:t>
            </w:r>
          </w:p>
        </w:tc>
        <w:tc>
          <w:tcPr>
            <w:tcW w:w="1603" w:type="dxa"/>
            <w:tcBorders>
              <w:top w:val="single" w:sz="4" w:space="0" w:color="auto"/>
              <w:bottom w:val="nil"/>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794C84">
        <w:trPr>
          <w:trHeight w:val="244"/>
        </w:trPr>
        <w:tc>
          <w:tcPr>
            <w:tcW w:w="1308" w:type="dxa"/>
            <w:tcBorders>
              <w:top w:val="nil"/>
              <w:left w:val="single" w:sz="4" w:space="0" w:color="auto"/>
              <w:bottom w:val="nil"/>
            </w:tcBorders>
            <w:shd w:val="clear" w:color="auto" w:fill="auto"/>
            <w:noWrap/>
            <w:vAlign w:val="center"/>
            <w:hideMark/>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nil"/>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I2 splice/Δ8pb/Q318X</w:t>
            </w:r>
          </w:p>
        </w:tc>
        <w:tc>
          <w:tcPr>
            <w:tcW w:w="932" w:type="dxa"/>
            <w:tcBorders>
              <w:top w:val="nil"/>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nil"/>
            </w:tcBorders>
            <w:vAlign w:val="center"/>
          </w:tcPr>
          <w:p w:rsidR="005E23BB" w:rsidRPr="0055710D" w:rsidRDefault="005E23BB" w:rsidP="00884973">
            <w:pPr>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nil"/>
              <w:bottom w:val="nil"/>
            </w:tcBorders>
            <w:vAlign w:val="center"/>
          </w:tcPr>
          <w:p w:rsidR="005E23BB" w:rsidRPr="0055710D" w:rsidRDefault="005E23BB" w:rsidP="00884973">
            <w:pPr>
              <w:ind w:hanging="284"/>
              <w:jc w:val="center"/>
              <w:rPr>
                <w:rFonts w:ascii="Arial" w:eastAsia="Times New Roman" w:hAnsi="Arial" w:cs="Arial"/>
                <w:color w:val="000000"/>
                <w:sz w:val="16"/>
                <w:szCs w:val="16"/>
                <w:lang w:val="es-ES_tradnl"/>
              </w:rPr>
            </w:pP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CPS</w:t>
            </w:r>
          </w:p>
        </w:tc>
        <w:tc>
          <w:tcPr>
            <w:tcW w:w="1603" w:type="dxa"/>
            <w:tcBorders>
              <w:top w:val="nil"/>
              <w:bottom w:val="nil"/>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794C84">
        <w:trPr>
          <w:trHeight w:val="244"/>
        </w:trPr>
        <w:tc>
          <w:tcPr>
            <w:tcW w:w="1308" w:type="dxa"/>
            <w:tcBorders>
              <w:top w:val="nil"/>
              <w:left w:val="single" w:sz="4" w:space="0" w:color="auto"/>
              <w:bottom w:val="single" w:sz="4" w:space="0" w:color="auto"/>
            </w:tcBorders>
            <w:shd w:val="clear" w:color="auto" w:fill="auto"/>
            <w:noWrap/>
            <w:vAlign w:val="center"/>
            <w:hideMark/>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single" w:sz="4" w:space="0" w:color="auto"/>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I2 splice/I2 splice</w:t>
            </w:r>
          </w:p>
        </w:tc>
        <w:tc>
          <w:tcPr>
            <w:tcW w:w="932" w:type="dxa"/>
            <w:tcBorders>
              <w:top w:val="nil"/>
              <w:bottom w:val="single" w:sz="4" w:space="0" w:color="auto"/>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single" w:sz="4" w:space="0" w:color="auto"/>
            </w:tcBorders>
            <w:vAlign w:val="center"/>
          </w:tcPr>
          <w:p w:rsidR="005E23BB" w:rsidRPr="0055710D" w:rsidRDefault="005E23BB" w:rsidP="00884973">
            <w:pPr>
              <w:ind w:left="284"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CPS</w:t>
            </w:r>
          </w:p>
        </w:tc>
        <w:tc>
          <w:tcPr>
            <w:tcW w:w="1603" w:type="dxa"/>
            <w:tcBorders>
              <w:top w:val="nil"/>
              <w:bottom w:val="single" w:sz="4" w:space="0" w:color="auto"/>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794C84">
        <w:trPr>
          <w:trHeight w:val="244"/>
        </w:trPr>
        <w:tc>
          <w:tcPr>
            <w:tcW w:w="1308" w:type="dxa"/>
            <w:tcBorders>
              <w:top w:val="single" w:sz="4" w:space="0" w:color="auto"/>
              <w:left w:val="single" w:sz="4" w:space="0" w:color="auto"/>
              <w:bottom w:val="nil"/>
            </w:tcBorders>
            <w:shd w:val="clear" w:color="auto" w:fill="auto"/>
            <w:noWrap/>
            <w:vAlign w:val="center"/>
            <w:hideMark/>
          </w:tcPr>
          <w:p w:rsidR="005E23BB" w:rsidRPr="0055710D" w:rsidRDefault="005E23BB" w:rsidP="00884973">
            <w:pPr>
              <w:ind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Grupo B</w:t>
            </w:r>
          </w:p>
        </w:tc>
        <w:tc>
          <w:tcPr>
            <w:tcW w:w="1979" w:type="dxa"/>
            <w:tcBorders>
              <w:top w:val="single" w:sz="4" w:space="0" w:color="auto"/>
              <w:bottom w:val="nil"/>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I2 splice/I172N</w:t>
            </w:r>
          </w:p>
        </w:tc>
        <w:tc>
          <w:tcPr>
            <w:tcW w:w="932" w:type="dxa"/>
            <w:tcBorders>
              <w:top w:val="single" w:sz="4" w:space="0" w:color="auto"/>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2</w:t>
            </w:r>
          </w:p>
        </w:tc>
        <w:tc>
          <w:tcPr>
            <w:tcW w:w="907"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2</w:t>
            </w:r>
          </w:p>
        </w:tc>
        <w:tc>
          <w:tcPr>
            <w:tcW w:w="908"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CVS</w:t>
            </w:r>
          </w:p>
        </w:tc>
        <w:tc>
          <w:tcPr>
            <w:tcW w:w="1603" w:type="dxa"/>
            <w:tcBorders>
              <w:top w:val="single" w:sz="4" w:space="0" w:color="auto"/>
              <w:bottom w:val="nil"/>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794C84">
        <w:trPr>
          <w:trHeight w:val="244"/>
        </w:trPr>
        <w:tc>
          <w:tcPr>
            <w:tcW w:w="1308" w:type="dxa"/>
            <w:tcBorders>
              <w:top w:val="nil"/>
              <w:left w:val="single" w:sz="4" w:space="0" w:color="auto"/>
              <w:bottom w:val="nil"/>
            </w:tcBorders>
            <w:shd w:val="clear" w:color="auto" w:fill="auto"/>
            <w:noWrap/>
            <w:vAlign w:val="center"/>
            <w:hideMark/>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nil"/>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I172N/I172N</w:t>
            </w:r>
          </w:p>
        </w:tc>
        <w:tc>
          <w:tcPr>
            <w:tcW w:w="932" w:type="dxa"/>
            <w:tcBorders>
              <w:top w:val="nil"/>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CVS</w:t>
            </w:r>
          </w:p>
        </w:tc>
        <w:tc>
          <w:tcPr>
            <w:tcW w:w="1603" w:type="dxa"/>
            <w:tcBorders>
              <w:top w:val="nil"/>
              <w:bottom w:val="nil"/>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794C84">
        <w:trPr>
          <w:trHeight w:val="244"/>
        </w:trPr>
        <w:tc>
          <w:tcPr>
            <w:tcW w:w="1308" w:type="dxa"/>
            <w:tcBorders>
              <w:top w:val="nil"/>
              <w:left w:val="single" w:sz="4" w:space="0" w:color="auto"/>
              <w:bottom w:val="single" w:sz="4" w:space="0" w:color="auto"/>
            </w:tcBorders>
            <w:shd w:val="clear" w:color="auto" w:fill="auto"/>
            <w:noWrap/>
            <w:vAlign w:val="center"/>
            <w:hideMark/>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single" w:sz="4" w:space="0" w:color="auto"/>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I172N/F306+nt</w:t>
            </w:r>
          </w:p>
        </w:tc>
        <w:tc>
          <w:tcPr>
            <w:tcW w:w="932" w:type="dxa"/>
            <w:tcBorders>
              <w:top w:val="nil"/>
              <w:bottom w:val="single" w:sz="4" w:space="0" w:color="auto"/>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CVS</w:t>
            </w:r>
          </w:p>
        </w:tc>
        <w:tc>
          <w:tcPr>
            <w:tcW w:w="1603" w:type="dxa"/>
            <w:tcBorders>
              <w:top w:val="nil"/>
              <w:bottom w:val="single" w:sz="4" w:space="0" w:color="auto"/>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794C84">
        <w:trPr>
          <w:trHeight w:val="244"/>
        </w:trPr>
        <w:tc>
          <w:tcPr>
            <w:tcW w:w="1308" w:type="dxa"/>
            <w:tcBorders>
              <w:top w:val="single" w:sz="4" w:space="0" w:color="auto"/>
              <w:left w:val="single" w:sz="4" w:space="0" w:color="auto"/>
              <w:bottom w:val="nil"/>
            </w:tcBorders>
            <w:shd w:val="clear" w:color="auto" w:fill="auto"/>
            <w:noWrap/>
            <w:vAlign w:val="center"/>
            <w:hideMark/>
          </w:tcPr>
          <w:p w:rsidR="005E23BB" w:rsidRPr="0055710D" w:rsidRDefault="005E23BB" w:rsidP="00884973">
            <w:pPr>
              <w:ind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Grupo C</w:t>
            </w:r>
          </w:p>
        </w:tc>
        <w:tc>
          <w:tcPr>
            <w:tcW w:w="1979" w:type="dxa"/>
            <w:tcBorders>
              <w:top w:val="single" w:sz="4" w:space="0" w:color="auto"/>
              <w:bottom w:val="nil"/>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I172N/V281L</w:t>
            </w:r>
          </w:p>
        </w:tc>
        <w:tc>
          <w:tcPr>
            <w:tcW w:w="932" w:type="dxa"/>
            <w:tcBorders>
              <w:top w:val="single" w:sz="4" w:space="0" w:color="auto"/>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3</w:t>
            </w:r>
          </w:p>
        </w:tc>
        <w:tc>
          <w:tcPr>
            <w:tcW w:w="907"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2</w:t>
            </w:r>
          </w:p>
        </w:tc>
        <w:tc>
          <w:tcPr>
            <w:tcW w:w="1237"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NC</w:t>
            </w:r>
          </w:p>
        </w:tc>
        <w:tc>
          <w:tcPr>
            <w:tcW w:w="1603" w:type="dxa"/>
            <w:tcBorders>
              <w:top w:val="single" w:sz="4" w:space="0" w:color="auto"/>
              <w:bottom w:val="nil"/>
              <w:right w:val="single" w:sz="4" w:space="0" w:color="auto"/>
            </w:tcBorders>
            <w:vAlign w:val="center"/>
          </w:tcPr>
          <w:p w:rsidR="005E23BB" w:rsidRPr="0055710D" w:rsidRDefault="005E23BB" w:rsidP="00884973">
            <w:pPr>
              <w:ind w:left="284" w:hanging="393"/>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66.7%</w:t>
            </w:r>
          </w:p>
        </w:tc>
      </w:tr>
      <w:tr w:rsidR="00E734B6" w:rsidRPr="00D16264" w:rsidTr="00794C84">
        <w:trPr>
          <w:trHeight w:val="244"/>
        </w:trPr>
        <w:tc>
          <w:tcPr>
            <w:tcW w:w="1308" w:type="dxa"/>
            <w:tcBorders>
              <w:top w:val="nil"/>
              <w:left w:val="single" w:sz="4" w:space="0" w:color="auto"/>
              <w:bottom w:val="nil"/>
            </w:tcBorders>
            <w:shd w:val="clear" w:color="auto" w:fill="auto"/>
            <w:noWrap/>
            <w:vAlign w:val="center"/>
            <w:hideMark/>
          </w:tcPr>
          <w:p w:rsidR="005E23BB" w:rsidRPr="0055710D" w:rsidRDefault="005E23BB" w:rsidP="00884973">
            <w:pPr>
              <w:ind w:hanging="284"/>
              <w:jc w:val="center"/>
              <w:rPr>
                <w:rFonts w:ascii="Arial" w:eastAsia="Times New Roman" w:hAnsi="Arial" w:cs="Arial"/>
                <w:color w:val="000000"/>
                <w:sz w:val="16"/>
                <w:szCs w:val="16"/>
                <w:lang w:val="es-ES_tradnl"/>
              </w:rPr>
            </w:pPr>
          </w:p>
        </w:tc>
        <w:tc>
          <w:tcPr>
            <w:tcW w:w="1979" w:type="dxa"/>
            <w:tcBorders>
              <w:top w:val="nil"/>
              <w:bottom w:val="nil"/>
            </w:tcBorders>
            <w:shd w:val="clear" w:color="auto" w:fill="auto"/>
            <w:noWrap/>
            <w:vAlign w:val="center"/>
            <w:hideMark/>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V281L/V281L</w:t>
            </w:r>
          </w:p>
        </w:tc>
        <w:tc>
          <w:tcPr>
            <w:tcW w:w="932" w:type="dxa"/>
            <w:tcBorders>
              <w:top w:val="nil"/>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5</w:t>
            </w:r>
          </w:p>
        </w:tc>
        <w:tc>
          <w:tcPr>
            <w:tcW w:w="907"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5</w:t>
            </w:r>
          </w:p>
        </w:tc>
        <w:tc>
          <w:tcPr>
            <w:tcW w:w="1237"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NC</w:t>
            </w:r>
          </w:p>
        </w:tc>
        <w:tc>
          <w:tcPr>
            <w:tcW w:w="1603" w:type="dxa"/>
            <w:tcBorders>
              <w:top w:val="nil"/>
              <w:bottom w:val="nil"/>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794C84">
        <w:trPr>
          <w:trHeight w:val="244"/>
        </w:trPr>
        <w:tc>
          <w:tcPr>
            <w:tcW w:w="1308" w:type="dxa"/>
            <w:tcBorders>
              <w:top w:val="nil"/>
              <w:left w:val="single" w:sz="4" w:space="0" w:color="auto"/>
              <w:bottom w:val="nil"/>
            </w:tcBorders>
            <w:shd w:val="clear" w:color="auto" w:fill="auto"/>
            <w:noWrap/>
            <w:vAlign w:val="center"/>
            <w:hideMark/>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nil"/>
            </w:tcBorders>
            <w:shd w:val="clear" w:color="auto" w:fill="auto"/>
            <w:noWrap/>
            <w:vAlign w:val="center"/>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V281L/V281L/del</w:t>
            </w:r>
          </w:p>
        </w:tc>
        <w:tc>
          <w:tcPr>
            <w:tcW w:w="932" w:type="dxa"/>
            <w:tcBorders>
              <w:top w:val="nil"/>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1237" w:type="dxa"/>
            <w:tcBorders>
              <w:top w:val="nil"/>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NC</w:t>
            </w:r>
          </w:p>
        </w:tc>
        <w:tc>
          <w:tcPr>
            <w:tcW w:w="1603" w:type="dxa"/>
            <w:tcBorders>
              <w:top w:val="nil"/>
              <w:bottom w:val="nil"/>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794C84">
        <w:trPr>
          <w:trHeight w:val="244"/>
        </w:trPr>
        <w:tc>
          <w:tcPr>
            <w:tcW w:w="1308" w:type="dxa"/>
            <w:tcBorders>
              <w:top w:val="nil"/>
              <w:left w:val="single" w:sz="4" w:space="0" w:color="auto"/>
              <w:bottom w:val="single" w:sz="4" w:space="0" w:color="auto"/>
            </w:tcBorders>
            <w:shd w:val="clear" w:color="auto" w:fill="auto"/>
            <w:noWrap/>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single" w:sz="4" w:space="0" w:color="auto"/>
            </w:tcBorders>
            <w:shd w:val="clear" w:color="auto" w:fill="auto"/>
            <w:noWrap/>
            <w:vAlign w:val="center"/>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V281L/Q318X</w:t>
            </w:r>
          </w:p>
        </w:tc>
        <w:tc>
          <w:tcPr>
            <w:tcW w:w="932" w:type="dxa"/>
            <w:tcBorders>
              <w:top w:val="nil"/>
              <w:bottom w:val="single" w:sz="4" w:space="0" w:color="auto"/>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1237"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NC</w:t>
            </w:r>
          </w:p>
        </w:tc>
        <w:tc>
          <w:tcPr>
            <w:tcW w:w="1603" w:type="dxa"/>
            <w:tcBorders>
              <w:top w:val="nil"/>
              <w:bottom w:val="single" w:sz="4" w:space="0" w:color="auto"/>
              <w:right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100%</w:t>
            </w:r>
          </w:p>
        </w:tc>
      </w:tr>
      <w:tr w:rsidR="00E734B6" w:rsidRPr="00D16264" w:rsidTr="00001075">
        <w:trPr>
          <w:trHeight w:val="235"/>
        </w:trPr>
        <w:tc>
          <w:tcPr>
            <w:tcW w:w="1308" w:type="dxa"/>
            <w:tcBorders>
              <w:top w:val="single" w:sz="4" w:space="0" w:color="auto"/>
              <w:left w:val="single" w:sz="4" w:space="0" w:color="auto"/>
              <w:bottom w:val="nil"/>
            </w:tcBorders>
            <w:shd w:val="clear" w:color="auto" w:fill="auto"/>
            <w:noWrap/>
            <w:vAlign w:val="bottom"/>
          </w:tcPr>
          <w:p w:rsidR="0002427F" w:rsidRPr="0055710D" w:rsidRDefault="0002427F"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Não</w:t>
            </w:r>
          </w:p>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clasificado</w:t>
            </w:r>
          </w:p>
        </w:tc>
        <w:tc>
          <w:tcPr>
            <w:tcW w:w="1979" w:type="dxa"/>
            <w:tcBorders>
              <w:top w:val="single" w:sz="4" w:space="0" w:color="auto"/>
              <w:bottom w:val="nil"/>
            </w:tcBorders>
            <w:shd w:val="clear" w:color="auto" w:fill="auto"/>
            <w:noWrap/>
            <w:vAlign w:val="center"/>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Q318X/-</w:t>
            </w:r>
          </w:p>
        </w:tc>
        <w:tc>
          <w:tcPr>
            <w:tcW w:w="932" w:type="dxa"/>
            <w:tcBorders>
              <w:top w:val="single" w:sz="4" w:space="0" w:color="auto"/>
              <w:bottom w:val="nil"/>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single" w:sz="4" w:space="0" w:color="auto"/>
              <w:bottom w:val="nil"/>
            </w:tcBorders>
            <w:vAlign w:val="center"/>
          </w:tcPr>
          <w:p w:rsidR="005E23BB" w:rsidRPr="0055710D" w:rsidRDefault="005E23BB" w:rsidP="00884973">
            <w:pPr>
              <w:ind w:hanging="142"/>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8" w:type="dxa"/>
            <w:tcBorders>
              <w:top w:val="single" w:sz="4" w:space="0" w:color="auto"/>
              <w:bottom w:val="nil"/>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1237" w:type="dxa"/>
            <w:tcBorders>
              <w:top w:val="single" w:sz="4" w:space="0" w:color="auto"/>
              <w:bottom w:val="nil"/>
            </w:tcBorders>
            <w:vAlign w:val="center"/>
          </w:tcPr>
          <w:p w:rsidR="005E23BB" w:rsidRPr="0055710D" w:rsidRDefault="005E23BB" w:rsidP="00884973">
            <w:pPr>
              <w:ind w:left="142"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Asintomático</w:t>
            </w:r>
          </w:p>
        </w:tc>
        <w:tc>
          <w:tcPr>
            <w:tcW w:w="1603" w:type="dxa"/>
            <w:tcBorders>
              <w:top w:val="single" w:sz="4" w:space="0" w:color="auto"/>
              <w:bottom w:val="nil"/>
              <w:right w:val="single" w:sz="4" w:space="0" w:color="auto"/>
            </w:tcBorders>
            <w:vAlign w:val="center"/>
          </w:tcPr>
          <w:p w:rsidR="005E23BB" w:rsidRPr="0055710D" w:rsidRDefault="005E23BB" w:rsidP="00884973">
            <w:pPr>
              <w:ind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0%</w:t>
            </w:r>
          </w:p>
        </w:tc>
      </w:tr>
      <w:tr w:rsidR="00E734B6" w:rsidRPr="00D16264" w:rsidTr="00794C84">
        <w:trPr>
          <w:trHeight w:val="244"/>
        </w:trPr>
        <w:tc>
          <w:tcPr>
            <w:tcW w:w="1308" w:type="dxa"/>
            <w:tcBorders>
              <w:top w:val="nil"/>
              <w:left w:val="single" w:sz="4" w:space="0" w:color="auto"/>
              <w:bottom w:val="single" w:sz="4" w:space="0" w:color="auto"/>
            </w:tcBorders>
            <w:shd w:val="clear" w:color="auto" w:fill="auto"/>
            <w:noWrap/>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p>
        </w:tc>
        <w:tc>
          <w:tcPr>
            <w:tcW w:w="1979" w:type="dxa"/>
            <w:tcBorders>
              <w:top w:val="nil"/>
              <w:bottom w:val="single" w:sz="4" w:space="0" w:color="auto"/>
            </w:tcBorders>
            <w:shd w:val="clear" w:color="auto" w:fill="auto"/>
            <w:noWrap/>
            <w:vAlign w:val="center"/>
          </w:tcPr>
          <w:p w:rsidR="005E23BB" w:rsidRPr="0055710D" w:rsidRDefault="005E23BB" w:rsidP="00884973">
            <w:pPr>
              <w:ind w:left="142"/>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V281L/-</w:t>
            </w:r>
          </w:p>
        </w:tc>
        <w:tc>
          <w:tcPr>
            <w:tcW w:w="932" w:type="dxa"/>
            <w:tcBorders>
              <w:top w:val="nil"/>
              <w:bottom w:val="single" w:sz="4" w:space="0" w:color="auto"/>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907"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p>
        </w:tc>
        <w:tc>
          <w:tcPr>
            <w:tcW w:w="908" w:type="dxa"/>
            <w:tcBorders>
              <w:top w:val="nil"/>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w:t>
            </w:r>
          </w:p>
        </w:tc>
        <w:tc>
          <w:tcPr>
            <w:tcW w:w="1237" w:type="dxa"/>
            <w:tcBorders>
              <w:top w:val="nil"/>
              <w:bottom w:val="single" w:sz="4" w:space="0" w:color="auto"/>
            </w:tcBorders>
            <w:vAlign w:val="center"/>
          </w:tcPr>
          <w:p w:rsidR="005E23BB" w:rsidRPr="0055710D" w:rsidRDefault="005E23BB" w:rsidP="00884973">
            <w:pPr>
              <w:ind w:left="142"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Asintomático</w:t>
            </w:r>
          </w:p>
        </w:tc>
        <w:tc>
          <w:tcPr>
            <w:tcW w:w="1603" w:type="dxa"/>
            <w:tcBorders>
              <w:top w:val="nil"/>
              <w:bottom w:val="single" w:sz="4" w:space="0" w:color="auto"/>
              <w:right w:val="single" w:sz="4" w:space="0" w:color="auto"/>
            </w:tcBorders>
            <w:vAlign w:val="center"/>
          </w:tcPr>
          <w:p w:rsidR="005E23BB" w:rsidRPr="0055710D" w:rsidRDefault="005E23BB" w:rsidP="00884973">
            <w:pPr>
              <w:ind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0%</w:t>
            </w:r>
          </w:p>
        </w:tc>
      </w:tr>
      <w:tr w:rsidR="00E734B6" w:rsidRPr="00D16264" w:rsidTr="00794C84">
        <w:trPr>
          <w:trHeight w:val="244"/>
        </w:trPr>
        <w:tc>
          <w:tcPr>
            <w:tcW w:w="1308" w:type="dxa"/>
            <w:tcBorders>
              <w:top w:val="single" w:sz="4" w:space="0" w:color="auto"/>
              <w:left w:val="single" w:sz="4" w:space="0" w:color="auto"/>
              <w:bottom w:val="single" w:sz="4" w:space="0" w:color="auto"/>
            </w:tcBorders>
            <w:shd w:val="clear" w:color="auto" w:fill="auto"/>
            <w:noWrap/>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Total</w:t>
            </w:r>
          </w:p>
        </w:tc>
        <w:tc>
          <w:tcPr>
            <w:tcW w:w="1979" w:type="dxa"/>
            <w:tcBorders>
              <w:top w:val="single" w:sz="4" w:space="0" w:color="auto"/>
              <w:bottom w:val="single" w:sz="4" w:space="0" w:color="auto"/>
            </w:tcBorders>
            <w:shd w:val="clear" w:color="auto" w:fill="auto"/>
            <w:noWrap/>
            <w:vAlign w:val="center"/>
          </w:tcPr>
          <w:p w:rsidR="005E23BB" w:rsidRPr="0055710D" w:rsidRDefault="005E23BB" w:rsidP="00884973">
            <w:pPr>
              <w:ind w:left="142"/>
              <w:rPr>
                <w:rFonts w:ascii="Arial" w:eastAsia="Times New Roman" w:hAnsi="Arial" w:cs="Arial"/>
                <w:color w:val="000000"/>
                <w:sz w:val="16"/>
                <w:szCs w:val="16"/>
                <w:lang w:val="es-ES_tradnl"/>
              </w:rPr>
            </w:pPr>
          </w:p>
        </w:tc>
        <w:tc>
          <w:tcPr>
            <w:tcW w:w="932" w:type="dxa"/>
            <w:tcBorders>
              <w:top w:val="single" w:sz="4" w:space="0" w:color="auto"/>
              <w:bottom w:val="single" w:sz="4" w:space="0" w:color="auto"/>
            </w:tcBorders>
            <w:vAlign w:val="center"/>
          </w:tcPr>
          <w:p w:rsidR="005E23BB" w:rsidRPr="0055710D" w:rsidRDefault="005E23BB" w:rsidP="00884973">
            <w:pPr>
              <w:ind w:left="250"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22</w:t>
            </w:r>
          </w:p>
        </w:tc>
        <w:tc>
          <w:tcPr>
            <w:tcW w:w="907" w:type="dxa"/>
            <w:tcBorders>
              <w:top w:val="single" w:sz="4" w:space="0" w:color="auto"/>
              <w:bottom w:val="single" w:sz="4" w:space="0" w:color="auto"/>
            </w:tcBorders>
            <w:vAlign w:val="center"/>
          </w:tcPr>
          <w:p w:rsidR="005E23BB" w:rsidRPr="0055710D" w:rsidRDefault="005E23BB" w:rsidP="00884973">
            <w:pPr>
              <w:ind w:left="142"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5</w:t>
            </w:r>
          </w:p>
        </w:tc>
        <w:tc>
          <w:tcPr>
            <w:tcW w:w="908" w:type="dxa"/>
            <w:tcBorders>
              <w:top w:val="single" w:sz="4" w:space="0" w:color="auto"/>
              <w:bottom w:val="single" w:sz="4" w:space="0" w:color="auto"/>
            </w:tcBorders>
            <w:vAlign w:val="center"/>
          </w:tcPr>
          <w:p w:rsidR="005E23BB" w:rsidRPr="0055710D" w:rsidRDefault="005E23BB" w:rsidP="00884973">
            <w:pPr>
              <w:ind w:hanging="142"/>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7</w:t>
            </w:r>
          </w:p>
        </w:tc>
        <w:tc>
          <w:tcPr>
            <w:tcW w:w="908" w:type="dxa"/>
            <w:tcBorders>
              <w:top w:val="single" w:sz="4" w:space="0" w:color="auto"/>
              <w:bottom w:val="single" w:sz="4" w:space="0" w:color="auto"/>
            </w:tcBorders>
            <w:vAlign w:val="center"/>
          </w:tcPr>
          <w:p w:rsidR="005E23BB" w:rsidRPr="0055710D" w:rsidRDefault="005E23BB" w:rsidP="00884973">
            <w:pPr>
              <w:ind w:left="175"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10</w:t>
            </w:r>
          </w:p>
        </w:tc>
        <w:tc>
          <w:tcPr>
            <w:tcW w:w="1237" w:type="dxa"/>
            <w:tcBorders>
              <w:top w:val="single" w:sz="4" w:space="0" w:color="auto"/>
              <w:bottom w:val="single" w:sz="4" w:space="0" w:color="auto"/>
            </w:tcBorders>
            <w:vAlign w:val="center"/>
          </w:tcPr>
          <w:p w:rsidR="005E23BB" w:rsidRPr="0055710D" w:rsidRDefault="005E23BB" w:rsidP="00884973">
            <w:pPr>
              <w:ind w:hanging="284"/>
              <w:jc w:val="center"/>
              <w:rPr>
                <w:rFonts w:ascii="Arial" w:eastAsia="Times New Roman" w:hAnsi="Arial" w:cs="Arial"/>
                <w:color w:val="000000"/>
                <w:sz w:val="16"/>
                <w:szCs w:val="16"/>
                <w:lang w:val="es-ES_tradnl"/>
              </w:rPr>
            </w:pPr>
          </w:p>
        </w:tc>
        <w:tc>
          <w:tcPr>
            <w:tcW w:w="1603" w:type="dxa"/>
            <w:tcBorders>
              <w:top w:val="single" w:sz="4" w:space="0" w:color="auto"/>
              <w:bottom w:val="single" w:sz="4" w:space="0" w:color="auto"/>
              <w:right w:val="single" w:sz="4" w:space="0" w:color="auto"/>
            </w:tcBorders>
            <w:vAlign w:val="center"/>
          </w:tcPr>
          <w:p w:rsidR="005E23BB" w:rsidRPr="0055710D" w:rsidRDefault="005E23BB" w:rsidP="00884973">
            <w:pPr>
              <w:ind w:left="284" w:hanging="284"/>
              <w:jc w:val="center"/>
              <w:rPr>
                <w:rFonts w:ascii="Arial" w:eastAsia="Times New Roman" w:hAnsi="Arial" w:cs="Arial"/>
                <w:color w:val="000000"/>
                <w:sz w:val="16"/>
                <w:szCs w:val="16"/>
                <w:lang w:val="es-ES_tradnl"/>
              </w:rPr>
            </w:pPr>
            <w:r w:rsidRPr="0055710D">
              <w:rPr>
                <w:rFonts w:ascii="Arial" w:eastAsia="Times New Roman" w:hAnsi="Arial" w:cs="Arial"/>
                <w:color w:val="000000"/>
                <w:sz w:val="16"/>
                <w:szCs w:val="16"/>
                <w:lang w:val="es-ES_tradnl"/>
              </w:rPr>
              <w:t>81,8%</w:t>
            </w:r>
          </w:p>
        </w:tc>
      </w:tr>
    </w:tbl>
    <w:p w:rsidR="00391830" w:rsidRPr="004D35D0" w:rsidRDefault="00A46ED3" w:rsidP="001B744D">
      <w:pPr>
        <w:rPr>
          <w:rFonts w:ascii="Arial" w:hAnsi="Arial" w:cs="Arial"/>
          <w:color w:val="000000"/>
          <w:sz w:val="18"/>
        </w:rPr>
      </w:pPr>
      <w:r w:rsidRPr="005A5189">
        <w:rPr>
          <w:lang w:val="es-ES_tradnl"/>
        </w:rPr>
        <w:br w:type="textWrapping" w:clear="all"/>
      </w:r>
      <w:r w:rsidR="00387B23" w:rsidRPr="004D35D0">
        <w:rPr>
          <w:rFonts w:ascii="Arial" w:hAnsi="Arial" w:cs="Arial"/>
          <w:sz w:val="18"/>
          <w:lang w:val="es-ES_tradnl"/>
        </w:rPr>
        <w:t xml:space="preserve">CPS - forma clássica perdedora de sal. CVS - forma clássica virilizante simples. NC - forma não </w:t>
      </w:r>
      <w:r w:rsidR="002C6F3A" w:rsidRPr="004D35D0">
        <w:rPr>
          <w:rFonts w:ascii="Arial" w:hAnsi="Arial" w:cs="Arial"/>
          <w:sz w:val="18"/>
          <w:lang w:val="es-ES_tradnl"/>
        </w:rPr>
        <w:t>clás</w:t>
      </w:r>
      <w:r w:rsidR="00CA29FE" w:rsidRPr="004D35D0">
        <w:rPr>
          <w:rFonts w:ascii="Arial" w:hAnsi="Arial" w:cs="Arial"/>
          <w:sz w:val="18"/>
          <w:lang w:val="es-ES_tradnl"/>
        </w:rPr>
        <w:t>s</w:t>
      </w:r>
      <w:r w:rsidR="002C6F3A" w:rsidRPr="004D35D0">
        <w:rPr>
          <w:rFonts w:ascii="Arial" w:hAnsi="Arial" w:cs="Arial"/>
          <w:sz w:val="18"/>
          <w:lang w:val="es-ES_tradnl"/>
        </w:rPr>
        <w:t>ica.</w:t>
      </w:r>
    </w:p>
    <w:p w:rsidR="00780F46" w:rsidRPr="00391830" w:rsidRDefault="00780F46" w:rsidP="00391830">
      <w:pPr>
        <w:rPr>
          <w:rFonts w:ascii="Arial" w:hAnsi="Arial" w:cs="Arial"/>
          <w:lang w:val="es-ES_tradnl"/>
        </w:rPr>
      </w:pPr>
    </w:p>
    <w:sectPr w:rsidR="00780F46" w:rsidRPr="00391830" w:rsidSect="0089669A">
      <w:pgSz w:w="16840" w:h="11901" w:orient="landscape"/>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F9A" w:rsidRDefault="000D5F9A" w:rsidP="00297247">
      <w:r>
        <w:separator/>
      </w:r>
    </w:p>
  </w:endnote>
  <w:endnote w:type="continuationSeparator" w:id="0">
    <w:p w:rsidR="000D5F9A" w:rsidRDefault="000D5F9A" w:rsidP="002972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3D" w:rsidRDefault="000B5CCF" w:rsidP="002F62A6">
    <w:pPr>
      <w:pStyle w:val="Rodap"/>
      <w:framePr w:wrap="around" w:vAnchor="text" w:hAnchor="margin" w:xAlign="right" w:y="1"/>
      <w:rPr>
        <w:rStyle w:val="Nmerodepgina"/>
      </w:rPr>
    </w:pPr>
    <w:r>
      <w:rPr>
        <w:rStyle w:val="Nmerodepgina"/>
      </w:rPr>
      <w:fldChar w:fldCharType="begin"/>
    </w:r>
    <w:r w:rsidR="00805B3D">
      <w:rPr>
        <w:rStyle w:val="Nmerodepgina"/>
      </w:rPr>
      <w:instrText xml:space="preserve">PAGE  </w:instrText>
    </w:r>
    <w:r>
      <w:rPr>
        <w:rStyle w:val="Nmerodepgina"/>
      </w:rPr>
      <w:fldChar w:fldCharType="end"/>
    </w:r>
  </w:p>
  <w:p w:rsidR="00805B3D" w:rsidRDefault="00805B3D" w:rsidP="00050A4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B3D" w:rsidRDefault="000B5CCF" w:rsidP="002F62A6">
    <w:pPr>
      <w:pStyle w:val="Rodap"/>
      <w:framePr w:wrap="around" w:vAnchor="text" w:hAnchor="margin" w:xAlign="right" w:y="1"/>
      <w:rPr>
        <w:rStyle w:val="Nmerodepgina"/>
      </w:rPr>
    </w:pPr>
    <w:r>
      <w:rPr>
        <w:rStyle w:val="Nmerodepgina"/>
      </w:rPr>
      <w:fldChar w:fldCharType="begin"/>
    </w:r>
    <w:r w:rsidR="00805B3D">
      <w:rPr>
        <w:rStyle w:val="Nmerodepgina"/>
      </w:rPr>
      <w:instrText xml:space="preserve">PAGE  </w:instrText>
    </w:r>
    <w:r>
      <w:rPr>
        <w:rStyle w:val="Nmerodepgina"/>
      </w:rPr>
      <w:fldChar w:fldCharType="separate"/>
    </w:r>
    <w:r w:rsidR="000D5F9A">
      <w:rPr>
        <w:rStyle w:val="Nmerodepgina"/>
        <w:noProof/>
      </w:rPr>
      <w:t>1</w:t>
    </w:r>
    <w:r>
      <w:rPr>
        <w:rStyle w:val="Nmerodepgina"/>
      </w:rPr>
      <w:fldChar w:fldCharType="end"/>
    </w:r>
  </w:p>
  <w:p w:rsidR="00805B3D" w:rsidRDefault="00805B3D" w:rsidP="00050A4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F9A" w:rsidRDefault="000D5F9A" w:rsidP="00297247">
      <w:r>
        <w:separator/>
      </w:r>
    </w:p>
  </w:footnote>
  <w:footnote w:type="continuationSeparator" w:id="0">
    <w:p w:rsidR="000D5F9A" w:rsidRDefault="000D5F9A" w:rsidP="002972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E300E"/>
    <w:multiLevelType w:val="hybridMultilevel"/>
    <w:tmpl w:val="EB0A5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A0981"/>
    <w:multiLevelType w:val="hybridMultilevel"/>
    <w:tmpl w:val="8140D56E"/>
    <w:lvl w:ilvl="0" w:tplc="2A904B3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16101"/>
    <w:multiLevelType w:val="hybridMultilevel"/>
    <w:tmpl w:val="7BCE2E4C"/>
    <w:lvl w:ilvl="0" w:tplc="99409A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71247"/>
    <w:multiLevelType w:val="hybridMultilevel"/>
    <w:tmpl w:val="2886FE58"/>
    <w:lvl w:ilvl="0" w:tplc="2D72F51E">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7607D"/>
    <w:multiLevelType w:val="hybridMultilevel"/>
    <w:tmpl w:val="AE26974E"/>
    <w:lvl w:ilvl="0" w:tplc="46D84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77D02"/>
    <w:multiLevelType w:val="hybridMultilevel"/>
    <w:tmpl w:val="24B80520"/>
    <w:lvl w:ilvl="0" w:tplc="D1D67412">
      <w:start w:val="1"/>
      <w:numFmt w:val="bullet"/>
      <w:lvlText w:val=""/>
      <w:lvlJc w:val="left"/>
      <w:pPr>
        <w:tabs>
          <w:tab w:val="num" w:pos="170"/>
        </w:tabs>
        <w:ind w:left="34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D5895"/>
    <w:multiLevelType w:val="hybridMultilevel"/>
    <w:tmpl w:val="41223904"/>
    <w:lvl w:ilvl="0" w:tplc="46D84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374E4"/>
    <w:multiLevelType w:val="multilevel"/>
    <w:tmpl w:val="EB0A5F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7"/>
  </w:num>
  <w:num w:numId="4">
    <w:abstractNumId w:val="3"/>
  </w:num>
  <w:num w:numId="5">
    <w:abstractNumId w:val="6"/>
  </w:num>
  <w:num w:numId="6">
    <w:abstractNumId w:val="0"/>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oNotTrackMoves/>
  <w:defaultTabStop w:val="720"/>
  <w:hyphenationZone w:val="425"/>
  <w:characterSpacingControl w:val="doNotCompress"/>
  <w:savePreviewPicture/>
  <w:footnotePr>
    <w:footnote w:id="-1"/>
    <w:footnote w:id="0"/>
  </w:footnotePr>
  <w:endnotePr>
    <w:endnote w:id="-1"/>
    <w:endnote w:id="0"/>
  </w:endnotePr>
  <w:compat>
    <w:useFELayout/>
  </w:compat>
  <w:rsids>
    <w:rsidRoot w:val="00925F3D"/>
    <w:rsid w:val="000008C5"/>
    <w:rsid w:val="00000A37"/>
    <w:rsid w:val="00001075"/>
    <w:rsid w:val="000030E4"/>
    <w:rsid w:val="00004E15"/>
    <w:rsid w:val="00007075"/>
    <w:rsid w:val="00007C51"/>
    <w:rsid w:val="00007C67"/>
    <w:rsid w:val="00010E21"/>
    <w:rsid w:val="00011051"/>
    <w:rsid w:val="00011857"/>
    <w:rsid w:val="000118E5"/>
    <w:rsid w:val="00012456"/>
    <w:rsid w:val="00012462"/>
    <w:rsid w:val="000134E9"/>
    <w:rsid w:val="00017B3D"/>
    <w:rsid w:val="00020296"/>
    <w:rsid w:val="000211C2"/>
    <w:rsid w:val="00021C1D"/>
    <w:rsid w:val="00022076"/>
    <w:rsid w:val="00022479"/>
    <w:rsid w:val="000230D8"/>
    <w:rsid w:val="000233B0"/>
    <w:rsid w:val="00023516"/>
    <w:rsid w:val="0002427F"/>
    <w:rsid w:val="000256BB"/>
    <w:rsid w:val="00025CB1"/>
    <w:rsid w:val="000268CD"/>
    <w:rsid w:val="00027866"/>
    <w:rsid w:val="000313AD"/>
    <w:rsid w:val="00031F2E"/>
    <w:rsid w:val="00033DA0"/>
    <w:rsid w:val="000350A9"/>
    <w:rsid w:val="00036B20"/>
    <w:rsid w:val="0004019B"/>
    <w:rsid w:val="000408C5"/>
    <w:rsid w:val="00040BCB"/>
    <w:rsid w:val="00043DF9"/>
    <w:rsid w:val="00044A2A"/>
    <w:rsid w:val="00045735"/>
    <w:rsid w:val="00046055"/>
    <w:rsid w:val="000500DB"/>
    <w:rsid w:val="00050851"/>
    <w:rsid w:val="00050A43"/>
    <w:rsid w:val="00051AF3"/>
    <w:rsid w:val="00052C42"/>
    <w:rsid w:val="00053076"/>
    <w:rsid w:val="00054610"/>
    <w:rsid w:val="00054FB0"/>
    <w:rsid w:val="000559B3"/>
    <w:rsid w:val="00056008"/>
    <w:rsid w:val="00056982"/>
    <w:rsid w:val="000569F5"/>
    <w:rsid w:val="000576AB"/>
    <w:rsid w:val="000577E1"/>
    <w:rsid w:val="00057ED0"/>
    <w:rsid w:val="00062D43"/>
    <w:rsid w:val="0006425E"/>
    <w:rsid w:val="0006592C"/>
    <w:rsid w:val="00065998"/>
    <w:rsid w:val="00071136"/>
    <w:rsid w:val="0007268C"/>
    <w:rsid w:val="00072C6B"/>
    <w:rsid w:val="000732D8"/>
    <w:rsid w:val="000749DF"/>
    <w:rsid w:val="00074F97"/>
    <w:rsid w:val="00075F35"/>
    <w:rsid w:val="0007624A"/>
    <w:rsid w:val="00081DBA"/>
    <w:rsid w:val="00081DE6"/>
    <w:rsid w:val="000826BF"/>
    <w:rsid w:val="000846C1"/>
    <w:rsid w:val="00084836"/>
    <w:rsid w:val="00085404"/>
    <w:rsid w:val="00086796"/>
    <w:rsid w:val="00087168"/>
    <w:rsid w:val="00087C83"/>
    <w:rsid w:val="00091790"/>
    <w:rsid w:val="000917C6"/>
    <w:rsid w:val="000928F6"/>
    <w:rsid w:val="00092961"/>
    <w:rsid w:val="00097079"/>
    <w:rsid w:val="000A11C9"/>
    <w:rsid w:val="000A26C1"/>
    <w:rsid w:val="000A4E44"/>
    <w:rsid w:val="000A6A26"/>
    <w:rsid w:val="000B0600"/>
    <w:rsid w:val="000B38F0"/>
    <w:rsid w:val="000B52B4"/>
    <w:rsid w:val="000B5CCF"/>
    <w:rsid w:val="000B6AA1"/>
    <w:rsid w:val="000C4B47"/>
    <w:rsid w:val="000C4EED"/>
    <w:rsid w:val="000C5174"/>
    <w:rsid w:val="000C6E93"/>
    <w:rsid w:val="000C7198"/>
    <w:rsid w:val="000D0A74"/>
    <w:rsid w:val="000D1B59"/>
    <w:rsid w:val="000D26CD"/>
    <w:rsid w:val="000D3327"/>
    <w:rsid w:val="000D4910"/>
    <w:rsid w:val="000D5F9A"/>
    <w:rsid w:val="000D7CEF"/>
    <w:rsid w:val="000E085F"/>
    <w:rsid w:val="000E3E10"/>
    <w:rsid w:val="000E4908"/>
    <w:rsid w:val="000E531A"/>
    <w:rsid w:val="000E5FD1"/>
    <w:rsid w:val="000E60B7"/>
    <w:rsid w:val="000E6CAA"/>
    <w:rsid w:val="000E7D3D"/>
    <w:rsid w:val="000F0060"/>
    <w:rsid w:val="000F072B"/>
    <w:rsid w:val="000F2489"/>
    <w:rsid w:val="000F27EA"/>
    <w:rsid w:val="000F37C5"/>
    <w:rsid w:val="000F63A9"/>
    <w:rsid w:val="000F710D"/>
    <w:rsid w:val="000F7509"/>
    <w:rsid w:val="000F7619"/>
    <w:rsid w:val="00100F12"/>
    <w:rsid w:val="00101079"/>
    <w:rsid w:val="0010163F"/>
    <w:rsid w:val="00102F7B"/>
    <w:rsid w:val="00104CF8"/>
    <w:rsid w:val="00106B63"/>
    <w:rsid w:val="00106F6D"/>
    <w:rsid w:val="00107526"/>
    <w:rsid w:val="00107BC1"/>
    <w:rsid w:val="00107BDC"/>
    <w:rsid w:val="001116C6"/>
    <w:rsid w:val="00111823"/>
    <w:rsid w:val="00113642"/>
    <w:rsid w:val="00116692"/>
    <w:rsid w:val="001171CB"/>
    <w:rsid w:val="001229F0"/>
    <w:rsid w:val="00123FBE"/>
    <w:rsid w:val="001241A8"/>
    <w:rsid w:val="00125F9A"/>
    <w:rsid w:val="00130511"/>
    <w:rsid w:val="001308CD"/>
    <w:rsid w:val="001313F0"/>
    <w:rsid w:val="00131ADE"/>
    <w:rsid w:val="00132622"/>
    <w:rsid w:val="00134EDA"/>
    <w:rsid w:val="00135264"/>
    <w:rsid w:val="0013753E"/>
    <w:rsid w:val="001375FA"/>
    <w:rsid w:val="001378AD"/>
    <w:rsid w:val="00140560"/>
    <w:rsid w:val="00140567"/>
    <w:rsid w:val="00141014"/>
    <w:rsid w:val="00141075"/>
    <w:rsid w:val="00142A65"/>
    <w:rsid w:val="00143312"/>
    <w:rsid w:val="001451EA"/>
    <w:rsid w:val="00147E1B"/>
    <w:rsid w:val="00150A14"/>
    <w:rsid w:val="00150BCB"/>
    <w:rsid w:val="001513B3"/>
    <w:rsid w:val="00151432"/>
    <w:rsid w:val="0015265C"/>
    <w:rsid w:val="00152809"/>
    <w:rsid w:val="00153916"/>
    <w:rsid w:val="00153E64"/>
    <w:rsid w:val="00153F8B"/>
    <w:rsid w:val="00154A42"/>
    <w:rsid w:val="00155BAE"/>
    <w:rsid w:val="0016440A"/>
    <w:rsid w:val="001653C7"/>
    <w:rsid w:val="00167FC1"/>
    <w:rsid w:val="00172028"/>
    <w:rsid w:val="00173A15"/>
    <w:rsid w:val="001745A8"/>
    <w:rsid w:val="00175531"/>
    <w:rsid w:val="0017648E"/>
    <w:rsid w:val="0017751C"/>
    <w:rsid w:val="00177A25"/>
    <w:rsid w:val="001804CF"/>
    <w:rsid w:val="00180783"/>
    <w:rsid w:val="001822E0"/>
    <w:rsid w:val="001827AC"/>
    <w:rsid w:val="0018291E"/>
    <w:rsid w:val="001831B9"/>
    <w:rsid w:val="0018385C"/>
    <w:rsid w:val="00183AD0"/>
    <w:rsid w:val="00184469"/>
    <w:rsid w:val="00185394"/>
    <w:rsid w:val="00185528"/>
    <w:rsid w:val="00187E88"/>
    <w:rsid w:val="00191ED7"/>
    <w:rsid w:val="00192568"/>
    <w:rsid w:val="0019304B"/>
    <w:rsid w:val="001937E6"/>
    <w:rsid w:val="00193FA2"/>
    <w:rsid w:val="001979DB"/>
    <w:rsid w:val="001A1904"/>
    <w:rsid w:val="001A2BCE"/>
    <w:rsid w:val="001A2C40"/>
    <w:rsid w:val="001A2DBF"/>
    <w:rsid w:val="001A37AB"/>
    <w:rsid w:val="001A423A"/>
    <w:rsid w:val="001A5BCE"/>
    <w:rsid w:val="001A6363"/>
    <w:rsid w:val="001A66E0"/>
    <w:rsid w:val="001A71A8"/>
    <w:rsid w:val="001B0F2A"/>
    <w:rsid w:val="001B180E"/>
    <w:rsid w:val="001B2064"/>
    <w:rsid w:val="001B21F1"/>
    <w:rsid w:val="001B29F3"/>
    <w:rsid w:val="001B2DD7"/>
    <w:rsid w:val="001B3839"/>
    <w:rsid w:val="001B6507"/>
    <w:rsid w:val="001B6914"/>
    <w:rsid w:val="001B744D"/>
    <w:rsid w:val="001B7F19"/>
    <w:rsid w:val="001C00E1"/>
    <w:rsid w:val="001C2249"/>
    <w:rsid w:val="001C2589"/>
    <w:rsid w:val="001C30B6"/>
    <w:rsid w:val="001C3C79"/>
    <w:rsid w:val="001C507F"/>
    <w:rsid w:val="001C5D8B"/>
    <w:rsid w:val="001C79E3"/>
    <w:rsid w:val="001D2637"/>
    <w:rsid w:val="001D29E4"/>
    <w:rsid w:val="001D3B37"/>
    <w:rsid w:val="001D43BB"/>
    <w:rsid w:val="001D478F"/>
    <w:rsid w:val="001D7152"/>
    <w:rsid w:val="001E1475"/>
    <w:rsid w:val="001E1B46"/>
    <w:rsid w:val="001E2061"/>
    <w:rsid w:val="001E2474"/>
    <w:rsid w:val="001E2523"/>
    <w:rsid w:val="001E5A89"/>
    <w:rsid w:val="001E5B87"/>
    <w:rsid w:val="001E6F76"/>
    <w:rsid w:val="001E710E"/>
    <w:rsid w:val="001E72DE"/>
    <w:rsid w:val="001E77A1"/>
    <w:rsid w:val="001E7CC7"/>
    <w:rsid w:val="001F1CB5"/>
    <w:rsid w:val="001F2769"/>
    <w:rsid w:val="001F3B93"/>
    <w:rsid w:val="001F5292"/>
    <w:rsid w:val="001F52C0"/>
    <w:rsid w:val="001F6199"/>
    <w:rsid w:val="001F6E13"/>
    <w:rsid w:val="00200CE6"/>
    <w:rsid w:val="00201284"/>
    <w:rsid w:val="002018E6"/>
    <w:rsid w:val="00202000"/>
    <w:rsid w:val="002035DF"/>
    <w:rsid w:val="002038CD"/>
    <w:rsid w:val="002044BC"/>
    <w:rsid w:val="00205E2D"/>
    <w:rsid w:val="00206054"/>
    <w:rsid w:val="00207955"/>
    <w:rsid w:val="002105FC"/>
    <w:rsid w:val="00211D01"/>
    <w:rsid w:val="0021250E"/>
    <w:rsid w:val="0021274A"/>
    <w:rsid w:val="0021289D"/>
    <w:rsid w:val="00215773"/>
    <w:rsid w:val="002159FF"/>
    <w:rsid w:val="00217484"/>
    <w:rsid w:val="00217558"/>
    <w:rsid w:val="00217C11"/>
    <w:rsid w:val="00220879"/>
    <w:rsid w:val="002208A0"/>
    <w:rsid w:val="00221697"/>
    <w:rsid w:val="00222264"/>
    <w:rsid w:val="00226759"/>
    <w:rsid w:val="00226778"/>
    <w:rsid w:val="002269AF"/>
    <w:rsid w:val="00226A68"/>
    <w:rsid w:val="00231409"/>
    <w:rsid w:val="00232085"/>
    <w:rsid w:val="002331CA"/>
    <w:rsid w:val="00234FB6"/>
    <w:rsid w:val="002354A0"/>
    <w:rsid w:val="002407BE"/>
    <w:rsid w:val="00246E21"/>
    <w:rsid w:val="00250F6F"/>
    <w:rsid w:val="002519BB"/>
    <w:rsid w:val="00252DB7"/>
    <w:rsid w:val="00253BFD"/>
    <w:rsid w:val="00255EAA"/>
    <w:rsid w:val="00256F92"/>
    <w:rsid w:val="00261C1B"/>
    <w:rsid w:val="00261FAB"/>
    <w:rsid w:val="00263BD5"/>
    <w:rsid w:val="00265420"/>
    <w:rsid w:val="00265DF3"/>
    <w:rsid w:val="00265ED5"/>
    <w:rsid w:val="00266A89"/>
    <w:rsid w:val="002670BA"/>
    <w:rsid w:val="00270069"/>
    <w:rsid w:val="00270F17"/>
    <w:rsid w:val="00270FEB"/>
    <w:rsid w:val="002710CC"/>
    <w:rsid w:val="00272D49"/>
    <w:rsid w:val="002769B2"/>
    <w:rsid w:val="00276D5C"/>
    <w:rsid w:val="00277CE2"/>
    <w:rsid w:val="00280EF9"/>
    <w:rsid w:val="00281322"/>
    <w:rsid w:val="00284006"/>
    <w:rsid w:val="00284BFD"/>
    <w:rsid w:val="0028663D"/>
    <w:rsid w:val="00286AB6"/>
    <w:rsid w:val="00290A1B"/>
    <w:rsid w:val="0029107D"/>
    <w:rsid w:val="00294A9E"/>
    <w:rsid w:val="00295269"/>
    <w:rsid w:val="00297247"/>
    <w:rsid w:val="00297D30"/>
    <w:rsid w:val="002A221D"/>
    <w:rsid w:val="002A4EA2"/>
    <w:rsid w:val="002A5E41"/>
    <w:rsid w:val="002A656F"/>
    <w:rsid w:val="002A6EAC"/>
    <w:rsid w:val="002A7117"/>
    <w:rsid w:val="002B0078"/>
    <w:rsid w:val="002B03C3"/>
    <w:rsid w:val="002B0E0D"/>
    <w:rsid w:val="002B1990"/>
    <w:rsid w:val="002B2893"/>
    <w:rsid w:val="002B508B"/>
    <w:rsid w:val="002B5195"/>
    <w:rsid w:val="002B5EDC"/>
    <w:rsid w:val="002B7B2B"/>
    <w:rsid w:val="002C02FD"/>
    <w:rsid w:val="002C35A3"/>
    <w:rsid w:val="002C4B58"/>
    <w:rsid w:val="002C4F2F"/>
    <w:rsid w:val="002C6F08"/>
    <w:rsid w:val="002C6F3A"/>
    <w:rsid w:val="002C704E"/>
    <w:rsid w:val="002C7F17"/>
    <w:rsid w:val="002D2599"/>
    <w:rsid w:val="002D3DAF"/>
    <w:rsid w:val="002D411F"/>
    <w:rsid w:val="002D780A"/>
    <w:rsid w:val="002D7B73"/>
    <w:rsid w:val="002E5387"/>
    <w:rsid w:val="002E5929"/>
    <w:rsid w:val="002E7BDB"/>
    <w:rsid w:val="002F264E"/>
    <w:rsid w:val="002F28EC"/>
    <w:rsid w:val="002F4DD3"/>
    <w:rsid w:val="002F62A6"/>
    <w:rsid w:val="002F65E7"/>
    <w:rsid w:val="00300C8C"/>
    <w:rsid w:val="00301145"/>
    <w:rsid w:val="003014DC"/>
    <w:rsid w:val="00302DD5"/>
    <w:rsid w:val="00304973"/>
    <w:rsid w:val="00307368"/>
    <w:rsid w:val="003076DC"/>
    <w:rsid w:val="00311844"/>
    <w:rsid w:val="00312461"/>
    <w:rsid w:val="003150A0"/>
    <w:rsid w:val="00317592"/>
    <w:rsid w:val="0031759A"/>
    <w:rsid w:val="00317B1B"/>
    <w:rsid w:val="00323A5C"/>
    <w:rsid w:val="00324754"/>
    <w:rsid w:val="0032509F"/>
    <w:rsid w:val="003305B9"/>
    <w:rsid w:val="00330BA7"/>
    <w:rsid w:val="003333A3"/>
    <w:rsid w:val="00333D4E"/>
    <w:rsid w:val="00333ED8"/>
    <w:rsid w:val="00334CC6"/>
    <w:rsid w:val="00334D68"/>
    <w:rsid w:val="003354A9"/>
    <w:rsid w:val="00336B7F"/>
    <w:rsid w:val="00337209"/>
    <w:rsid w:val="00343C62"/>
    <w:rsid w:val="00344EE0"/>
    <w:rsid w:val="00344FFD"/>
    <w:rsid w:val="00347F1B"/>
    <w:rsid w:val="00350E9B"/>
    <w:rsid w:val="00352E69"/>
    <w:rsid w:val="00353C36"/>
    <w:rsid w:val="00354E11"/>
    <w:rsid w:val="00355172"/>
    <w:rsid w:val="003610FD"/>
    <w:rsid w:val="00361827"/>
    <w:rsid w:val="003657B5"/>
    <w:rsid w:val="00365F49"/>
    <w:rsid w:val="00371FE1"/>
    <w:rsid w:val="00372D8E"/>
    <w:rsid w:val="00375C68"/>
    <w:rsid w:val="00376A9D"/>
    <w:rsid w:val="00380B8F"/>
    <w:rsid w:val="00380D67"/>
    <w:rsid w:val="00382A52"/>
    <w:rsid w:val="003830D7"/>
    <w:rsid w:val="00385FA1"/>
    <w:rsid w:val="00387564"/>
    <w:rsid w:val="003876CA"/>
    <w:rsid w:val="00387B23"/>
    <w:rsid w:val="003906F7"/>
    <w:rsid w:val="00390E6F"/>
    <w:rsid w:val="00391830"/>
    <w:rsid w:val="00391BA7"/>
    <w:rsid w:val="00391D21"/>
    <w:rsid w:val="00394C0C"/>
    <w:rsid w:val="00394EEC"/>
    <w:rsid w:val="00396E1D"/>
    <w:rsid w:val="003A2224"/>
    <w:rsid w:val="003A278C"/>
    <w:rsid w:val="003A3DA6"/>
    <w:rsid w:val="003A4164"/>
    <w:rsid w:val="003A4234"/>
    <w:rsid w:val="003A5210"/>
    <w:rsid w:val="003A53D1"/>
    <w:rsid w:val="003A594B"/>
    <w:rsid w:val="003A5EB9"/>
    <w:rsid w:val="003B1C54"/>
    <w:rsid w:val="003B3D06"/>
    <w:rsid w:val="003B5B16"/>
    <w:rsid w:val="003B5B1E"/>
    <w:rsid w:val="003B689F"/>
    <w:rsid w:val="003C3685"/>
    <w:rsid w:val="003C3830"/>
    <w:rsid w:val="003C3F18"/>
    <w:rsid w:val="003C4621"/>
    <w:rsid w:val="003D01FD"/>
    <w:rsid w:val="003D14EA"/>
    <w:rsid w:val="003D1A48"/>
    <w:rsid w:val="003D4694"/>
    <w:rsid w:val="003D513A"/>
    <w:rsid w:val="003D7BEF"/>
    <w:rsid w:val="003E047A"/>
    <w:rsid w:val="003E1C4A"/>
    <w:rsid w:val="003E3664"/>
    <w:rsid w:val="003E4C37"/>
    <w:rsid w:val="003E4D5F"/>
    <w:rsid w:val="003E570E"/>
    <w:rsid w:val="003E7948"/>
    <w:rsid w:val="003F1F3B"/>
    <w:rsid w:val="003F5089"/>
    <w:rsid w:val="00401337"/>
    <w:rsid w:val="00401487"/>
    <w:rsid w:val="00402569"/>
    <w:rsid w:val="00402959"/>
    <w:rsid w:val="004036EE"/>
    <w:rsid w:val="00404D54"/>
    <w:rsid w:val="004102C4"/>
    <w:rsid w:val="00413C2D"/>
    <w:rsid w:val="00415047"/>
    <w:rsid w:val="00416F48"/>
    <w:rsid w:val="0042110F"/>
    <w:rsid w:val="00421162"/>
    <w:rsid w:val="00421814"/>
    <w:rsid w:val="00422A50"/>
    <w:rsid w:val="00423389"/>
    <w:rsid w:val="00423B3A"/>
    <w:rsid w:val="004254E4"/>
    <w:rsid w:val="0043159E"/>
    <w:rsid w:val="00432BBB"/>
    <w:rsid w:val="00433A04"/>
    <w:rsid w:val="00433AF6"/>
    <w:rsid w:val="004347A8"/>
    <w:rsid w:val="00437BB9"/>
    <w:rsid w:val="00440FAA"/>
    <w:rsid w:val="004411A4"/>
    <w:rsid w:val="00441F04"/>
    <w:rsid w:val="00443A44"/>
    <w:rsid w:val="00447567"/>
    <w:rsid w:val="004513C9"/>
    <w:rsid w:val="00452D30"/>
    <w:rsid w:val="00453933"/>
    <w:rsid w:val="00454818"/>
    <w:rsid w:val="004558D3"/>
    <w:rsid w:val="00461D0E"/>
    <w:rsid w:val="00461D86"/>
    <w:rsid w:val="00465F71"/>
    <w:rsid w:val="0046614D"/>
    <w:rsid w:val="004662AD"/>
    <w:rsid w:val="00466D1B"/>
    <w:rsid w:val="00467D1E"/>
    <w:rsid w:val="00467DF6"/>
    <w:rsid w:val="004708E9"/>
    <w:rsid w:val="0047319D"/>
    <w:rsid w:val="00473497"/>
    <w:rsid w:val="00474646"/>
    <w:rsid w:val="00480B11"/>
    <w:rsid w:val="004821FC"/>
    <w:rsid w:val="0048288C"/>
    <w:rsid w:val="0048297D"/>
    <w:rsid w:val="00482D36"/>
    <w:rsid w:val="00484191"/>
    <w:rsid w:val="00485702"/>
    <w:rsid w:val="00486D31"/>
    <w:rsid w:val="004877A5"/>
    <w:rsid w:val="00491769"/>
    <w:rsid w:val="00493E2E"/>
    <w:rsid w:val="004944FD"/>
    <w:rsid w:val="00494ACA"/>
    <w:rsid w:val="004955FC"/>
    <w:rsid w:val="0049606A"/>
    <w:rsid w:val="004964C7"/>
    <w:rsid w:val="004A0B25"/>
    <w:rsid w:val="004A165C"/>
    <w:rsid w:val="004A2BA3"/>
    <w:rsid w:val="004A3EAA"/>
    <w:rsid w:val="004A4FA1"/>
    <w:rsid w:val="004A7D1D"/>
    <w:rsid w:val="004B1BF1"/>
    <w:rsid w:val="004B1C04"/>
    <w:rsid w:val="004B437F"/>
    <w:rsid w:val="004B5223"/>
    <w:rsid w:val="004B6C59"/>
    <w:rsid w:val="004C2240"/>
    <w:rsid w:val="004C3BAF"/>
    <w:rsid w:val="004C4C91"/>
    <w:rsid w:val="004C56A8"/>
    <w:rsid w:val="004C57AC"/>
    <w:rsid w:val="004D0B2C"/>
    <w:rsid w:val="004D173E"/>
    <w:rsid w:val="004D35D0"/>
    <w:rsid w:val="004D3F35"/>
    <w:rsid w:val="004D689F"/>
    <w:rsid w:val="004D7051"/>
    <w:rsid w:val="004E181F"/>
    <w:rsid w:val="004E1B09"/>
    <w:rsid w:val="004E1B0C"/>
    <w:rsid w:val="004E6BD6"/>
    <w:rsid w:val="004E6F10"/>
    <w:rsid w:val="004F12EB"/>
    <w:rsid w:val="004F2116"/>
    <w:rsid w:val="004F2D7D"/>
    <w:rsid w:val="004F663A"/>
    <w:rsid w:val="00500D08"/>
    <w:rsid w:val="00501895"/>
    <w:rsid w:val="00502861"/>
    <w:rsid w:val="00504BB9"/>
    <w:rsid w:val="00504C0A"/>
    <w:rsid w:val="00504C49"/>
    <w:rsid w:val="00505F33"/>
    <w:rsid w:val="00506249"/>
    <w:rsid w:val="00506923"/>
    <w:rsid w:val="00506A4B"/>
    <w:rsid w:val="00507B54"/>
    <w:rsid w:val="00510B58"/>
    <w:rsid w:val="0051202B"/>
    <w:rsid w:val="00512577"/>
    <w:rsid w:val="00512886"/>
    <w:rsid w:val="005137E1"/>
    <w:rsid w:val="00516117"/>
    <w:rsid w:val="005206B1"/>
    <w:rsid w:val="005210E9"/>
    <w:rsid w:val="005217E1"/>
    <w:rsid w:val="005246D7"/>
    <w:rsid w:val="005305A9"/>
    <w:rsid w:val="005330D5"/>
    <w:rsid w:val="00534595"/>
    <w:rsid w:val="00534FCA"/>
    <w:rsid w:val="00537514"/>
    <w:rsid w:val="0054061F"/>
    <w:rsid w:val="005446C6"/>
    <w:rsid w:val="00544718"/>
    <w:rsid w:val="00545559"/>
    <w:rsid w:val="00545698"/>
    <w:rsid w:val="00545E72"/>
    <w:rsid w:val="0054634B"/>
    <w:rsid w:val="00547B08"/>
    <w:rsid w:val="005512CF"/>
    <w:rsid w:val="00553F6B"/>
    <w:rsid w:val="005543EE"/>
    <w:rsid w:val="005544F8"/>
    <w:rsid w:val="0055710D"/>
    <w:rsid w:val="005616AC"/>
    <w:rsid w:val="00562238"/>
    <w:rsid w:val="0056419A"/>
    <w:rsid w:val="00566C47"/>
    <w:rsid w:val="00567059"/>
    <w:rsid w:val="005700A3"/>
    <w:rsid w:val="005705E8"/>
    <w:rsid w:val="00570DB7"/>
    <w:rsid w:val="00571025"/>
    <w:rsid w:val="00571645"/>
    <w:rsid w:val="00571F48"/>
    <w:rsid w:val="00574491"/>
    <w:rsid w:val="00575DEA"/>
    <w:rsid w:val="00577176"/>
    <w:rsid w:val="005821A3"/>
    <w:rsid w:val="005837A0"/>
    <w:rsid w:val="00584BEB"/>
    <w:rsid w:val="005867C6"/>
    <w:rsid w:val="005873E8"/>
    <w:rsid w:val="00587881"/>
    <w:rsid w:val="0059072F"/>
    <w:rsid w:val="00592199"/>
    <w:rsid w:val="00592CA9"/>
    <w:rsid w:val="005935DD"/>
    <w:rsid w:val="005935F0"/>
    <w:rsid w:val="005937B6"/>
    <w:rsid w:val="005949BA"/>
    <w:rsid w:val="00594BD5"/>
    <w:rsid w:val="005958CB"/>
    <w:rsid w:val="00595C2A"/>
    <w:rsid w:val="005970EF"/>
    <w:rsid w:val="00597A61"/>
    <w:rsid w:val="005A1DB5"/>
    <w:rsid w:val="005A2823"/>
    <w:rsid w:val="005A34B8"/>
    <w:rsid w:val="005A68EA"/>
    <w:rsid w:val="005A7B44"/>
    <w:rsid w:val="005B0476"/>
    <w:rsid w:val="005B0873"/>
    <w:rsid w:val="005B1374"/>
    <w:rsid w:val="005B18E1"/>
    <w:rsid w:val="005B2885"/>
    <w:rsid w:val="005B302D"/>
    <w:rsid w:val="005B3703"/>
    <w:rsid w:val="005B444E"/>
    <w:rsid w:val="005B7CE0"/>
    <w:rsid w:val="005C1FFF"/>
    <w:rsid w:val="005C36DE"/>
    <w:rsid w:val="005C3BFA"/>
    <w:rsid w:val="005C525E"/>
    <w:rsid w:val="005C65C2"/>
    <w:rsid w:val="005D1939"/>
    <w:rsid w:val="005D2857"/>
    <w:rsid w:val="005D4E13"/>
    <w:rsid w:val="005D4F76"/>
    <w:rsid w:val="005D5568"/>
    <w:rsid w:val="005E0C22"/>
    <w:rsid w:val="005E1B7E"/>
    <w:rsid w:val="005E23BB"/>
    <w:rsid w:val="005E2628"/>
    <w:rsid w:val="005E467A"/>
    <w:rsid w:val="005E610F"/>
    <w:rsid w:val="005E64D9"/>
    <w:rsid w:val="005E7A8F"/>
    <w:rsid w:val="005E7F36"/>
    <w:rsid w:val="005F068C"/>
    <w:rsid w:val="005F1842"/>
    <w:rsid w:val="005F1C82"/>
    <w:rsid w:val="005F1CD0"/>
    <w:rsid w:val="005F28F4"/>
    <w:rsid w:val="005F4476"/>
    <w:rsid w:val="005F4888"/>
    <w:rsid w:val="005F48A4"/>
    <w:rsid w:val="005F52E4"/>
    <w:rsid w:val="005F6516"/>
    <w:rsid w:val="005F6685"/>
    <w:rsid w:val="00600C15"/>
    <w:rsid w:val="00601ABF"/>
    <w:rsid w:val="0060503A"/>
    <w:rsid w:val="006051A1"/>
    <w:rsid w:val="006053C3"/>
    <w:rsid w:val="00606663"/>
    <w:rsid w:val="0060793A"/>
    <w:rsid w:val="00610551"/>
    <w:rsid w:val="00613AE2"/>
    <w:rsid w:val="0061418E"/>
    <w:rsid w:val="00616DDF"/>
    <w:rsid w:val="006246C4"/>
    <w:rsid w:val="00625261"/>
    <w:rsid w:val="00625E62"/>
    <w:rsid w:val="006305B4"/>
    <w:rsid w:val="006306B7"/>
    <w:rsid w:val="0063375B"/>
    <w:rsid w:val="00634D68"/>
    <w:rsid w:val="00635A76"/>
    <w:rsid w:val="00640A4F"/>
    <w:rsid w:val="00641E86"/>
    <w:rsid w:val="006431C4"/>
    <w:rsid w:val="00643F2E"/>
    <w:rsid w:val="00645819"/>
    <w:rsid w:val="006470AC"/>
    <w:rsid w:val="00650ABF"/>
    <w:rsid w:val="00651CB7"/>
    <w:rsid w:val="00652468"/>
    <w:rsid w:val="006528BC"/>
    <w:rsid w:val="00654855"/>
    <w:rsid w:val="006558E0"/>
    <w:rsid w:val="0066142B"/>
    <w:rsid w:val="006617DC"/>
    <w:rsid w:val="00664A75"/>
    <w:rsid w:val="00666179"/>
    <w:rsid w:val="006673D7"/>
    <w:rsid w:val="00667BC3"/>
    <w:rsid w:val="006734B7"/>
    <w:rsid w:val="0067612A"/>
    <w:rsid w:val="00677535"/>
    <w:rsid w:val="00677FCF"/>
    <w:rsid w:val="00680934"/>
    <w:rsid w:val="00681D68"/>
    <w:rsid w:val="00682D5C"/>
    <w:rsid w:val="00683A59"/>
    <w:rsid w:val="0068434A"/>
    <w:rsid w:val="00684EFA"/>
    <w:rsid w:val="00687DFA"/>
    <w:rsid w:val="006902F3"/>
    <w:rsid w:val="00694CA1"/>
    <w:rsid w:val="006A0AD4"/>
    <w:rsid w:val="006A3293"/>
    <w:rsid w:val="006A349D"/>
    <w:rsid w:val="006A5F39"/>
    <w:rsid w:val="006A60EB"/>
    <w:rsid w:val="006A686C"/>
    <w:rsid w:val="006A71E2"/>
    <w:rsid w:val="006A7495"/>
    <w:rsid w:val="006A7A48"/>
    <w:rsid w:val="006B060C"/>
    <w:rsid w:val="006B2092"/>
    <w:rsid w:val="006B64B6"/>
    <w:rsid w:val="006B757C"/>
    <w:rsid w:val="006B77F7"/>
    <w:rsid w:val="006C0B9C"/>
    <w:rsid w:val="006C17FE"/>
    <w:rsid w:val="006C2461"/>
    <w:rsid w:val="006C3579"/>
    <w:rsid w:val="006C402F"/>
    <w:rsid w:val="006D055A"/>
    <w:rsid w:val="006D07A8"/>
    <w:rsid w:val="006D114C"/>
    <w:rsid w:val="006D1DEA"/>
    <w:rsid w:val="006D3579"/>
    <w:rsid w:val="006D4094"/>
    <w:rsid w:val="006D4118"/>
    <w:rsid w:val="006D4DDA"/>
    <w:rsid w:val="006D5A3D"/>
    <w:rsid w:val="006D693A"/>
    <w:rsid w:val="006D7913"/>
    <w:rsid w:val="006D7BBF"/>
    <w:rsid w:val="006E16EE"/>
    <w:rsid w:val="006E26AA"/>
    <w:rsid w:val="006E3081"/>
    <w:rsid w:val="006E37F6"/>
    <w:rsid w:val="006E6006"/>
    <w:rsid w:val="006E6DFE"/>
    <w:rsid w:val="006E7FDA"/>
    <w:rsid w:val="006F09B1"/>
    <w:rsid w:val="006F13E0"/>
    <w:rsid w:val="006F3ABF"/>
    <w:rsid w:val="006F49C6"/>
    <w:rsid w:val="006F4D6B"/>
    <w:rsid w:val="006F602A"/>
    <w:rsid w:val="006F6284"/>
    <w:rsid w:val="006F6567"/>
    <w:rsid w:val="00702F4E"/>
    <w:rsid w:val="00703090"/>
    <w:rsid w:val="00706CCB"/>
    <w:rsid w:val="00707D1E"/>
    <w:rsid w:val="007115EA"/>
    <w:rsid w:val="00711980"/>
    <w:rsid w:val="0071292E"/>
    <w:rsid w:val="007132B0"/>
    <w:rsid w:val="0071354D"/>
    <w:rsid w:val="00714581"/>
    <w:rsid w:val="00714BDC"/>
    <w:rsid w:val="00716435"/>
    <w:rsid w:val="007166D4"/>
    <w:rsid w:val="007178B0"/>
    <w:rsid w:val="00717D7A"/>
    <w:rsid w:val="007202BB"/>
    <w:rsid w:val="0072042B"/>
    <w:rsid w:val="00720646"/>
    <w:rsid w:val="00720C56"/>
    <w:rsid w:val="0072176F"/>
    <w:rsid w:val="0072387A"/>
    <w:rsid w:val="007256EC"/>
    <w:rsid w:val="0072580C"/>
    <w:rsid w:val="00726094"/>
    <w:rsid w:val="007262FC"/>
    <w:rsid w:val="007322CE"/>
    <w:rsid w:val="007347C7"/>
    <w:rsid w:val="007349AD"/>
    <w:rsid w:val="00737E87"/>
    <w:rsid w:val="00740032"/>
    <w:rsid w:val="00741E02"/>
    <w:rsid w:val="00743102"/>
    <w:rsid w:val="00743296"/>
    <w:rsid w:val="00743E6A"/>
    <w:rsid w:val="00746061"/>
    <w:rsid w:val="00746A30"/>
    <w:rsid w:val="00746B6B"/>
    <w:rsid w:val="00746CE5"/>
    <w:rsid w:val="00751548"/>
    <w:rsid w:val="007537AF"/>
    <w:rsid w:val="00760F37"/>
    <w:rsid w:val="00762DF7"/>
    <w:rsid w:val="0076418F"/>
    <w:rsid w:val="007643D3"/>
    <w:rsid w:val="00764C4E"/>
    <w:rsid w:val="00764E08"/>
    <w:rsid w:val="00765F11"/>
    <w:rsid w:val="00766FE4"/>
    <w:rsid w:val="00767059"/>
    <w:rsid w:val="00770A09"/>
    <w:rsid w:val="00774564"/>
    <w:rsid w:val="00775DDE"/>
    <w:rsid w:val="00776CF2"/>
    <w:rsid w:val="00780F46"/>
    <w:rsid w:val="007818E4"/>
    <w:rsid w:val="00781CDD"/>
    <w:rsid w:val="007824E9"/>
    <w:rsid w:val="00783094"/>
    <w:rsid w:val="00785889"/>
    <w:rsid w:val="00790378"/>
    <w:rsid w:val="00791DEC"/>
    <w:rsid w:val="0079413B"/>
    <w:rsid w:val="00794153"/>
    <w:rsid w:val="00794C84"/>
    <w:rsid w:val="00797DDD"/>
    <w:rsid w:val="007A1271"/>
    <w:rsid w:val="007A211E"/>
    <w:rsid w:val="007A2633"/>
    <w:rsid w:val="007A3F27"/>
    <w:rsid w:val="007A47BB"/>
    <w:rsid w:val="007A60EC"/>
    <w:rsid w:val="007B12F4"/>
    <w:rsid w:val="007B21EA"/>
    <w:rsid w:val="007B5571"/>
    <w:rsid w:val="007B5DAD"/>
    <w:rsid w:val="007C6DE0"/>
    <w:rsid w:val="007C7F71"/>
    <w:rsid w:val="007D2853"/>
    <w:rsid w:val="007D2B00"/>
    <w:rsid w:val="007D325D"/>
    <w:rsid w:val="007D64BB"/>
    <w:rsid w:val="007D6D6A"/>
    <w:rsid w:val="007E10A6"/>
    <w:rsid w:val="007E2CAF"/>
    <w:rsid w:val="007E2D09"/>
    <w:rsid w:val="007E711A"/>
    <w:rsid w:val="007E7CCC"/>
    <w:rsid w:val="007F0214"/>
    <w:rsid w:val="007F056B"/>
    <w:rsid w:val="007F3068"/>
    <w:rsid w:val="007F428E"/>
    <w:rsid w:val="007F47AD"/>
    <w:rsid w:val="007F5DA7"/>
    <w:rsid w:val="007F615C"/>
    <w:rsid w:val="007F63F5"/>
    <w:rsid w:val="007F6775"/>
    <w:rsid w:val="007F6ED5"/>
    <w:rsid w:val="007F6F68"/>
    <w:rsid w:val="0080391A"/>
    <w:rsid w:val="00805B3D"/>
    <w:rsid w:val="008102EE"/>
    <w:rsid w:val="0081140C"/>
    <w:rsid w:val="00811610"/>
    <w:rsid w:val="00811B92"/>
    <w:rsid w:val="00812798"/>
    <w:rsid w:val="00812841"/>
    <w:rsid w:val="00812B8F"/>
    <w:rsid w:val="00812E74"/>
    <w:rsid w:val="00813EAF"/>
    <w:rsid w:val="00814B5A"/>
    <w:rsid w:val="008150A9"/>
    <w:rsid w:val="0081540F"/>
    <w:rsid w:val="0081627A"/>
    <w:rsid w:val="00821982"/>
    <w:rsid w:val="008236FA"/>
    <w:rsid w:val="00825D36"/>
    <w:rsid w:val="008261AD"/>
    <w:rsid w:val="0082734E"/>
    <w:rsid w:val="00831C98"/>
    <w:rsid w:val="00833604"/>
    <w:rsid w:val="0083579E"/>
    <w:rsid w:val="00836511"/>
    <w:rsid w:val="00836D72"/>
    <w:rsid w:val="00837250"/>
    <w:rsid w:val="008401B0"/>
    <w:rsid w:val="008420F0"/>
    <w:rsid w:val="00842275"/>
    <w:rsid w:val="00846275"/>
    <w:rsid w:val="008501B2"/>
    <w:rsid w:val="00850A84"/>
    <w:rsid w:val="00852479"/>
    <w:rsid w:val="00853B00"/>
    <w:rsid w:val="00854D91"/>
    <w:rsid w:val="0085608F"/>
    <w:rsid w:val="00856381"/>
    <w:rsid w:val="00857507"/>
    <w:rsid w:val="00860A7E"/>
    <w:rsid w:val="00863196"/>
    <w:rsid w:val="00863374"/>
    <w:rsid w:val="0086455E"/>
    <w:rsid w:val="00865D91"/>
    <w:rsid w:val="00865DB7"/>
    <w:rsid w:val="008672A8"/>
    <w:rsid w:val="00867F3D"/>
    <w:rsid w:val="0087462D"/>
    <w:rsid w:val="00874EC7"/>
    <w:rsid w:val="008755FE"/>
    <w:rsid w:val="008757F9"/>
    <w:rsid w:val="00877670"/>
    <w:rsid w:val="008813B7"/>
    <w:rsid w:val="00883C30"/>
    <w:rsid w:val="00884973"/>
    <w:rsid w:val="00885E3C"/>
    <w:rsid w:val="00886D15"/>
    <w:rsid w:val="0089392E"/>
    <w:rsid w:val="00893A10"/>
    <w:rsid w:val="0089669A"/>
    <w:rsid w:val="00897589"/>
    <w:rsid w:val="008A08CD"/>
    <w:rsid w:val="008A0C0E"/>
    <w:rsid w:val="008A1292"/>
    <w:rsid w:val="008A33E7"/>
    <w:rsid w:val="008A394A"/>
    <w:rsid w:val="008A4208"/>
    <w:rsid w:val="008A586E"/>
    <w:rsid w:val="008A6A44"/>
    <w:rsid w:val="008A6D1F"/>
    <w:rsid w:val="008A6D3C"/>
    <w:rsid w:val="008A7442"/>
    <w:rsid w:val="008A77DA"/>
    <w:rsid w:val="008B0775"/>
    <w:rsid w:val="008B0E90"/>
    <w:rsid w:val="008B18D4"/>
    <w:rsid w:val="008B1EA4"/>
    <w:rsid w:val="008B2D23"/>
    <w:rsid w:val="008B499D"/>
    <w:rsid w:val="008B4B96"/>
    <w:rsid w:val="008B66EA"/>
    <w:rsid w:val="008B676F"/>
    <w:rsid w:val="008B6AA8"/>
    <w:rsid w:val="008B784D"/>
    <w:rsid w:val="008C0174"/>
    <w:rsid w:val="008C1305"/>
    <w:rsid w:val="008C1653"/>
    <w:rsid w:val="008C2D14"/>
    <w:rsid w:val="008C517A"/>
    <w:rsid w:val="008D036E"/>
    <w:rsid w:val="008D03F0"/>
    <w:rsid w:val="008D2694"/>
    <w:rsid w:val="008D45F3"/>
    <w:rsid w:val="008D720B"/>
    <w:rsid w:val="008D742B"/>
    <w:rsid w:val="008E020B"/>
    <w:rsid w:val="008E13EF"/>
    <w:rsid w:val="008E3164"/>
    <w:rsid w:val="008F1093"/>
    <w:rsid w:val="008F1892"/>
    <w:rsid w:val="008F2377"/>
    <w:rsid w:val="008F4E2E"/>
    <w:rsid w:val="008F7932"/>
    <w:rsid w:val="00902952"/>
    <w:rsid w:val="00904446"/>
    <w:rsid w:val="009049A7"/>
    <w:rsid w:val="00905C5B"/>
    <w:rsid w:val="00907545"/>
    <w:rsid w:val="00907CE6"/>
    <w:rsid w:val="009102D5"/>
    <w:rsid w:val="00910B6E"/>
    <w:rsid w:val="0091113E"/>
    <w:rsid w:val="00913A09"/>
    <w:rsid w:val="009143FD"/>
    <w:rsid w:val="009146B0"/>
    <w:rsid w:val="00915001"/>
    <w:rsid w:val="00917E5C"/>
    <w:rsid w:val="00920562"/>
    <w:rsid w:val="00920BB5"/>
    <w:rsid w:val="00922E24"/>
    <w:rsid w:val="0092394D"/>
    <w:rsid w:val="00924B4A"/>
    <w:rsid w:val="00925DEE"/>
    <w:rsid w:val="00925F3D"/>
    <w:rsid w:val="00926C76"/>
    <w:rsid w:val="00927186"/>
    <w:rsid w:val="0092764C"/>
    <w:rsid w:val="00927C32"/>
    <w:rsid w:val="0093127E"/>
    <w:rsid w:val="009314C5"/>
    <w:rsid w:val="00931F35"/>
    <w:rsid w:val="00933718"/>
    <w:rsid w:val="00934BC2"/>
    <w:rsid w:val="00936C4E"/>
    <w:rsid w:val="009416D9"/>
    <w:rsid w:val="00941EA9"/>
    <w:rsid w:val="00944BA2"/>
    <w:rsid w:val="009467FB"/>
    <w:rsid w:val="009471D5"/>
    <w:rsid w:val="00947A26"/>
    <w:rsid w:val="009500BD"/>
    <w:rsid w:val="00953DB5"/>
    <w:rsid w:val="00956A5E"/>
    <w:rsid w:val="00957767"/>
    <w:rsid w:val="00960426"/>
    <w:rsid w:val="00960457"/>
    <w:rsid w:val="00964122"/>
    <w:rsid w:val="00964680"/>
    <w:rsid w:val="00970051"/>
    <w:rsid w:val="009712CA"/>
    <w:rsid w:val="00981302"/>
    <w:rsid w:val="009823E4"/>
    <w:rsid w:val="0098408B"/>
    <w:rsid w:val="009843D1"/>
    <w:rsid w:val="009847EB"/>
    <w:rsid w:val="009875D3"/>
    <w:rsid w:val="00987E1E"/>
    <w:rsid w:val="00987EC1"/>
    <w:rsid w:val="00991388"/>
    <w:rsid w:val="00992377"/>
    <w:rsid w:val="009933BC"/>
    <w:rsid w:val="00994371"/>
    <w:rsid w:val="009964C5"/>
    <w:rsid w:val="009A0988"/>
    <w:rsid w:val="009A37FA"/>
    <w:rsid w:val="009A4844"/>
    <w:rsid w:val="009A573A"/>
    <w:rsid w:val="009B129C"/>
    <w:rsid w:val="009B198C"/>
    <w:rsid w:val="009B3E76"/>
    <w:rsid w:val="009B54B1"/>
    <w:rsid w:val="009B64F1"/>
    <w:rsid w:val="009C3400"/>
    <w:rsid w:val="009C4844"/>
    <w:rsid w:val="009C6392"/>
    <w:rsid w:val="009C7AB8"/>
    <w:rsid w:val="009C7CD1"/>
    <w:rsid w:val="009D082A"/>
    <w:rsid w:val="009D133E"/>
    <w:rsid w:val="009D394E"/>
    <w:rsid w:val="009D4BE4"/>
    <w:rsid w:val="009D5A13"/>
    <w:rsid w:val="009D69EE"/>
    <w:rsid w:val="009D7386"/>
    <w:rsid w:val="009D7B79"/>
    <w:rsid w:val="009D7D79"/>
    <w:rsid w:val="009D7F42"/>
    <w:rsid w:val="009E1710"/>
    <w:rsid w:val="009E373A"/>
    <w:rsid w:val="009E3FA3"/>
    <w:rsid w:val="009F0344"/>
    <w:rsid w:val="009F1BDC"/>
    <w:rsid w:val="009F3DB8"/>
    <w:rsid w:val="009F4866"/>
    <w:rsid w:val="009F4C15"/>
    <w:rsid w:val="009F4F7A"/>
    <w:rsid w:val="00A00240"/>
    <w:rsid w:val="00A017EF"/>
    <w:rsid w:val="00A02537"/>
    <w:rsid w:val="00A03110"/>
    <w:rsid w:val="00A076BC"/>
    <w:rsid w:val="00A0774F"/>
    <w:rsid w:val="00A077B4"/>
    <w:rsid w:val="00A07F37"/>
    <w:rsid w:val="00A1052B"/>
    <w:rsid w:val="00A10CB5"/>
    <w:rsid w:val="00A11B88"/>
    <w:rsid w:val="00A135B3"/>
    <w:rsid w:val="00A14C0F"/>
    <w:rsid w:val="00A16E6E"/>
    <w:rsid w:val="00A2019F"/>
    <w:rsid w:val="00A22967"/>
    <w:rsid w:val="00A2371E"/>
    <w:rsid w:val="00A23C71"/>
    <w:rsid w:val="00A23F84"/>
    <w:rsid w:val="00A2468B"/>
    <w:rsid w:val="00A25AF6"/>
    <w:rsid w:val="00A277B6"/>
    <w:rsid w:val="00A27A72"/>
    <w:rsid w:val="00A27ECC"/>
    <w:rsid w:val="00A300DF"/>
    <w:rsid w:val="00A305C5"/>
    <w:rsid w:val="00A34E5C"/>
    <w:rsid w:val="00A350F4"/>
    <w:rsid w:val="00A37516"/>
    <w:rsid w:val="00A4129E"/>
    <w:rsid w:val="00A42190"/>
    <w:rsid w:val="00A43EE4"/>
    <w:rsid w:val="00A454F5"/>
    <w:rsid w:val="00A46D6F"/>
    <w:rsid w:val="00A46E2F"/>
    <w:rsid w:val="00A46ED3"/>
    <w:rsid w:val="00A50ED4"/>
    <w:rsid w:val="00A52E8D"/>
    <w:rsid w:val="00A54AE6"/>
    <w:rsid w:val="00A56158"/>
    <w:rsid w:val="00A5721A"/>
    <w:rsid w:val="00A600CC"/>
    <w:rsid w:val="00A6104D"/>
    <w:rsid w:val="00A6187B"/>
    <w:rsid w:val="00A630C7"/>
    <w:rsid w:val="00A6465F"/>
    <w:rsid w:val="00A64B04"/>
    <w:rsid w:val="00A72849"/>
    <w:rsid w:val="00A741E8"/>
    <w:rsid w:val="00A747CB"/>
    <w:rsid w:val="00A7628B"/>
    <w:rsid w:val="00A80456"/>
    <w:rsid w:val="00A80BA4"/>
    <w:rsid w:val="00A86AC2"/>
    <w:rsid w:val="00A86B35"/>
    <w:rsid w:val="00A9133C"/>
    <w:rsid w:val="00A92310"/>
    <w:rsid w:val="00A93061"/>
    <w:rsid w:val="00A942AC"/>
    <w:rsid w:val="00A944A6"/>
    <w:rsid w:val="00A9601F"/>
    <w:rsid w:val="00A967AB"/>
    <w:rsid w:val="00A970EA"/>
    <w:rsid w:val="00AA036B"/>
    <w:rsid w:val="00AA0A98"/>
    <w:rsid w:val="00AA336C"/>
    <w:rsid w:val="00AA3930"/>
    <w:rsid w:val="00AA53B8"/>
    <w:rsid w:val="00AA57D6"/>
    <w:rsid w:val="00AA6279"/>
    <w:rsid w:val="00AA6F1A"/>
    <w:rsid w:val="00AB0650"/>
    <w:rsid w:val="00AB30A1"/>
    <w:rsid w:val="00AB5551"/>
    <w:rsid w:val="00AB56AF"/>
    <w:rsid w:val="00AB6C79"/>
    <w:rsid w:val="00AB6EF9"/>
    <w:rsid w:val="00AB6F72"/>
    <w:rsid w:val="00AC2A9A"/>
    <w:rsid w:val="00AC370A"/>
    <w:rsid w:val="00AC48FB"/>
    <w:rsid w:val="00AC70F0"/>
    <w:rsid w:val="00AC7AB2"/>
    <w:rsid w:val="00AC7F16"/>
    <w:rsid w:val="00AD00DE"/>
    <w:rsid w:val="00AD1BC0"/>
    <w:rsid w:val="00AD34A7"/>
    <w:rsid w:val="00AD4717"/>
    <w:rsid w:val="00AD5947"/>
    <w:rsid w:val="00AD5FF8"/>
    <w:rsid w:val="00AD67FD"/>
    <w:rsid w:val="00AD73BD"/>
    <w:rsid w:val="00AD7FBC"/>
    <w:rsid w:val="00AE13B2"/>
    <w:rsid w:val="00AE26EB"/>
    <w:rsid w:val="00AE27B2"/>
    <w:rsid w:val="00AE50D1"/>
    <w:rsid w:val="00AE5111"/>
    <w:rsid w:val="00AE5223"/>
    <w:rsid w:val="00AE5BA5"/>
    <w:rsid w:val="00AE79B8"/>
    <w:rsid w:val="00AF15D2"/>
    <w:rsid w:val="00AF254D"/>
    <w:rsid w:val="00AF31A6"/>
    <w:rsid w:val="00AF4A9E"/>
    <w:rsid w:val="00AF701E"/>
    <w:rsid w:val="00AF7C79"/>
    <w:rsid w:val="00B068A9"/>
    <w:rsid w:val="00B07A52"/>
    <w:rsid w:val="00B118E9"/>
    <w:rsid w:val="00B15A6F"/>
    <w:rsid w:val="00B16239"/>
    <w:rsid w:val="00B20140"/>
    <w:rsid w:val="00B21AB2"/>
    <w:rsid w:val="00B22A73"/>
    <w:rsid w:val="00B236A4"/>
    <w:rsid w:val="00B24BBC"/>
    <w:rsid w:val="00B25BEE"/>
    <w:rsid w:val="00B267F3"/>
    <w:rsid w:val="00B26927"/>
    <w:rsid w:val="00B3040F"/>
    <w:rsid w:val="00B30E0A"/>
    <w:rsid w:val="00B311FC"/>
    <w:rsid w:val="00B31C71"/>
    <w:rsid w:val="00B3472E"/>
    <w:rsid w:val="00B34B1A"/>
    <w:rsid w:val="00B3525B"/>
    <w:rsid w:val="00B357E4"/>
    <w:rsid w:val="00B36B25"/>
    <w:rsid w:val="00B40C31"/>
    <w:rsid w:val="00B45B85"/>
    <w:rsid w:val="00B47C92"/>
    <w:rsid w:val="00B51BA2"/>
    <w:rsid w:val="00B53226"/>
    <w:rsid w:val="00B54D20"/>
    <w:rsid w:val="00B55F6D"/>
    <w:rsid w:val="00B60B78"/>
    <w:rsid w:val="00B60C4F"/>
    <w:rsid w:val="00B60D7E"/>
    <w:rsid w:val="00B62310"/>
    <w:rsid w:val="00B62CE7"/>
    <w:rsid w:val="00B64F93"/>
    <w:rsid w:val="00B7093B"/>
    <w:rsid w:val="00B721FC"/>
    <w:rsid w:val="00B745B3"/>
    <w:rsid w:val="00B75237"/>
    <w:rsid w:val="00B76622"/>
    <w:rsid w:val="00B76E05"/>
    <w:rsid w:val="00B7755F"/>
    <w:rsid w:val="00B77C3D"/>
    <w:rsid w:val="00B86D39"/>
    <w:rsid w:val="00B914F2"/>
    <w:rsid w:val="00B91CC7"/>
    <w:rsid w:val="00B952B3"/>
    <w:rsid w:val="00B95962"/>
    <w:rsid w:val="00B959F9"/>
    <w:rsid w:val="00BA0D04"/>
    <w:rsid w:val="00BA3658"/>
    <w:rsid w:val="00BA3C86"/>
    <w:rsid w:val="00BA4BC9"/>
    <w:rsid w:val="00BA5910"/>
    <w:rsid w:val="00BA5B64"/>
    <w:rsid w:val="00BA5DAF"/>
    <w:rsid w:val="00BB10CB"/>
    <w:rsid w:val="00BB2BEA"/>
    <w:rsid w:val="00BB37F4"/>
    <w:rsid w:val="00BB3CFA"/>
    <w:rsid w:val="00BB587D"/>
    <w:rsid w:val="00BC0971"/>
    <w:rsid w:val="00BC1CAE"/>
    <w:rsid w:val="00BC247F"/>
    <w:rsid w:val="00BC2756"/>
    <w:rsid w:val="00BC400F"/>
    <w:rsid w:val="00BC5D39"/>
    <w:rsid w:val="00BC6036"/>
    <w:rsid w:val="00BD0683"/>
    <w:rsid w:val="00BD1EE0"/>
    <w:rsid w:val="00BD3578"/>
    <w:rsid w:val="00BD4595"/>
    <w:rsid w:val="00BD60DC"/>
    <w:rsid w:val="00BE0E53"/>
    <w:rsid w:val="00BE1D73"/>
    <w:rsid w:val="00BE3823"/>
    <w:rsid w:val="00BE428B"/>
    <w:rsid w:val="00BE548A"/>
    <w:rsid w:val="00BE5D41"/>
    <w:rsid w:val="00BF17B8"/>
    <w:rsid w:val="00BF24E6"/>
    <w:rsid w:val="00BF2B55"/>
    <w:rsid w:val="00BF36DD"/>
    <w:rsid w:val="00BF372C"/>
    <w:rsid w:val="00BF4A03"/>
    <w:rsid w:val="00BF6587"/>
    <w:rsid w:val="00BF663C"/>
    <w:rsid w:val="00BF7B44"/>
    <w:rsid w:val="00C00D29"/>
    <w:rsid w:val="00C013F4"/>
    <w:rsid w:val="00C014BD"/>
    <w:rsid w:val="00C01AF6"/>
    <w:rsid w:val="00C01D83"/>
    <w:rsid w:val="00C02B68"/>
    <w:rsid w:val="00C03B40"/>
    <w:rsid w:val="00C040D7"/>
    <w:rsid w:val="00C0429C"/>
    <w:rsid w:val="00C04896"/>
    <w:rsid w:val="00C05A0A"/>
    <w:rsid w:val="00C067C4"/>
    <w:rsid w:val="00C07C84"/>
    <w:rsid w:val="00C10E1E"/>
    <w:rsid w:val="00C11380"/>
    <w:rsid w:val="00C13906"/>
    <w:rsid w:val="00C14EE3"/>
    <w:rsid w:val="00C15CFE"/>
    <w:rsid w:val="00C15E57"/>
    <w:rsid w:val="00C20660"/>
    <w:rsid w:val="00C21EF7"/>
    <w:rsid w:val="00C2440A"/>
    <w:rsid w:val="00C24A6B"/>
    <w:rsid w:val="00C25015"/>
    <w:rsid w:val="00C26926"/>
    <w:rsid w:val="00C26E7D"/>
    <w:rsid w:val="00C30FD6"/>
    <w:rsid w:val="00C30FF6"/>
    <w:rsid w:val="00C31623"/>
    <w:rsid w:val="00C31C68"/>
    <w:rsid w:val="00C331CE"/>
    <w:rsid w:val="00C340D9"/>
    <w:rsid w:val="00C34852"/>
    <w:rsid w:val="00C34CD8"/>
    <w:rsid w:val="00C3786C"/>
    <w:rsid w:val="00C40288"/>
    <w:rsid w:val="00C41BD3"/>
    <w:rsid w:val="00C46079"/>
    <w:rsid w:val="00C504C8"/>
    <w:rsid w:val="00C52833"/>
    <w:rsid w:val="00C537DA"/>
    <w:rsid w:val="00C56AC4"/>
    <w:rsid w:val="00C56BB7"/>
    <w:rsid w:val="00C56E2E"/>
    <w:rsid w:val="00C57470"/>
    <w:rsid w:val="00C63AFC"/>
    <w:rsid w:val="00C67F16"/>
    <w:rsid w:val="00C70AA9"/>
    <w:rsid w:val="00C70CD7"/>
    <w:rsid w:val="00C713CE"/>
    <w:rsid w:val="00C73345"/>
    <w:rsid w:val="00C751E7"/>
    <w:rsid w:val="00C80722"/>
    <w:rsid w:val="00C84271"/>
    <w:rsid w:val="00C843B6"/>
    <w:rsid w:val="00C85513"/>
    <w:rsid w:val="00C8778C"/>
    <w:rsid w:val="00C91C70"/>
    <w:rsid w:val="00C935A2"/>
    <w:rsid w:val="00C93D28"/>
    <w:rsid w:val="00C94C24"/>
    <w:rsid w:val="00C97AEF"/>
    <w:rsid w:val="00CA026F"/>
    <w:rsid w:val="00CA1A31"/>
    <w:rsid w:val="00CA1B15"/>
    <w:rsid w:val="00CA2334"/>
    <w:rsid w:val="00CA29FE"/>
    <w:rsid w:val="00CA2BDA"/>
    <w:rsid w:val="00CA2C94"/>
    <w:rsid w:val="00CA3588"/>
    <w:rsid w:val="00CA3D17"/>
    <w:rsid w:val="00CA5489"/>
    <w:rsid w:val="00CA55FC"/>
    <w:rsid w:val="00CA6A23"/>
    <w:rsid w:val="00CA7FE4"/>
    <w:rsid w:val="00CB0903"/>
    <w:rsid w:val="00CB2BB5"/>
    <w:rsid w:val="00CB2C53"/>
    <w:rsid w:val="00CC0267"/>
    <w:rsid w:val="00CC1C1A"/>
    <w:rsid w:val="00CC1CB3"/>
    <w:rsid w:val="00CC212F"/>
    <w:rsid w:val="00CC24C6"/>
    <w:rsid w:val="00CC255A"/>
    <w:rsid w:val="00CC390B"/>
    <w:rsid w:val="00CC4652"/>
    <w:rsid w:val="00CC4DA4"/>
    <w:rsid w:val="00CC551D"/>
    <w:rsid w:val="00CC5B61"/>
    <w:rsid w:val="00CC6BF2"/>
    <w:rsid w:val="00CC7456"/>
    <w:rsid w:val="00CC765C"/>
    <w:rsid w:val="00CD003F"/>
    <w:rsid w:val="00CD1325"/>
    <w:rsid w:val="00CD25A7"/>
    <w:rsid w:val="00CD2AF2"/>
    <w:rsid w:val="00CD31B9"/>
    <w:rsid w:val="00CD4E48"/>
    <w:rsid w:val="00CD51F0"/>
    <w:rsid w:val="00CD65C6"/>
    <w:rsid w:val="00CD733D"/>
    <w:rsid w:val="00CE14E5"/>
    <w:rsid w:val="00CE1774"/>
    <w:rsid w:val="00CE1D6F"/>
    <w:rsid w:val="00CE3546"/>
    <w:rsid w:val="00CE53D4"/>
    <w:rsid w:val="00CE7098"/>
    <w:rsid w:val="00CF00EE"/>
    <w:rsid w:val="00CF1FBF"/>
    <w:rsid w:val="00CF28AC"/>
    <w:rsid w:val="00CF318F"/>
    <w:rsid w:val="00CF4D14"/>
    <w:rsid w:val="00D001D9"/>
    <w:rsid w:val="00D026FB"/>
    <w:rsid w:val="00D07395"/>
    <w:rsid w:val="00D12522"/>
    <w:rsid w:val="00D14FC7"/>
    <w:rsid w:val="00D150CF"/>
    <w:rsid w:val="00D16264"/>
    <w:rsid w:val="00D1628D"/>
    <w:rsid w:val="00D16FE6"/>
    <w:rsid w:val="00D2162F"/>
    <w:rsid w:val="00D23699"/>
    <w:rsid w:val="00D23CCB"/>
    <w:rsid w:val="00D24FDF"/>
    <w:rsid w:val="00D2646B"/>
    <w:rsid w:val="00D32014"/>
    <w:rsid w:val="00D329CD"/>
    <w:rsid w:val="00D33B9C"/>
    <w:rsid w:val="00D35F06"/>
    <w:rsid w:val="00D36316"/>
    <w:rsid w:val="00D37A16"/>
    <w:rsid w:val="00D37E9B"/>
    <w:rsid w:val="00D40241"/>
    <w:rsid w:val="00D431B8"/>
    <w:rsid w:val="00D44971"/>
    <w:rsid w:val="00D4626D"/>
    <w:rsid w:val="00D472CF"/>
    <w:rsid w:val="00D50601"/>
    <w:rsid w:val="00D50C22"/>
    <w:rsid w:val="00D50EED"/>
    <w:rsid w:val="00D5321C"/>
    <w:rsid w:val="00D53239"/>
    <w:rsid w:val="00D542FE"/>
    <w:rsid w:val="00D544E6"/>
    <w:rsid w:val="00D54D86"/>
    <w:rsid w:val="00D55A58"/>
    <w:rsid w:val="00D6081E"/>
    <w:rsid w:val="00D60B7F"/>
    <w:rsid w:val="00D62782"/>
    <w:rsid w:val="00D6316A"/>
    <w:rsid w:val="00D636A6"/>
    <w:rsid w:val="00D639B0"/>
    <w:rsid w:val="00D64014"/>
    <w:rsid w:val="00D661F0"/>
    <w:rsid w:val="00D70B05"/>
    <w:rsid w:val="00D7376F"/>
    <w:rsid w:val="00D73F3E"/>
    <w:rsid w:val="00D7489C"/>
    <w:rsid w:val="00D74B3D"/>
    <w:rsid w:val="00D755CE"/>
    <w:rsid w:val="00D812A8"/>
    <w:rsid w:val="00D81EA6"/>
    <w:rsid w:val="00D8210B"/>
    <w:rsid w:val="00D82EFA"/>
    <w:rsid w:val="00D85E0B"/>
    <w:rsid w:val="00D872BB"/>
    <w:rsid w:val="00D90EDD"/>
    <w:rsid w:val="00D93A59"/>
    <w:rsid w:val="00D942F4"/>
    <w:rsid w:val="00D95501"/>
    <w:rsid w:val="00D97706"/>
    <w:rsid w:val="00DA06DD"/>
    <w:rsid w:val="00DA0A83"/>
    <w:rsid w:val="00DA185F"/>
    <w:rsid w:val="00DA1D81"/>
    <w:rsid w:val="00DA3B6D"/>
    <w:rsid w:val="00DA3E7C"/>
    <w:rsid w:val="00DA6C07"/>
    <w:rsid w:val="00DB3F1A"/>
    <w:rsid w:val="00DB58E3"/>
    <w:rsid w:val="00DB6E4F"/>
    <w:rsid w:val="00DB7480"/>
    <w:rsid w:val="00DB75A1"/>
    <w:rsid w:val="00DC03E7"/>
    <w:rsid w:val="00DC218C"/>
    <w:rsid w:val="00DC270F"/>
    <w:rsid w:val="00DC6BA3"/>
    <w:rsid w:val="00DD0A41"/>
    <w:rsid w:val="00DD2F86"/>
    <w:rsid w:val="00DD42C5"/>
    <w:rsid w:val="00DD4834"/>
    <w:rsid w:val="00DD5DA4"/>
    <w:rsid w:val="00DD7D2F"/>
    <w:rsid w:val="00DE1F0C"/>
    <w:rsid w:val="00DE2E8E"/>
    <w:rsid w:val="00DE35A9"/>
    <w:rsid w:val="00DE7630"/>
    <w:rsid w:val="00DE7FA0"/>
    <w:rsid w:val="00DF0C25"/>
    <w:rsid w:val="00DF1D58"/>
    <w:rsid w:val="00DF2460"/>
    <w:rsid w:val="00DF37AB"/>
    <w:rsid w:val="00DF5D27"/>
    <w:rsid w:val="00DF6EE7"/>
    <w:rsid w:val="00E00EB2"/>
    <w:rsid w:val="00E054B7"/>
    <w:rsid w:val="00E05924"/>
    <w:rsid w:val="00E13CDE"/>
    <w:rsid w:val="00E14ABA"/>
    <w:rsid w:val="00E1551D"/>
    <w:rsid w:val="00E15A1A"/>
    <w:rsid w:val="00E27AE9"/>
    <w:rsid w:val="00E308B3"/>
    <w:rsid w:val="00E30F79"/>
    <w:rsid w:val="00E3125F"/>
    <w:rsid w:val="00E33A00"/>
    <w:rsid w:val="00E3467E"/>
    <w:rsid w:val="00E354BF"/>
    <w:rsid w:val="00E360E9"/>
    <w:rsid w:val="00E361C7"/>
    <w:rsid w:val="00E372B8"/>
    <w:rsid w:val="00E40CDC"/>
    <w:rsid w:val="00E444B9"/>
    <w:rsid w:val="00E44D25"/>
    <w:rsid w:val="00E465C0"/>
    <w:rsid w:val="00E47207"/>
    <w:rsid w:val="00E503DA"/>
    <w:rsid w:val="00E52DD3"/>
    <w:rsid w:val="00E54A65"/>
    <w:rsid w:val="00E55D63"/>
    <w:rsid w:val="00E55F83"/>
    <w:rsid w:val="00E5732D"/>
    <w:rsid w:val="00E65FCC"/>
    <w:rsid w:val="00E66B3C"/>
    <w:rsid w:val="00E72599"/>
    <w:rsid w:val="00E734B6"/>
    <w:rsid w:val="00E74186"/>
    <w:rsid w:val="00E74F02"/>
    <w:rsid w:val="00E75315"/>
    <w:rsid w:val="00E774B2"/>
    <w:rsid w:val="00E77570"/>
    <w:rsid w:val="00E77CBA"/>
    <w:rsid w:val="00E77D2B"/>
    <w:rsid w:val="00E77EDA"/>
    <w:rsid w:val="00E8151F"/>
    <w:rsid w:val="00E82673"/>
    <w:rsid w:val="00E86212"/>
    <w:rsid w:val="00E9032F"/>
    <w:rsid w:val="00E91960"/>
    <w:rsid w:val="00E92837"/>
    <w:rsid w:val="00E94B2E"/>
    <w:rsid w:val="00E96FCA"/>
    <w:rsid w:val="00E974DE"/>
    <w:rsid w:val="00EA15E6"/>
    <w:rsid w:val="00EA2F67"/>
    <w:rsid w:val="00EA3041"/>
    <w:rsid w:val="00EA3982"/>
    <w:rsid w:val="00EA4157"/>
    <w:rsid w:val="00EA4290"/>
    <w:rsid w:val="00EA5FBB"/>
    <w:rsid w:val="00EA66FA"/>
    <w:rsid w:val="00EA6707"/>
    <w:rsid w:val="00EB05CF"/>
    <w:rsid w:val="00EB125B"/>
    <w:rsid w:val="00EB31A5"/>
    <w:rsid w:val="00EB6F24"/>
    <w:rsid w:val="00EC1419"/>
    <w:rsid w:val="00EC57B2"/>
    <w:rsid w:val="00EC5894"/>
    <w:rsid w:val="00EC6326"/>
    <w:rsid w:val="00EC67D5"/>
    <w:rsid w:val="00EC70D7"/>
    <w:rsid w:val="00ED0794"/>
    <w:rsid w:val="00ED144F"/>
    <w:rsid w:val="00ED2455"/>
    <w:rsid w:val="00ED339E"/>
    <w:rsid w:val="00ED3528"/>
    <w:rsid w:val="00ED372C"/>
    <w:rsid w:val="00ED39FB"/>
    <w:rsid w:val="00ED6269"/>
    <w:rsid w:val="00ED67F3"/>
    <w:rsid w:val="00EE05F1"/>
    <w:rsid w:val="00EE091B"/>
    <w:rsid w:val="00EE0A05"/>
    <w:rsid w:val="00EE31C6"/>
    <w:rsid w:val="00EE5A8F"/>
    <w:rsid w:val="00EE70F6"/>
    <w:rsid w:val="00EE74E7"/>
    <w:rsid w:val="00EE77B6"/>
    <w:rsid w:val="00EF0C02"/>
    <w:rsid w:val="00EF3F68"/>
    <w:rsid w:val="00EF79D8"/>
    <w:rsid w:val="00F01441"/>
    <w:rsid w:val="00F01690"/>
    <w:rsid w:val="00F0508E"/>
    <w:rsid w:val="00F05209"/>
    <w:rsid w:val="00F0524B"/>
    <w:rsid w:val="00F06DBB"/>
    <w:rsid w:val="00F07664"/>
    <w:rsid w:val="00F07B47"/>
    <w:rsid w:val="00F102FC"/>
    <w:rsid w:val="00F12D2E"/>
    <w:rsid w:val="00F13179"/>
    <w:rsid w:val="00F13277"/>
    <w:rsid w:val="00F1505B"/>
    <w:rsid w:val="00F153F5"/>
    <w:rsid w:val="00F20360"/>
    <w:rsid w:val="00F231AC"/>
    <w:rsid w:val="00F26140"/>
    <w:rsid w:val="00F26BEA"/>
    <w:rsid w:val="00F26D9A"/>
    <w:rsid w:val="00F302DA"/>
    <w:rsid w:val="00F30747"/>
    <w:rsid w:val="00F31ECB"/>
    <w:rsid w:val="00F348CB"/>
    <w:rsid w:val="00F35AE6"/>
    <w:rsid w:val="00F35DC8"/>
    <w:rsid w:val="00F37612"/>
    <w:rsid w:val="00F414BE"/>
    <w:rsid w:val="00F41C1B"/>
    <w:rsid w:val="00F438BD"/>
    <w:rsid w:val="00F43EC6"/>
    <w:rsid w:val="00F45AA2"/>
    <w:rsid w:val="00F4610C"/>
    <w:rsid w:val="00F463CA"/>
    <w:rsid w:val="00F47D4F"/>
    <w:rsid w:val="00F5000F"/>
    <w:rsid w:val="00F50476"/>
    <w:rsid w:val="00F5363F"/>
    <w:rsid w:val="00F544D6"/>
    <w:rsid w:val="00F56209"/>
    <w:rsid w:val="00F57179"/>
    <w:rsid w:val="00F6133C"/>
    <w:rsid w:val="00F61B5D"/>
    <w:rsid w:val="00F6461F"/>
    <w:rsid w:val="00F65197"/>
    <w:rsid w:val="00F656A7"/>
    <w:rsid w:val="00F65AE7"/>
    <w:rsid w:val="00F660B5"/>
    <w:rsid w:val="00F665CD"/>
    <w:rsid w:val="00F66A46"/>
    <w:rsid w:val="00F711E1"/>
    <w:rsid w:val="00F71C8C"/>
    <w:rsid w:val="00F74F8F"/>
    <w:rsid w:val="00F752BE"/>
    <w:rsid w:val="00F75826"/>
    <w:rsid w:val="00F75BA8"/>
    <w:rsid w:val="00F80354"/>
    <w:rsid w:val="00F808AC"/>
    <w:rsid w:val="00F81E6F"/>
    <w:rsid w:val="00F83CBE"/>
    <w:rsid w:val="00F840E5"/>
    <w:rsid w:val="00F843AE"/>
    <w:rsid w:val="00F956E2"/>
    <w:rsid w:val="00F95BD5"/>
    <w:rsid w:val="00F96A0A"/>
    <w:rsid w:val="00F96B5D"/>
    <w:rsid w:val="00FA1F69"/>
    <w:rsid w:val="00FA4533"/>
    <w:rsid w:val="00FA4845"/>
    <w:rsid w:val="00FA5FF1"/>
    <w:rsid w:val="00FA63D0"/>
    <w:rsid w:val="00FA71C5"/>
    <w:rsid w:val="00FB0530"/>
    <w:rsid w:val="00FB0C43"/>
    <w:rsid w:val="00FB10F5"/>
    <w:rsid w:val="00FB3488"/>
    <w:rsid w:val="00FB3ADA"/>
    <w:rsid w:val="00FB4B9E"/>
    <w:rsid w:val="00FB57B5"/>
    <w:rsid w:val="00FB5991"/>
    <w:rsid w:val="00FC0CB5"/>
    <w:rsid w:val="00FC25F9"/>
    <w:rsid w:val="00FD0176"/>
    <w:rsid w:val="00FD09C4"/>
    <w:rsid w:val="00FD12EC"/>
    <w:rsid w:val="00FD1F1B"/>
    <w:rsid w:val="00FD2C19"/>
    <w:rsid w:val="00FD5ECC"/>
    <w:rsid w:val="00FD6E5A"/>
    <w:rsid w:val="00FD754B"/>
    <w:rsid w:val="00FE0456"/>
    <w:rsid w:val="00FE0510"/>
    <w:rsid w:val="00FE09A1"/>
    <w:rsid w:val="00FE1A1E"/>
    <w:rsid w:val="00FE3D4F"/>
    <w:rsid w:val="00FE4498"/>
    <w:rsid w:val="00FE4B8D"/>
    <w:rsid w:val="00FE4DFC"/>
    <w:rsid w:val="00FE54E5"/>
    <w:rsid w:val="00FE62F6"/>
    <w:rsid w:val="00FE6D0A"/>
    <w:rsid w:val="00FE7B17"/>
    <w:rsid w:val="00FF316A"/>
    <w:rsid w:val="00FF3364"/>
    <w:rsid w:val="00FF5F6E"/>
    <w:rsid w:val="00FF6E9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C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30747"/>
    <w:pPr>
      <w:widowControl w:val="0"/>
      <w:autoSpaceDE w:val="0"/>
      <w:autoSpaceDN w:val="0"/>
      <w:adjustRightInd w:val="0"/>
    </w:pPr>
    <w:rPr>
      <w:rFonts w:ascii="Times New Roman" w:hAnsi="Times New Roman" w:cs="Times New Roman"/>
      <w:color w:val="000000"/>
    </w:rPr>
  </w:style>
  <w:style w:type="character" w:customStyle="1" w:styleId="Normal1">
    <w:name w:val="Normal1"/>
    <w:basedOn w:val="Tipodeletrapredefinidodopargrafo"/>
    <w:rsid w:val="00336B7F"/>
  </w:style>
  <w:style w:type="character" w:customStyle="1" w:styleId="hps">
    <w:name w:val="hps"/>
    <w:basedOn w:val="Tipodeletrapredefinidodopargrafo"/>
    <w:rsid w:val="00336B7F"/>
  </w:style>
  <w:style w:type="paragraph" w:styleId="Cabealho">
    <w:name w:val="header"/>
    <w:basedOn w:val="Normal"/>
    <w:link w:val="CabealhoCarcter"/>
    <w:uiPriority w:val="99"/>
    <w:unhideWhenUsed/>
    <w:rsid w:val="00297247"/>
    <w:pPr>
      <w:tabs>
        <w:tab w:val="center" w:pos="4320"/>
        <w:tab w:val="right" w:pos="8640"/>
      </w:tabs>
    </w:pPr>
  </w:style>
  <w:style w:type="character" w:customStyle="1" w:styleId="CabealhoCarcter">
    <w:name w:val="Cabeçalho Carácter"/>
    <w:basedOn w:val="Tipodeletrapredefinidodopargrafo"/>
    <w:link w:val="Cabealho"/>
    <w:uiPriority w:val="99"/>
    <w:rsid w:val="00297247"/>
  </w:style>
  <w:style w:type="paragraph" w:styleId="Rodap">
    <w:name w:val="footer"/>
    <w:basedOn w:val="Normal"/>
    <w:link w:val="RodapCarcter"/>
    <w:uiPriority w:val="99"/>
    <w:unhideWhenUsed/>
    <w:rsid w:val="00297247"/>
    <w:pPr>
      <w:tabs>
        <w:tab w:val="center" w:pos="4320"/>
        <w:tab w:val="right" w:pos="8640"/>
      </w:tabs>
    </w:pPr>
  </w:style>
  <w:style w:type="character" w:customStyle="1" w:styleId="RodapCarcter">
    <w:name w:val="Rodapé Carácter"/>
    <w:basedOn w:val="Tipodeletrapredefinidodopargrafo"/>
    <w:link w:val="Rodap"/>
    <w:uiPriority w:val="99"/>
    <w:rsid w:val="00297247"/>
  </w:style>
  <w:style w:type="paragraph" w:styleId="PargrafodaLista">
    <w:name w:val="List Paragraph"/>
    <w:basedOn w:val="Normal"/>
    <w:uiPriority w:val="34"/>
    <w:qFormat/>
    <w:rsid w:val="00C713CE"/>
    <w:pPr>
      <w:ind w:left="720"/>
      <w:contextualSpacing/>
    </w:pPr>
  </w:style>
  <w:style w:type="character" w:styleId="Hiperligao">
    <w:name w:val="Hyperlink"/>
    <w:basedOn w:val="Tipodeletrapredefinidodopargrafo"/>
    <w:uiPriority w:val="99"/>
    <w:unhideWhenUsed/>
    <w:rsid w:val="00071136"/>
    <w:rPr>
      <w:color w:val="0000FF" w:themeColor="hyperlink"/>
      <w:u w:val="single"/>
    </w:rPr>
  </w:style>
  <w:style w:type="character" w:styleId="Nmerodepgina">
    <w:name w:val="page number"/>
    <w:basedOn w:val="Tipodeletrapredefinidodopargrafo"/>
    <w:uiPriority w:val="99"/>
    <w:semiHidden/>
    <w:unhideWhenUsed/>
    <w:rsid w:val="00050A43"/>
  </w:style>
  <w:style w:type="character" w:styleId="Refdecomentrio">
    <w:name w:val="annotation reference"/>
    <w:basedOn w:val="Tipodeletrapredefinidodopargrafo"/>
    <w:uiPriority w:val="99"/>
    <w:semiHidden/>
    <w:unhideWhenUsed/>
    <w:rsid w:val="006F602A"/>
    <w:rPr>
      <w:sz w:val="16"/>
      <w:szCs w:val="16"/>
    </w:rPr>
  </w:style>
  <w:style w:type="paragraph" w:styleId="Textodecomentrio">
    <w:name w:val="annotation text"/>
    <w:basedOn w:val="Normal"/>
    <w:link w:val="TextodecomentrioCarcter"/>
    <w:uiPriority w:val="99"/>
    <w:semiHidden/>
    <w:unhideWhenUsed/>
    <w:rsid w:val="006F602A"/>
    <w:rPr>
      <w:sz w:val="20"/>
      <w:szCs w:val="20"/>
    </w:rPr>
  </w:style>
  <w:style w:type="character" w:customStyle="1" w:styleId="TextodecomentrioCarcter">
    <w:name w:val="Texto de comentário Carácter"/>
    <w:basedOn w:val="Tipodeletrapredefinidodopargrafo"/>
    <w:link w:val="Textodecomentrio"/>
    <w:uiPriority w:val="99"/>
    <w:semiHidden/>
    <w:rsid w:val="006F602A"/>
    <w:rPr>
      <w:sz w:val="20"/>
      <w:szCs w:val="20"/>
    </w:rPr>
  </w:style>
  <w:style w:type="paragraph" w:styleId="Assuntodecomentrio">
    <w:name w:val="annotation subject"/>
    <w:basedOn w:val="Textodecomentrio"/>
    <w:next w:val="Textodecomentrio"/>
    <w:link w:val="AssuntodecomentrioCarcter"/>
    <w:uiPriority w:val="99"/>
    <w:semiHidden/>
    <w:unhideWhenUsed/>
    <w:rsid w:val="006F602A"/>
    <w:rPr>
      <w:b/>
      <w:bCs/>
    </w:rPr>
  </w:style>
  <w:style w:type="character" w:customStyle="1" w:styleId="AssuntodecomentrioCarcter">
    <w:name w:val="Assunto de comentário Carácter"/>
    <w:basedOn w:val="TextodecomentrioCarcter"/>
    <w:link w:val="Assuntodecomentrio"/>
    <w:uiPriority w:val="99"/>
    <w:semiHidden/>
    <w:rsid w:val="006F602A"/>
    <w:rPr>
      <w:b/>
      <w:bCs/>
      <w:sz w:val="20"/>
      <w:szCs w:val="20"/>
    </w:rPr>
  </w:style>
  <w:style w:type="paragraph" w:styleId="Textodebalo">
    <w:name w:val="Balloon Text"/>
    <w:basedOn w:val="Normal"/>
    <w:link w:val="TextodebaloCarcter"/>
    <w:uiPriority w:val="99"/>
    <w:semiHidden/>
    <w:unhideWhenUsed/>
    <w:rsid w:val="006F602A"/>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F602A"/>
    <w:rPr>
      <w:rFonts w:ascii="Tahoma" w:hAnsi="Tahoma" w:cs="Tahoma"/>
      <w:sz w:val="16"/>
      <w:szCs w:val="16"/>
    </w:rPr>
  </w:style>
  <w:style w:type="character" w:styleId="Hiperligaovisitada">
    <w:name w:val="FollowedHyperlink"/>
    <w:basedOn w:val="Tipodeletrapredefinidodopargrafo"/>
    <w:uiPriority w:val="99"/>
    <w:semiHidden/>
    <w:unhideWhenUsed/>
    <w:rsid w:val="00684EF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0747"/>
    <w:pPr>
      <w:widowControl w:val="0"/>
      <w:autoSpaceDE w:val="0"/>
      <w:autoSpaceDN w:val="0"/>
      <w:adjustRightInd w:val="0"/>
    </w:pPr>
    <w:rPr>
      <w:rFonts w:ascii="Times New Roman" w:hAnsi="Times New Roman" w:cs="Times New Roman"/>
      <w:color w:val="000000"/>
    </w:rPr>
  </w:style>
  <w:style w:type="character" w:customStyle="1" w:styleId="Normal1">
    <w:name w:val="Normal1"/>
    <w:basedOn w:val="DefaultParagraphFont"/>
    <w:rsid w:val="00336B7F"/>
  </w:style>
  <w:style w:type="character" w:customStyle="1" w:styleId="hps">
    <w:name w:val="hps"/>
    <w:basedOn w:val="DefaultParagraphFont"/>
    <w:rsid w:val="00336B7F"/>
  </w:style>
  <w:style w:type="paragraph" w:styleId="Header">
    <w:name w:val="header"/>
    <w:basedOn w:val="Normal"/>
    <w:link w:val="HeaderChar"/>
    <w:uiPriority w:val="99"/>
    <w:unhideWhenUsed/>
    <w:rsid w:val="00297247"/>
    <w:pPr>
      <w:tabs>
        <w:tab w:val="center" w:pos="4320"/>
        <w:tab w:val="right" w:pos="8640"/>
      </w:tabs>
    </w:pPr>
  </w:style>
  <w:style w:type="character" w:customStyle="1" w:styleId="HeaderChar">
    <w:name w:val="Header Char"/>
    <w:basedOn w:val="DefaultParagraphFont"/>
    <w:link w:val="Header"/>
    <w:uiPriority w:val="99"/>
    <w:rsid w:val="00297247"/>
  </w:style>
  <w:style w:type="paragraph" w:styleId="Footer">
    <w:name w:val="footer"/>
    <w:basedOn w:val="Normal"/>
    <w:link w:val="FooterChar"/>
    <w:uiPriority w:val="99"/>
    <w:unhideWhenUsed/>
    <w:rsid w:val="00297247"/>
    <w:pPr>
      <w:tabs>
        <w:tab w:val="center" w:pos="4320"/>
        <w:tab w:val="right" w:pos="8640"/>
      </w:tabs>
    </w:pPr>
  </w:style>
  <w:style w:type="character" w:customStyle="1" w:styleId="FooterChar">
    <w:name w:val="Footer Char"/>
    <w:basedOn w:val="DefaultParagraphFont"/>
    <w:link w:val="Footer"/>
    <w:uiPriority w:val="99"/>
    <w:rsid w:val="00297247"/>
  </w:style>
  <w:style w:type="paragraph" w:styleId="ListParagraph">
    <w:name w:val="List Paragraph"/>
    <w:basedOn w:val="Normal"/>
    <w:uiPriority w:val="34"/>
    <w:qFormat/>
    <w:rsid w:val="00C713CE"/>
    <w:pPr>
      <w:ind w:left="720"/>
      <w:contextualSpacing/>
    </w:pPr>
  </w:style>
  <w:style w:type="character" w:styleId="Hyperlink">
    <w:name w:val="Hyperlink"/>
    <w:basedOn w:val="DefaultParagraphFont"/>
    <w:uiPriority w:val="99"/>
    <w:unhideWhenUsed/>
    <w:rsid w:val="00071136"/>
    <w:rPr>
      <w:color w:val="0000FF" w:themeColor="hyperlink"/>
      <w:u w:val="single"/>
    </w:rPr>
  </w:style>
  <w:style w:type="character" w:styleId="PageNumber">
    <w:name w:val="page number"/>
    <w:basedOn w:val="DefaultParagraphFont"/>
    <w:uiPriority w:val="99"/>
    <w:semiHidden/>
    <w:unhideWhenUsed/>
    <w:rsid w:val="00050A43"/>
  </w:style>
  <w:style w:type="character" w:styleId="CommentReference">
    <w:name w:val="annotation reference"/>
    <w:basedOn w:val="DefaultParagraphFont"/>
    <w:uiPriority w:val="99"/>
    <w:semiHidden/>
    <w:unhideWhenUsed/>
    <w:rsid w:val="006F602A"/>
    <w:rPr>
      <w:sz w:val="16"/>
      <w:szCs w:val="16"/>
    </w:rPr>
  </w:style>
  <w:style w:type="paragraph" w:styleId="CommentText">
    <w:name w:val="annotation text"/>
    <w:basedOn w:val="Normal"/>
    <w:link w:val="CommentTextChar"/>
    <w:uiPriority w:val="99"/>
    <w:semiHidden/>
    <w:unhideWhenUsed/>
    <w:rsid w:val="006F602A"/>
    <w:rPr>
      <w:sz w:val="20"/>
      <w:szCs w:val="20"/>
    </w:rPr>
  </w:style>
  <w:style w:type="character" w:customStyle="1" w:styleId="CommentTextChar">
    <w:name w:val="Comment Text Char"/>
    <w:basedOn w:val="DefaultParagraphFont"/>
    <w:link w:val="CommentText"/>
    <w:uiPriority w:val="99"/>
    <w:semiHidden/>
    <w:rsid w:val="006F602A"/>
    <w:rPr>
      <w:sz w:val="20"/>
      <w:szCs w:val="20"/>
    </w:rPr>
  </w:style>
  <w:style w:type="paragraph" w:styleId="CommentSubject">
    <w:name w:val="annotation subject"/>
    <w:basedOn w:val="CommentText"/>
    <w:next w:val="CommentText"/>
    <w:link w:val="CommentSubjectChar"/>
    <w:uiPriority w:val="99"/>
    <w:semiHidden/>
    <w:unhideWhenUsed/>
    <w:rsid w:val="006F602A"/>
    <w:rPr>
      <w:b/>
      <w:bCs/>
    </w:rPr>
  </w:style>
  <w:style w:type="character" w:customStyle="1" w:styleId="CommentSubjectChar">
    <w:name w:val="Comment Subject Char"/>
    <w:basedOn w:val="CommentTextChar"/>
    <w:link w:val="CommentSubject"/>
    <w:uiPriority w:val="99"/>
    <w:semiHidden/>
    <w:rsid w:val="006F602A"/>
    <w:rPr>
      <w:b/>
      <w:bCs/>
      <w:sz w:val="20"/>
      <w:szCs w:val="20"/>
    </w:rPr>
  </w:style>
  <w:style w:type="paragraph" w:styleId="BalloonText">
    <w:name w:val="Balloon Text"/>
    <w:basedOn w:val="Normal"/>
    <w:link w:val="BalloonTextChar"/>
    <w:uiPriority w:val="99"/>
    <w:semiHidden/>
    <w:unhideWhenUsed/>
    <w:rsid w:val="006F602A"/>
    <w:rPr>
      <w:rFonts w:ascii="Tahoma" w:hAnsi="Tahoma" w:cs="Tahoma"/>
      <w:sz w:val="16"/>
      <w:szCs w:val="16"/>
    </w:rPr>
  </w:style>
  <w:style w:type="character" w:customStyle="1" w:styleId="BalloonTextChar">
    <w:name w:val="Balloon Text Char"/>
    <w:basedOn w:val="DefaultParagraphFont"/>
    <w:link w:val="BalloonText"/>
    <w:uiPriority w:val="99"/>
    <w:semiHidden/>
    <w:rsid w:val="006F602A"/>
    <w:rPr>
      <w:rFonts w:ascii="Tahoma" w:hAnsi="Tahoma" w:cs="Tahoma"/>
      <w:sz w:val="16"/>
      <w:szCs w:val="16"/>
    </w:rPr>
  </w:style>
  <w:style w:type="character" w:styleId="FollowedHyperlink">
    <w:name w:val="FollowedHyperlink"/>
    <w:basedOn w:val="DefaultParagraphFont"/>
    <w:uiPriority w:val="99"/>
    <w:semiHidden/>
    <w:unhideWhenUsed/>
    <w:rsid w:val="00684E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atarinamendes@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88D2-0A97-4080-9B6D-332A0BC5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4667</Words>
  <Characters>25208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Catarina Mendes</dc:creator>
  <cp:lastModifiedBy>MReis</cp:lastModifiedBy>
  <cp:revision>2</cp:revision>
  <dcterms:created xsi:type="dcterms:W3CDTF">2014-08-11T12:59:00Z</dcterms:created>
  <dcterms:modified xsi:type="dcterms:W3CDTF">2014-08-11T12:59:00Z</dcterms:modified>
</cp:coreProperties>
</file>