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6A" w:rsidRPr="00172C6A" w:rsidRDefault="00313BC0" w:rsidP="00447877">
      <w:pPr>
        <w:spacing w:after="0" w:line="480" w:lineRule="auto"/>
        <w:rPr>
          <w:rFonts w:cstheme="minorHAnsi"/>
          <w:b/>
          <w:caps/>
          <w:sz w:val="32"/>
        </w:rPr>
      </w:pPr>
      <w:r w:rsidRPr="00172C6A">
        <w:rPr>
          <w:rFonts w:cstheme="minorHAnsi"/>
          <w:b/>
          <w:caps/>
          <w:sz w:val="32"/>
        </w:rPr>
        <w:t>Haverá lugar para a colecistectomia aberta na colecistite aguda?</w:t>
      </w:r>
    </w:p>
    <w:p w:rsidR="008E4E4B" w:rsidRPr="00172C6A" w:rsidRDefault="006E5B21" w:rsidP="00447877">
      <w:pPr>
        <w:spacing w:after="0" w:line="240" w:lineRule="auto"/>
        <w:rPr>
          <w:rFonts w:cstheme="minorHAnsi"/>
          <w:b/>
          <w:i/>
          <w:sz w:val="18"/>
          <w:szCs w:val="20"/>
        </w:rPr>
      </w:pPr>
      <w:r w:rsidRPr="00172C6A">
        <w:rPr>
          <w:rFonts w:cstheme="minorHAnsi"/>
          <w:b/>
          <w:i/>
          <w:sz w:val="18"/>
          <w:szCs w:val="20"/>
        </w:rPr>
        <w:t>J.P. Araújo Teixeira*</w:t>
      </w:r>
      <w:r w:rsidR="008E4E4B" w:rsidRPr="00172C6A">
        <w:rPr>
          <w:rFonts w:cstheme="minorHAnsi"/>
          <w:b/>
          <w:i/>
          <w:sz w:val="18"/>
          <w:szCs w:val="20"/>
        </w:rPr>
        <w:t xml:space="preserve">, </w:t>
      </w:r>
      <w:r w:rsidR="0067446E" w:rsidRPr="00172C6A">
        <w:rPr>
          <w:rFonts w:cstheme="minorHAnsi"/>
          <w:b/>
          <w:i/>
          <w:sz w:val="18"/>
          <w:szCs w:val="20"/>
        </w:rPr>
        <w:t>Carlos Ribeiro</w:t>
      </w:r>
      <w:r w:rsidR="00105100" w:rsidRPr="00172C6A">
        <w:rPr>
          <w:rFonts w:cstheme="minorHAnsi"/>
          <w:b/>
          <w:i/>
          <w:sz w:val="18"/>
          <w:szCs w:val="20"/>
        </w:rPr>
        <w:t>*</w:t>
      </w:r>
      <w:r w:rsidRPr="00172C6A">
        <w:rPr>
          <w:rFonts w:cstheme="minorHAnsi"/>
          <w:b/>
          <w:i/>
          <w:sz w:val="18"/>
          <w:szCs w:val="20"/>
        </w:rPr>
        <w:t xml:space="preserve">, </w:t>
      </w:r>
      <w:r w:rsidR="00FD6754" w:rsidRPr="00172C6A">
        <w:rPr>
          <w:rFonts w:cstheme="minorHAnsi"/>
          <w:b/>
          <w:i/>
          <w:sz w:val="18"/>
          <w:szCs w:val="20"/>
        </w:rPr>
        <w:t>Luís M. Moreira**</w:t>
      </w:r>
      <w:r w:rsidR="00FD6754">
        <w:rPr>
          <w:rFonts w:cstheme="minorHAnsi"/>
          <w:b/>
          <w:i/>
          <w:sz w:val="18"/>
          <w:szCs w:val="20"/>
        </w:rPr>
        <w:t xml:space="preserve">, </w:t>
      </w:r>
      <w:r w:rsidR="00447877" w:rsidRPr="00172C6A">
        <w:rPr>
          <w:rFonts w:cstheme="minorHAnsi"/>
          <w:b/>
          <w:i/>
          <w:sz w:val="18"/>
          <w:szCs w:val="20"/>
        </w:rPr>
        <w:t xml:space="preserve">Fabiana de Sousa*, </w:t>
      </w:r>
      <w:r w:rsidRPr="00172C6A">
        <w:rPr>
          <w:rFonts w:cstheme="minorHAnsi"/>
          <w:b/>
          <w:i/>
          <w:sz w:val="18"/>
          <w:szCs w:val="20"/>
        </w:rPr>
        <w:t>André Pinho</w:t>
      </w:r>
      <w:r w:rsidR="008E4E4B" w:rsidRPr="00172C6A">
        <w:rPr>
          <w:rFonts w:cstheme="minorHAnsi"/>
          <w:b/>
          <w:i/>
          <w:sz w:val="18"/>
          <w:szCs w:val="20"/>
        </w:rPr>
        <w:t xml:space="preserve">*, </w:t>
      </w:r>
      <w:r w:rsidR="005F11C1" w:rsidRPr="00172C6A">
        <w:rPr>
          <w:rFonts w:cstheme="minorHAnsi"/>
          <w:b/>
          <w:i/>
          <w:sz w:val="18"/>
          <w:szCs w:val="20"/>
        </w:rPr>
        <w:t xml:space="preserve">Luís Graça*, </w:t>
      </w:r>
      <w:r w:rsidRPr="00172C6A">
        <w:rPr>
          <w:rFonts w:cstheme="minorHAnsi"/>
          <w:b/>
          <w:i/>
          <w:sz w:val="18"/>
          <w:szCs w:val="20"/>
        </w:rPr>
        <w:t>Costa Maia</w:t>
      </w:r>
      <w:r w:rsidR="008E4E4B" w:rsidRPr="00172C6A">
        <w:rPr>
          <w:rFonts w:cstheme="minorHAnsi"/>
          <w:b/>
          <w:i/>
          <w:sz w:val="18"/>
          <w:szCs w:val="20"/>
        </w:rPr>
        <w:t>*</w:t>
      </w:r>
    </w:p>
    <w:p w:rsidR="001A7FF9" w:rsidRDefault="001A7FF9" w:rsidP="004525B8">
      <w:pPr>
        <w:spacing w:after="0" w:line="240" w:lineRule="auto"/>
        <w:rPr>
          <w:rFonts w:cstheme="minorHAnsi"/>
          <w:sz w:val="18"/>
          <w:szCs w:val="20"/>
        </w:rPr>
      </w:pPr>
    </w:p>
    <w:p w:rsidR="008E4E4B" w:rsidRPr="00172C6A" w:rsidRDefault="008E4E4B" w:rsidP="004525B8">
      <w:pPr>
        <w:spacing w:after="0" w:line="240" w:lineRule="auto"/>
        <w:rPr>
          <w:rFonts w:cstheme="minorHAnsi"/>
          <w:sz w:val="18"/>
          <w:szCs w:val="20"/>
        </w:rPr>
      </w:pPr>
      <w:r w:rsidRPr="00172C6A">
        <w:rPr>
          <w:rFonts w:cstheme="minorHAnsi"/>
          <w:sz w:val="18"/>
          <w:szCs w:val="20"/>
        </w:rPr>
        <w:t xml:space="preserve">* </w:t>
      </w:r>
      <w:r w:rsidR="00447877" w:rsidRPr="00172C6A">
        <w:rPr>
          <w:rFonts w:cstheme="minorHAnsi"/>
          <w:sz w:val="18"/>
          <w:szCs w:val="20"/>
        </w:rPr>
        <w:t xml:space="preserve">Faculdade de Medicina da Universidade do Porto </w:t>
      </w:r>
      <w:r w:rsidR="00142E53" w:rsidRPr="00172C6A">
        <w:rPr>
          <w:rFonts w:cstheme="minorHAnsi"/>
          <w:sz w:val="18"/>
          <w:szCs w:val="20"/>
        </w:rPr>
        <w:t xml:space="preserve">/ </w:t>
      </w:r>
      <w:r w:rsidRPr="00172C6A">
        <w:rPr>
          <w:rFonts w:cstheme="minorHAnsi"/>
          <w:sz w:val="18"/>
          <w:szCs w:val="20"/>
        </w:rPr>
        <w:t xml:space="preserve">Hospital de S. João, </w:t>
      </w:r>
      <w:r w:rsidR="00447877" w:rsidRPr="00172C6A">
        <w:rPr>
          <w:rFonts w:cstheme="minorHAnsi"/>
          <w:sz w:val="18"/>
          <w:szCs w:val="20"/>
        </w:rPr>
        <w:t>Serviço de Cirurgia (</w:t>
      </w:r>
      <w:r w:rsidRPr="00172C6A">
        <w:rPr>
          <w:rFonts w:cstheme="minorHAnsi"/>
          <w:sz w:val="18"/>
          <w:szCs w:val="20"/>
        </w:rPr>
        <w:t>J</w:t>
      </w:r>
      <w:r w:rsidR="00A763B5">
        <w:rPr>
          <w:rFonts w:cstheme="minorHAnsi"/>
          <w:sz w:val="18"/>
          <w:szCs w:val="20"/>
        </w:rPr>
        <w:t>.</w:t>
      </w:r>
      <w:r w:rsidRPr="00172C6A">
        <w:rPr>
          <w:rFonts w:cstheme="minorHAnsi"/>
          <w:sz w:val="18"/>
          <w:szCs w:val="20"/>
        </w:rPr>
        <w:t xml:space="preserve"> Costa Maia</w:t>
      </w:r>
      <w:r w:rsidR="00447877" w:rsidRPr="00172C6A">
        <w:rPr>
          <w:rFonts w:cstheme="minorHAnsi"/>
          <w:sz w:val="18"/>
          <w:szCs w:val="20"/>
        </w:rPr>
        <w:t>)</w:t>
      </w:r>
    </w:p>
    <w:p w:rsidR="008E4E4B" w:rsidRPr="00172C6A" w:rsidRDefault="008E4E4B" w:rsidP="00447877">
      <w:pPr>
        <w:spacing w:after="0" w:line="240" w:lineRule="auto"/>
        <w:rPr>
          <w:rFonts w:cstheme="minorHAnsi"/>
          <w:sz w:val="18"/>
          <w:szCs w:val="20"/>
        </w:rPr>
      </w:pPr>
      <w:r w:rsidRPr="00172C6A">
        <w:rPr>
          <w:rFonts w:cstheme="minorHAnsi"/>
          <w:sz w:val="18"/>
          <w:szCs w:val="20"/>
        </w:rPr>
        <w:t xml:space="preserve">** </w:t>
      </w:r>
      <w:r w:rsidR="006A58C1">
        <w:rPr>
          <w:rFonts w:cstheme="minorHAnsi"/>
          <w:sz w:val="18"/>
          <w:szCs w:val="20"/>
        </w:rPr>
        <w:t xml:space="preserve">Escola Superior de Saúde de Vila Nova de Gaia – Instituto Piaget – </w:t>
      </w:r>
      <w:r w:rsidR="004525B8" w:rsidRPr="00172C6A">
        <w:rPr>
          <w:rFonts w:cstheme="minorHAnsi"/>
          <w:sz w:val="18"/>
          <w:szCs w:val="20"/>
        </w:rPr>
        <w:t xml:space="preserve">Gabinete de Estudos Metodológicos e Tratamento de Dados </w:t>
      </w:r>
    </w:p>
    <w:p w:rsidR="008E4E4B" w:rsidRPr="00172C6A" w:rsidRDefault="008E4E4B" w:rsidP="00447877">
      <w:pPr>
        <w:spacing w:after="0" w:line="240" w:lineRule="auto"/>
        <w:rPr>
          <w:rFonts w:cstheme="minorHAnsi"/>
          <w:sz w:val="18"/>
          <w:szCs w:val="20"/>
        </w:rPr>
      </w:pPr>
      <w:r w:rsidRPr="00172C6A">
        <w:rPr>
          <w:rFonts w:cstheme="minorHAnsi"/>
          <w:sz w:val="18"/>
          <w:szCs w:val="20"/>
        </w:rPr>
        <w:t>e-mail: lmoreira@gaia.ipiaget.org</w:t>
      </w:r>
    </w:p>
    <w:p w:rsidR="008E4E4B" w:rsidRPr="00172C6A" w:rsidRDefault="008E4E4B" w:rsidP="008E4E4B">
      <w:pPr>
        <w:spacing w:after="0" w:line="240" w:lineRule="auto"/>
        <w:rPr>
          <w:rFonts w:cstheme="minorHAnsi"/>
          <w:sz w:val="18"/>
          <w:szCs w:val="20"/>
        </w:rPr>
      </w:pPr>
    </w:p>
    <w:p w:rsidR="008E4E4B" w:rsidRPr="00172C6A" w:rsidRDefault="00147652" w:rsidP="00447877">
      <w:pPr>
        <w:spacing w:after="0" w:line="240" w:lineRule="auto"/>
        <w:rPr>
          <w:rFonts w:cstheme="minorHAnsi"/>
          <w:sz w:val="18"/>
          <w:szCs w:val="20"/>
        </w:rPr>
      </w:pPr>
      <w:r w:rsidRPr="00172C6A">
        <w:rPr>
          <w:rFonts w:cstheme="minorHAnsi"/>
          <w:sz w:val="18"/>
          <w:szCs w:val="20"/>
        </w:rPr>
        <w:t>Correspondente</w:t>
      </w:r>
      <w:r w:rsidR="008E4E4B" w:rsidRPr="00172C6A">
        <w:rPr>
          <w:rFonts w:cstheme="minorHAnsi"/>
          <w:sz w:val="18"/>
          <w:szCs w:val="20"/>
        </w:rPr>
        <w:t xml:space="preserve">: Prof. João Paulo Araújo Teixeira. Hospital S. João, </w:t>
      </w:r>
      <w:r w:rsidRPr="00172C6A">
        <w:rPr>
          <w:rFonts w:cstheme="minorHAnsi"/>
          <w:sz w:val="18"/>
          <w:szCs w:val="20"/>
        </w:rPr>
        <w:t>Serviço de Cirurgia Geral</w:t>
      </w:r>
      <w:r w:rsidR="008E4E4B" w:rsidRPr="00172C6A">
        <w:rPr>
          <w:rFonts w:cstheme="minorHAnsi"/>
          <w:sz w:val="18"/>
          <w:szCs w:val="20"/>
        </w:rPr>
        <w:t>.</w:t>
      </w:r>
    </w:p>
    <w:p w:rsidR="008E4E4B" w:rsidRPr="00172C6A" w:rsidRDefault="008E4E4B" w:rsidP="00447877">
      <w:pPr>
        <w:spacing w:after="0" w:line="240" w:lineRule="auto"/>
        <w:rPr>
          <w:rFonts w:cstheme="minorHAnsi"/>
          <w:sz w:val="18"/>
          <w:szCs w:val="20"/>
        </w:rPr>
      </w:pPr>
      <w:r w:rsidRPr="00172C6A">
        <w:rPr>
          <w:rFonts w:cstheme="minorHAnsi"/>
          <w:sz w:val="18"/>
          <w:szCs w:val="20"/>
        </w:rPr>
        <w:t>Alameda Prof. Hernâni Monteiro. 4200-319 Porto. Portugal.</w:t>
      </w:r>
    </w:p>
    <w:p w:rsidR="008E4E4B" w:rsidRPr="00172C6A" w:rsidRDefault="008E4E4B" w:rsidP="00447877">
      <w:pPr>
        <w:spacing w:after="0" w:line="240" w:lineRule="auto"/>
        <w:rPr>
          <w:rFonts w:cstheme="minorHAnsi"/>
          <w:sz w:val="18"/>
          <w:szCs w:val="20"/>
        </w:rPr>
      </w:pPr>
      <w:r w:rsidRPr="00172C6A">
        <w:rPr>
          <w:rFonts w:cstheme="minorHAnsi"/>
          <w:sz w:val="18"/>
          <w:szCs w:val="20"/>
        </w:rPr>
        <w:t>Tel.: +351225500317 | Fax.: +351225509773 | e-mail: jpat@netcabo.pt</w:t>
      </w:r>
    </w:p>
    <w:p w:rsidR="00894022" w:rsidRPr="00172C6A" w:rsidRDefault="00894022" w:rsidP="00F22010">
      <w:pPr>
        <w:spacing w:after="0" w:line="240" w:lineRule="auto"/>
        <w:rPr>
          <w:rFonts w:cstheme="minorHAnsi"/>
        </w:rPr>
      </w:pPr>
    </w:p>
    <w:p w:rsidR="00147652" w:rsidRPr="00172C6A" w:rsidRDefault="00147652" w:rsidP="00F22010">
      <w:pPr>
        <w:pBdr>
          <w:top w:val="single" w:sz="4" w:space="1" w:color="auto"/>
        </w:pBdr>
        <w:spacing w:after="0" w:line="240" w:lineRule="auto"/>
        <w:rPr>
          <w:rFonts w:cstheme="minorHAnsi"/>
        </w:rPr>
      </w:pPr>
    </w:p>
    <w:p w:rsidR="00147652" w:rsidRPr="00172C6A" w:rsidRDefault="00147652" w:rsidP="00F22010">
      <w:pPr>
        <w:spacing w:after="120" w:line="240" w:lineRule="auto"/>
        <w:jc w:val="both"/>
        <w:rPr>
          <w:rFonts w:cstheme="minorHAnsi"/>
          <w:b/>
          <w:sz w:val="18"/>
          <w:szCs w:val="18"/>
        </w:rPr>
      </w:pPr>
      <w:r w:rsidRPr="00172C6A">
        <w:rPr>
          <w:rFonts w:cstheme="minorHAnsi"/>
          <w:b/>
          <w:sz w:val="18"/>
          <w:szCs w:val="18"/>
        </w:rPr>
        <w:t>RESUMO</w:t>
      </w:r>
    </w:p>
    <w:p w:rsidR="00147652" w:rsidRPr="00172C6A" w:rsidRDefault="00147652" w:rsidP="00F22010">
      <w:pPr>
        <w:spacing w:after="120" w:line="240" w:lineRule="auto"/>
        <w:jc w:val="both"/>
        <w:rPr>
          <w:rFonts w:cstheme="minorHAnsi"/>
          <w:sz w:val="18"/>
          <w:szCs w:val="18"/>
        </w:rPr>
      </w:pPr>
      <w:r w:rsidRPr="00172C6A">
        <w:rPr>
          <w:rFonts w:cstheme="minorHAnsi"/>
          <w:b/>
          <w:sz w:val="18"/>
          <w:szCs w:val="18"/>
        </w:rPr>
        <w:t>Introdução:</w:t>
      </w:r>
      <w:r w:rsidRPr="00172C6A">
        <w:rPr>
          <w:rFonts w:cstheme="minorHAnsi"/>
          <w:sz w:val="18"/>
          <w:szCs w:val="18"/>
        </w:rPr>
        <w:t xml:space="preserve"> Apesar do cepticismo com que inicialmente foi encarada, a colecistectomia laparoscópica é hoje a técnica de eleição na colecistite aguda. Torna-se, porém, importante avaliar os seus resultados, em comparação com a exérese vesicular</w:t>
      </w:r>
      <w:r w:rsidR="00172C6A" w:rsidRPr="00172C6A">
        <w:rPr>
          <w:rFonts w:cstheme="minorHAnsi"/>
          <w:sz w:val="18"/>
          <w:szCs w:val="18"/>
        </w:rPr>
        <w:t xml:space="preserve"> por via aberta, analisando, ao</w:t>
      </w:r>
      <w:r w:rsidRPr="00172C6A">
        <w:rPr>
          <w:rFonts w:cstheme="minorHAnsi"/>
          <w:sz w:val="18"/>
          <w:szCs w:val="18"/>
        </w:rPr>
        <w:t xml:space="preserve"> mesmo tempo, as indicações atuais desta última na afeção em causa.</w:t>
      </w:r>
    </w:p>
    <w:p w:rsidR="00147652" w:rsidRPr="00172C6A" w:rsidRDefault="00147652" w:rsidP="00F22010">
      <w:pPr>
        <w:spacing w:after="120" w:line="240" w:lineRule="auto"/>
        <w:jc w:val="both"/>
        <w:rPr>
          <w:rFonts w:cstheme="minorHAnsi"/>
        </w:rPr>
      </w:pPr>
      <w:r w:rsidRPr="00172C6A">
        <w:rPr>
          <w:rFonts w:cstheme="minorHAnsi"/>
          <w:b/>
          <w:sz w:val="18"/>
          <w:szCs w:val="18"/>
        </w:rPr>
        <w:t>Material e Métodos:</w:t>
      </w:r>
      <w:r w:rsidRPr="00172C6A">
        <w:rPr>
          <w:rFonts w:cstheme="minorHAnsi"/>
          <w:sz w:val="18"/>
          <w:szCs w:val="18"/>
        </w:rPr>
        <w:t xml:space="preserve"> A nossa investigação corresponde à análise de 520 colecistites agudas operadas no </w:t>
      </w:r>
      <w:r w:rsidR="005D20A8" w:rsidRPr="00172C6A">
        <w:rPr>
          <w:rFonts w:cstheme="minorHAnsi"/>
          <w:sz w:val="18"/>
          <w:szCs w:val="18"/>
        </w:rPr>
        <w:t xml:space="preserve">Serviço </w:t>
      </w:r>
      <w:r w:rsidRPr="00172C6A">
        <w:rPr>
          <w:rFonts w:cstheme="minorHAnsi"/>
          <w:sz w:val="18"/>
          <w:szCs w:val="18"/>
        </w:rPr>
        <w:t>de Cirurgia</w:t>
      </w:r>
      <w:r w:rsidR="005D20A8" w:rsidRPr="00172C6A">
        <w:rPr>
          <w:rFonts w:cstheme="minorHAnsi"/>
          <w:sz w:val="18"/>
          <w:szCs w:val="18"/>
        </w:rPr>
        <w:t xml:space="preserve"> Geral do Hospital de S. João</w:t>
      </w:r>
      <w:r w:rsidR="00172C6A" w:rsidRPr="00172C6A">
        <w:rPr>
          <w:rFonts w:cstheme="minorHAnsi"/>
          <w:sz w:val="18"/>
          <w:szCs w:val="18"/>
        </w:rPr>
        <w:t>, entre</w:t>
      </w:r>
      <w:r w:rsidRPr="00172C6A">
        <w:rPr>
          <w:rFonts w:cstheme="minorHAnsi"/>
          <w:sz w:val="18"/>
          <w:szCs w:val="18"/>
        </w:rPr>
        <w:t xml:space="preserve"> 2007 </w:t>
      </w:r>
      <w:r w:rsidR="00172C6A" w:rsidRPr="00172C6A">
        <w:rPr>
          <w:rFonts w:cstheme="minorHAnsi"/>
          <w:sz w:val="18"/>
          <w:szCs w:val="18"/>
        </w:rPr>
        <w:t xml:space="preserve">e </w:t>
      </w:r>
      <w:r w:rsidRPr="00172C6A">
        <w:rPr>
          <w:rFonts w:cstheme="minorHAnsi"/>
          <w:sz w:val="18"/>
          <w:szCs w:val="18"/>
        </w:rPr>
        <w:t>2013, das quais 412 (79,2%) por laparoscopia e 108 (</w:t>
      </w:r>
      <w:r w:rsidR="00172C6A" w:rsidRPr="00172C6A">
        <w:rPr>
          <w:rFonts w:cstheme="minorHAnsi"/>
          <w:sz w:val="18"/>
          <w:szCs w:val="18"/>
        </w:rPr>
        <w:t>20</w:t>
      </w:r>
      <w:r w:rsidRPr="00172C6A">
        <w:rPr>
          <w:rFonts w:cstheme="minorHAnsi"/>
          <w:sz w:val="18"/>
          <w:szCs w:val="18"/>
        </w:rPr>
        <w:t>,</w:t>
      </w:r>
      <w:r w:rsidR="00172C6A" w:rsidRPr="00172C6A">
        <w:rPr>
          <w:rFonts w:cstheme="minorHAnsi"/>
          <w:sz w:val="18"/>
          <w:szCs w:val="18"/>
        </w:rPr>
        <w:t>8</w:t>
      </w:r>
      <w:r w:rsidRPr="00172C6A">
        <w:rPr>
          <w:rFonts w:cstheme="minorHAnsi"/>
          <w:sz w:val="18"/>
          <w:szCs w:val="18"/>
        </w:rPr>
        <w:t>%) por via aberta.</w:t>
      </w:r>
      <w:r w:rsidR="00F22010" w:rsidRPr="00172C6A">
        <w:rPr>
          <w:rFonts w:cstheme="minorHAnsi"/>
          <w:sz w:val="18"/>
          <w:szCs w:val="18"/>
        </w:rPr>
        <w:t xml:space="preserve"> </w:t>
      </w:r>
      <w:r w:rsidRPr="00172C6A">
        <w:rPr>
          <w:rFonts w:cstheme="minorHAnsi"/>
          <w:sz w:val="18"/>
          <w:szCs w:val="18"/>
        </w:rPr>
        <w:t xml:space="preserve">Procedeu-se ao estudo relativo </w:t>
      </w:r>
      <w:r w:rsidR="00172C6A" w:rsidRPr="00172C6A">
        <w:rPr>
          <w:rFonts w:cstheme="minorHAnsi"/>
          <w:sz w:val="18"/>
          <w:szCs w:val="18"/>
        </w:rPr>
        <w:t>à</w:t>
      </w:r>
      <w:r w:rsidR="0060644E">
        <w:rPr>
          <w:rFonts w:cstheme="minorHAnsi"/>
          <w:sz w:val="18"/>
          <w:szCs w:val="18"/>
        </w:rPr>
        <w:t>s doenças coexistentes, leucocitose,</w:t>
      </w:r>
      <w:r w:rsidRPr="00172C6A">
        <w:rPr>
          <w:rFonts w:cstheme="minorHAnsi"/>
          <w:sz w:val="18"/>
          <w:szCs w:val="18"/>
        </w:rPr>
        <w:t xml:space="preserve"> </w:t>
      </w:r>
      <w:r w:rsidR="0060644E">
        <w:rPr>
          <w:rFonts w:cstheme="minorHAnsi"/>
          <w:sz w:val="18"/>
          <w:szCs w:val="18"/>
        </w:rPr>
        <w:t xml:space="preserve">tempo decorrido entre o diagnóstico e a cirurgia, ASA, </w:t>
      </w:r>
      <w:r w:rsidR="002C6E2D">
        <w:rPr>
          <w:rFonts w:cstheme="minorHAnsi"/>
          <w:sz w:val="18"/>
          <w:szCs w:val="18"/>
        </w:rPr>
        <w:t xml:space="preserve">complicações </w:t>
      </w:r>
      <w:proofErr w:type="spellStart"/>
      <w:r w:rsidR="0060644E">
        <w:rPr>
          <w:rFonts w:cstheme="minorHAnsi"/>
          <w:sz w:val="18"/>
          <w:szCs w:val="18"/>
        </w:rPr>
        <w:t>intra</w:t>
      </w:r>
      <w:proofErr w:type="spellEnd"/>
      <w:r w:rsidR="002C6E2D">
        <w:rPr>
          <w:rFonts w:cstheme="minorHAnsi"/>
          <w:sz w:val="18"/>
          <w:szCs w:val="18"/>
        </w:rPr>
        <w:t xml:space="preserve"> e pós-operatórias, </w:t>
      </w:r>
      <w:r w:rsidR="0060644E">
        <w:rPr>
          <w:rFonts w:cstheme="minorHAnsi"/>
          <w:sz w:val="18"/>
          <w:szCs w:val="18"/>
        </w:rPr>
        <w:t xml:space="preserve">mortalidade, reintervenções, </w:t>
      </w:r>
      <w:r w:rsidR="002C6E2D">
        <w:rPr>
          <w:rFonts w:cstheme="minorHAnsi"/>
          <w:sz w:val="18"/>
          <w:szCs w:val="18"/>
        </w:rPr>
        <w:t>lesão biliar</w:t>
      </w:r>
      <w:r w:rsidR="0060644E">
        <w:rPr>
          <w:rFonts w:cstheme="minorHAnsi"/>
          <w:sz w:val="18"/>
          <w:szCs w:val="18"/>
        </w:rPr>
        <w:t xml:space="preserve"> </w:t>
      </w:r>
      <w:r w:rsidRPr="00172C6A">
        <w:rPr>
          <w:rFonts w:cstheme="minorHAnsi"/>
          <w:sz w:val="18"/>
          <w:szCs w:val="18"/>
        </w:rPr>
        <w:t xml:space="preserve">e </w:t>
      </w:r>
      <w:r w:rsidR="0060644E">
        <w:rPr>
          <w:rFonts w:cstheme="minorHAnsi"/>
          <w:sz w:val="18"/>
          <w:szCs w:val="18"/>
        </w:rPr>
        <w:t>estadia</w:t>
      </w:r>
      <w:r w:rsidRPr="00172C6A">
        <w:rPr>
          <w:rFonts w:cstheme="minorHAnsi"/>
          <w:sz w:val="18"/>
          <w:szCs w:val="18"/>
        </w:rPr>
        <w:t xml:space="preserve"> hospitalar.</w:t>
      </w:r>
      <w:r w:rsidR="00F22010" w:rsidRPr="00172C6A">
        <w:rPr>
          <w:rFonts w:cstheme="minorHAnsi"/>
          <w:sz w:val="18"/>
          <w:szCs w:val="18"/>
        </w:rPr>
        <w:t xml:space="preserve"> A análise estatística </w:t>
      </w:r>
      <w:r w:rsidR="00172C6A" w:rsidRPr="00172C6A">
        <w:rPr>
          <w:rFonts w:cstheme="minorHAnsi"/>
          <w:sz w:val="18"/>
          <w:szCs w:val="18"/>
        </w:rPr>
        <w:t>baseou-se em</w:t>
      </w:r>
      <w:r w:rsidR="00F22010" w:rsidRPr="00172C6A">
        <w:rPr>
          <w:rFonts w:cstheme="minorHAnsi"/>
          <w:sz w:val="18"/>
          <w:szCs w:val="18"/>
        </w:rPr>
        <w:t xml:space="preserve"> processos descritivos e </w:t>
      </w:r>
      <w:r w:rsidR="00172C6A" w:rsidRPr="00172C6A">
        <w:rPr>
          <w:rFonts w:cstheme="minorHAnsi"/>
          <w:sz w:val="18"/>
          <w:szCs w:val="18"/>
        </w:rPr>
        <w:t xml:space="preserve">a avaliação das </w:t>
      </w:r>
      <w:r w:rsidR="00F22010" w:rsidRPr="00172C6A">
        <w:rPr>
          <w:rFonts w:cstheme="minorHAnsi"/>
          <w:sz w:val="18"/>
          <w:szCs w:val="18"/>
        </w:rPr>
        <w:t xml:space="preserve">diferenças entre grupos </w:t>
      </w:r>
      <w:r w:rsidR="00172C6A">
        <w:rPr>
          <w:rFonts w:cstheme="minorHAnsi"/>
          <w:sz w:val="18"/>
          <w:szCs w:val="18"/>
        </w:rPr>
        <w:t xml:space="preserve">foi realizada com </w:t>
      </w:r>
      <w:r w:rsidR="00172C6A" w:rsidRPr="00172C6A">
        <w:rPr>
          <w:rFonts w:cstheme="minorHAnsi"/>
          <w:sz w:val="18"/>
          <w:szCs w:val="18"/>
        </w:rPr>
        <w:t xml:space="preserve">base </w:t>
      </w:r>
      <w:r w:rsidR="00F22010" w:rsidRPr="00172C6A">
        <w:rPr>
          <w:rFonts w:cstheme="minorHAnsi"/>
          <w:sz w:val="18"/>
          <w:szCs w:val="18"/>
        </w:rPr>
        <w:t>no teste exato de Fisher, sendo considerados valores significativos para p&lt;0,05.</w:t>
      </w:r>
    </w:p>
    <w:p w:rsidR="00147652" w:rsidRPr="00962015" w:rsidRDefault="00147652" w:rsidP="00F22010">
      <w:pPr>
        <w:spacing w:after="120" w:line="240" w:lineRule="auto"/>
        <w:jc w:val="both"/>
        <w:rPr>
          <w:rFonts w:cstheme="minorHAnsi"/>
          <w:sz w:val="18"/>
          <w:szCs w:val="18"/>
        </w:rPr>
      </w:pPr>
      <w:r w:rsidRPr="00F11BAE">
        <w:rPr>
          <w:rFonts w:cstheme="minorHAnsi"/>
          <w:b/>
          <w:sz w:val="18"/>
          <w:szCs w:val="18"/>
        </w:rPr>
        <w:t>Resultados</w:t>
      </w:r>
      <w:r w:rsidR="004525B8" w:rsidRPr="00F11BAE">
        <w:rPr>
          <w:rFonts w:cstheme="minorHAnsi"/>
          <w:b/>
          <w:sz w:val="18"/>
          <w:szCs w:val="18"/>
        </w:rPr>
        <w:t xml:space="preserve"> - CL </w:t>
      </w:r>
      <w:r w:rsidR="004525B8" w:rsidRPr="005C11F4">
        <w:rPr>
          <w:rFonts w:cstheme="minorHAnsi"/>
          <w:b/>
          <w:i/>
          <w:sz w:val="18"/>
          <w:szCs w:val="18"/>
        </w:rPr>
        <w:t>vs</w:t>
      </w:r>
      <w:r w:rsidR="004525B8" w:rsidRPr="00F11BAE">
        <w:rPr>
          <w:rFonts w:cstheme="minorHAnsi"/>
          <w:b/>
          <w:sz w:val="18"/>
          <w:szCs w:val="18"/>
        </w:rPr>
        <w:t xml:space="preserve"> CA:</w:t>
      </w:r>
      <w:r w:rsidR="004525B8" w:rsidRPr="00F11BAE">
        <w:rPr>
          <w:rFonts w:cstheme="minorHAnsi"/>
          <w:sz w:val="18"/>
          <w:szCs w:val="18"/>
        </w:rPr>
        <w:t xml:space="preserve"> </w:t>
      </w:r>
      <w:r w:rsidRPr="00F11BAE">
        <w:rPr>
          <w:rFonts w:cstheme="minorHAnsi"/>
          <w:sz w:val="18"/>
          <w:szCs w:val="18"/>
        </w:rPr>
        <w:t>Mortalidade</w:t>
      </w:r>
      <w:r w:rsidR="004525B8" w:rsidRPr="00F11BAE">
        <w:rPr>
          <w:rFonts w:cstheme="minorHAnsi"/>
          <w:sz w:val="18"/>
          <w:szCs w:val="18"/>
        </w:rPr>
        <w:t>:</w:t>
      </w:r>
      <w:r w:rsidRPr="00F11BAE">
        <w:rPr>
          <w:rFonts w:cstheme="minorHAnsi"/>
          <w:sz w:val="18"/>
          <w:szCs w:val="18"/>
        </w:rPr>
        <w:t xml:space="preserve"> 0,7% </w:t>
      </w:r>
      <w:r w:rsidR="000D0D57" w:rsidRPr="00F11BAE">
        <w:rPr>
          <w:rFonts w:cstheme="minorHAnsi"/>
          <w:i/>
          <w:sz w:val="18"/>
          <w:szCs w:val="18"/>
        </w:rPr>
        <w:t>vs</w:t>
      </w:r>
      <w:r w:rsidRPr="00F11BAE">
        <w:rPr>
          <w:rFonts w:cstheme="minorHAnsi"/>
          <w:sz w:val="18"/>
          <w:szCs w:val="18"/>
        </w:rPr>
        <w:t xml:space="preserve"> 3,7% </w:t>
      </w:r>
      <w:r w:rsidR="00962015" w:rsidRPr="00F11BAE">
        <w:rPr>
          <w:rFonts w:cstheme="minorHAnsi"/>
          <w:sz w:val="18"/>
          <w:szCs w:val="18"/>
        </w:rPr>
        <w:t>(</w:t>
      </w:r>
      <w:r w:rsidRPr="00F11BAE">
        <w:rPr>
          <w:rFonts w:cstheme="minorHAnsi"/>
          <w:sz w:val="18"/>
          <w:szCs w:val="18"/>
        </w:rPr>
        <w:t>p=0,0369</w:t>
      </w:r>
      <w:r w:rsidR="00962015" w:rsidRPr="00F11BAE">
        <w:rPr>
          <w:rFonts w:cstheme="minorHAnsi"/>
          <w:sz w:val="18"/>
          <w:szCs w:val="18"/>
        </w:rPr>
        <w:t>)</w:t>
      </w:r>
      <w:r w:rsidRPr="00F11BAE">
        <w:rPr>
          <w:rFonts w:cstheme="minorHAnsi"/>
          <w:sz w:val="18"/>
          <w:szCs w:val="18"/>
        </w:rPr>
        <w:t xml:space="preserve">; </w:t>
      </w:r>
      <w:r w:rsidR="00962015" w:rsidRPr="00F11BAE">
        <w:rPr>
          <w:rFonts w:cstheme="minorHAnsi"/>
          <w:sz w:val="18"/>
          <w:szCs w:val="18"/>
        </w:rPr>
        <w:t xml:space="preserve">Complicações </w:t>
      </w:r>
      <w:r w:rsidRPr="00F11BAE">
        <w:rPr>
          <w:rFonts w:cstheme="minorHAnsi"/>
          <w:sz w:val="18"/>
          <w:szCs w:val="18"/>
        </w:rPr>
        <w:t>pós-</w:t>
      </w:r>
      <w:r w:rsidR="004525B8" w:rsidRPr="00F11BAE">
        <w:rPr>
          <w:rFonts w:cstheme="minorHAnsi"/>
          <w:sz w:val="18"/>
          <w:szCs w:val="18"/>
        </w:rPr>
        <w:t xml:space="preserve">operatórias </w:t>
      </w:r>
      <w:r w:rsidRPr="00F11BAE">
        <w:rPr>
          <w:rFonts w:cstheme="minorHAnsi"/>
          <w:sz w:val="18"/>
          <w:szCs w:val="18"/>
        </w:rPr>
        <w:t>cirúrgicas</w:t>
      </w:r>
      <w:r w:rsidR="00962015" w:rsidRPr="00F11BAE">
        <w:rPr>
          <w:rFonts w:cstheme="minorHAnsi"/>
          <w:sz w:val="18"/>
          <w:szCs w:val="18"/>
        </w:rPr>
        <w:t>:</w:t>
      </w:r>
      <w:r w:rsidRPr="00F11BAE">
        <w:rPr>
          <w:rFonts w:cstheme="minorHAnsi"/>
          <w:sz w:val="18"/>
          <w:szCs w:val="18"/>
        </w:rPr>
        <w:t xml:space="preserve"> 7,7% </w:t>
      </w:r>
      <w:r w:rsidR="000D0D57" w:rsidRPr="00F11BAE">
        <w:rPr>
          <w:rFonts w:cstheme="minorHAnsi"/>
          <w:i/>
          <w:sz w:val="18"/>
          <w:szCs w:val="18"/>
        </w:rPr>
        <w:t>vs</w:t>
      </w:r>
      <w:r w:rsidR="000D0D57" w:rsidRPr="00F11BAE">
        <w:rPr>
          <w:rFonts w:cstheme="minorHAnsi"/>
          <w:sz w:val="18"/>
          <w:szCs w:val="18"/>
        </w:rPr>
        <w:t xml:space="preserve"> </w:t>
      </w:r>
      <w:r w:rsidRPr="00F11BAE">
        <w:rPr>
          <w:rFonts w:cstheme="minorHAnsi"/>
          <w:sz w:val="18"/>
          <w:szCs w:val="18"/>
        </w:rPr>
        <w:t xml:space="preserve">17,5% </w:t>
      </w:r>
      <w:r w:rsidR="00962015" w:rsidRPr="00F11BAE">
        <w:rPr>
          <w:rFonts w:cstheme="minorHAnsi"/>
          <w:sz w:val="18"/>
          <w:szCs w:val="18"/>
        </w:rPr>
        <w:t>(</w:t>
      </w:r>
      <w:r w:rsidRPr="00F11BAE">
        <w:rPr>
          <w:rFonts w:cstheme="minorHAnsi"/>
          <w:sz w:val="18"/>
          <w:szCs w:val="18"/>
        </w:rPr>
        <w:t>p=0,0055</w:t>
      </w:r>
      <w:r w:rsidR="00962015" w:rsidRPr="00F11BAE">
        <w:rPr>
          <w:rFonts w:cstheme="minorHAnsi"/>
          <w:sz w:val="18"/>
          <w:szCs w:val="18"/>
        </w:rPr>
        <w:t>)</w:t>
      </w:r>
      <w:r w:rsidRPr="00F11BAE">
        <w:rPr>
          <w:rFonts w:cstheme="minorHAnsi"/>
          <w:sz w:val="18"/>
          <w:szCs w:val="18"/>
        </w:rPr>
        <w:t xml:space="preserve">; </w:t>
      </w:r>
      <w:r w:rsidR="00962015" w:rsidRPr="00F11BAE">
        <w:rPr>
          <w:rFonts w:cstheme="minorHAnsi"/>
          <w:sz w:val="18"/>
          <w:szCs w:val="18"/>
        </w:rPr>
        <w:t>Pós</w:t>
      </w:r>
      <w:r w:rsidR="00FF7476" w:rsidRPr="00F11BAE">
        <w:rPr>
          <w:rFonts w:cstheme="minorHAnsi"/>
          <w:sz w:val="18"/>
          <w:szCs w:val="18"/>
        </w:rPr>
        <w:t>-operatórias médicas</w:t>
      </w:r>
      <w:r w:rsidR="00962015" w:rsidRPr="00F11BAE">
        <w:rPr>
          <w:rFonts w:cstheme="minorHAnsi"/>
          <w:sz w:val="18"/>
          <w:szCs w:val="18"/>
        </w:rPr>
        <w:t>:</w:t>
      </w:r>
      <w:r w:rsidR="00FF7476" w:rsidRPr="00F11BAE">
        <w:rPr>
          <w:rFonts w:cstheme="minorHAnsi"/>
          <w:sz w:val="18"/>
          <w:szCs w:val="18"/>
        </w:rPr>
        <w:t xml:space="preserve"> 4,3% </w:t>
      </w:r>
      <w:r w:rsidR="000D0D57" w:rsidRPr="00F11BAE">
        <w:rPr>
          <w:rFonts w:cstheme="minorHAnsi"/>
          <w:i/>
          <w:sz w:val="18"/>
          <w:szCs w:val="18"/>
        </w:rPr>
        <w:t>vs</w:t>
      </w:r>
      <w:r w:rsidR="00FF7476" w:rsidRPr="00F11BAE">
        <w:rPr>
          <w:rFonts w:cstheme="minorHAnsi"/>
          <w:sz w:val="18"/>
          <w:szCs w:val="18"/>
        </w:rPr>
        <w:t xml:space="preserve"> 5,5% </w:t>
      </w:r>
      <w:r w:rsidR="00962015" w:rsidRPr="00F11BAE">
        <w:rPr>
          <w:rFonts w:cstheme="minorHAnsi"/>
          <w:sz w:val="18"/>
          <w:szCs w:val="18"/>
        </w:rPr>
        <w:t>(</w:t>
      </w:r>
      <w:r w:rsidR="00FF7476" w:rsidRPr="00F11BAE">
        <w:rPr>
          <w:rFonts w:cstheme="minorHAnsi"/>
          <w:sz w:val="18"/>
          <w:szCs w:val="18"/>
        </w:rPr>
        <w:t>p=0,6077</w:t>
      </w:r>
      <w:r w:rsidR="00962015" w:rsidRPr="00F11BAE">
        <w:rPr>
          <w:rFonts w:cstheme="minorHAnsi"/>
          <w:sz w:val="18"/>
          <w:szCs w:val="18"/>
        </w:rPr>
        <w:t>)</w:t>
      </w:r>
      <w:r w:rsidR="00FF7476" w:rsidRPr="00F11BAE">
        <w:rPr>
          <w:rFonts w:cstheme="minorHAnsi"/>
          <w:sz w:val="18"/>
          <w:szCs w:val="18"/>
        </w:rPr>
        <w:t xml:space="preserve">; </w:t>
      </w:r>
      <w:r w:rsidR="00962015" w:rsidRPr="00F11BAE">
        <w:rPr>
          <w:rFonts w:cstheme="minorHAnsi"/>
          <w:sz w:val="18"/>
          <w:szCs w:val="18"/>
        </w:rPr>
        <w:t xml:space="preserve">Lesão </w:t>
      </w:r>
      <w:r w:rsidRPr="00F11BAE">
        <w:rPr>
          <w:rFonts w:cstheme="minorHAnsi"/>
          <w:sz w:val="18"/>
          <w:szCs w:val="18"/>
        </w:rPr>
        <w:t>biliar</w:t>
      </w:r>
      <w:r w:rsidR="00962015" w:rsidRPr="00F11BAE">
        <w:rPr>
          <w:rFonts w:cstheme="minorHAnsi"/>
          <w:sz w:val="18"/>
          <w:szCs w:val="18"/>
        </w:rPr>
        <w:t>:</w:t>
      </w:r>
      <w:r w:rsidRPr="00F11BAE">
        <w:rPr>
          <w:rFonts w:cstheme="minorHAnsi"/>
          <w:sz w:val="18"/>
          <w:szCs w:val="18"/>
        </w:rPr>
        <w:t xml:space="preserve"> 0,9% </w:t>
      </w:r>
      <w:r w:rsidR="000D0D57" w:rsidRPr="00F11BAE">
        <w:rPr>
          <w:rFonts w:cstheme="minorHAnsi"/>
          <w:i/>
          <w:sz w:val="18"/>
          <w:szCs w:val="18"/>
        </w:rPr>
        <w:t>vs</w:t>
      </w:r>
      <w:r w:rsidRPr="00F11BAE">
        <w:rPr>
          <w:rFonts w:cstheme="minorHAnsi"/>
          <w:sz w:val="18"/>
          <w:szCs w:val="18"/>
        </w:rPr>
        <w:t xml:space="preserve"> 1,8% </w:t>
      </w:r>
      <w:r w:rsidR="00962015" w:rsidRPr="00F11BAE">
        <w:rPr>
          <w:rFonts w:cstheme="minorHAnsi"/>
          <w:sz w:val="18"/>
          <w:szCs w:val="18"/>
        </w:rPr>
        <w:t>(</w:t>
      </w:r>
      <w:r w:rsidRPr="00F11BAE">
        <w:rPr>
          <w:rFonts w:cstheme="minorHAnsi"/>
          <w:sz w:val="18"/>
          <w:szCs w:val="18"/>
        </w:rPr>
        <w:t>p=</w:t>
      </w:r>
      <w:r w:rsidR="004525B8" w:rsidRPr="00F11BAE">
        <w:rPr>
          <w:rFonts w:cstheme="minorHAnsi"/>
          <w:sz w:val="18"/>
          <w:szCs w:val="18"/>
        </w:rPr>
        <w:t>0,609</w:t>
      </w:r>
      <w:r w:rsidR="00A11778" w:rsidRPr="00F11BAE">
        <w:rPr>
          <w:rFonts w:cstheme="minorHAnsi"/>
          <w:sz w:val="18"/>
          <w:szCs w:val="18"/>
        </w:rPr>
        <w:t>1</w:t>
      </w:r>
      <w:r w:rsidR="00962015" w:rsidRPr="00F11BAE">
        <w:rPr>
          <w:rFonts w:cstheme="minorHAnsi"/>
          <w:sz w:val="18"/>
          <w:szCs w:val="18"/>
        </w:rPr>
        <w:t>)</w:t>
      </w:r>
      <w:r w:rsidRPr="00F11BAE">
        <w:rPr>
          <w:rFonts w:cstheme="minorHAnsi"/>
          <w:sz w:val="18"/>
          <w:szCs w:val="18"/>
        </w:rPr>
        <w:t xml:space="preserve">; </w:t>
      </w:r>
      <w:r w:rsidR="000D0D57" w:rsidRPr="00F11BAE">
        <w:rPr>
          <w:rFonts w:cstheme="minorHAnsi"/>
          <w:sz w:val="18"/>
          <w:szCs w:val="18"/>
        </w:rPr>
        <w:t xml:space="preserve">Reintervenções: 2,9% </w:t>
      </w:r>
      <w:r w:rsidR="000D0D57" w:rsidRPr="00F11BAE">
        <w:rPr>
          <w:rFonts w:cstheme="minorHAnsi"/>
          <w:i/>
          <w:sz w:val="18"/>
          <w:szCs w:val="18"/>
        </w:rPr>
        <w:t>vs</w:t>
      </w:r>
      <w:r w:rsidR="000D0D57" w:rsidRPr="00F11BAE">
        <w:rPr>
          <w:rFonts w:cstheme="minorHAnsi"/>
          <w:sz w:val="18"/>
          <w:szCs w:val="18"/>
        </w:rPr>
        <w:t xml:space="preserve"> 5,5% (p=0,2315); </w:t>
      </w:r>
      <w:r w:rsidR="00362929" w:rsidRPr="00F11BAE">
        <w:rPr>
          <w:rFonts w:cstheme="minorHAnsi"/>
          <w:sz w:val="18"/>
          <w:szCs w:val="18"/>
        </w:rPr>
        <w:t xml:space="preserve">e </w:t>
      </w:r>
      <w:r w:rsidR="000D0D57" w:rsidRPr="00F11BAE">
        <w:rPr>
          <w:rFonts w:cstheme="minorHAnsi"/>
          <w:sz w:val="18"/>
          <w:szCs w:val="18"/>
        </w:rPr>
        <w:t xml:space="preserve">Internamento hospitalar inferior a 4 dias: 64,8% </w:t>
      </w:r>
      <w:r w:rsidR="000D0D57" w:rsidRPr="00F11BAE">
        <w:rPr>
          <w:rFonts w:cstheme="minorHAnsi"/>
          <w:i/>
          <w:sz w:val="18"/>
          <w:szCs w:val="18"/>
        </w:rPr>
        <w:t>vs</w:t>
      </w:r>
      <w:r w:rsidR="000D0D57" w:rsidRPr="00F11BAE">
        <w:rPr>
          <w:rFonts w:cstheme="minorHAnsi"/>
          <w:sz w:val="18"/>
          <w:szCs w:val="18"/>
        </w:rPr>
        <w:t xml:space="preserve"> 18,5% (p&lt;0,0001)</w:t>
      </w:r>
      <w:r w:rsidR="00381A56" w:rsidRPr="00F11BAE">
        <w:rPr>
          <w:rFonts w:cstheme="minorHAnsi"/>
          <w:sz w:val="18"/>
          <w:szCs w:val="18"/>
        </w:rPr>
        <w:t>. Na CL houve 10,7%</w:t>
      </w:r>
      <w:r w:rsidR="000D0D57" w:rsidRPr="00F11BAE">
        <w:rPr>
          <w:rFonts w:cstheme="minorHAnsi"/>
          <w:sz w:val="18"/>
          <w:szCs w:val="18"/>
        </w:rPr>
        <w:t xml:space="preserve"> </w:t>
      </w:r>
      <w:r w:rsidR="00B27F9F" w:rsidRPr="00F11BAE">
        <w:rPr>
          <w:rFonts w:cstheme="minorHAnsi"/>
          <w:sz w:val="18"/>
          <w:szCs w:val="18"/>
        </w:rPr>
        <w:t xml:space="preserve">de </w:t>
      </w:r>
      <w:r w:rsidR="000D0D57" w:rsidRPr="00F11BAE">
        <w:rPr>
          <w:rFonts w:cstheme="minorHAnsi"/>
          <w:sz w:val="18"/>
          <w:szCs w:val="18"/>
        </w:rPr>
        <w:t>c</w:t>
      </w:r>
      <w:r w:rsidR="00962015" w:rsidRPr="00F11BAE">
        <w:rPr>
          <w:rFonts w:cstheme="minorHAnsi"/>
          <w:sz w:val="18"/>
          <w:szCs w:val="18"/>
        </w:rPr>
        <w:t>onvers</w:t>
      </w:r>
      <w:r w:rsidR="000D0D57" w:rsidRPr="00F11BAE">
        <w:rPr>
          <w:rFonts w:cstheme="minorHAnsi"/>
          <w:sz w:val="18"/>
          <w:szCs w:val="18"/>
        </w:rPr>
        <w:t>ões</w:t>
      </w:r>
      <w:r w:rsidR="00B27F9F" w:rsidRPr="00F11BAE">
        <w:rPr>
          <w:rFonts w:cstheme="minorHAnsi"/>
          <w:sz w:val="18"/>
          <w:szCs w:val="18"/>
        </w:rPr>
        <w:t>: nas precoces (intervenções não superiores a 4 dias</w:t>
      </w:r>
      <w:r w:rsidR="00FD6679">
        <w:rPr>
          <w:rFonts w:cstheme="minorHAnsi"/>
          <w:sz w:val="18"/>
          <w:szCs w:val="18"/>
        </w:rPr>
        <w:t>, após o diagnóstico</w:t>
      </w:r>
      <w:r w:rsidR="00B27F9F" w:rsidRPr="00F11BAE">
        <w:rPr>
          <w:rFonts w:cstheme="minorHAnsi"/>
          <w:sz w:val="18"/>
          <w:szCs w:val="18"/>
        </w:rPr>
        <w:t xml:space="preserve">) esta taxa foi de </w:t>
      </w:r>
      <w:r w:rsidR="000D0D57" w:rsidRPr="00F11BAE">
        <w:rPr>
          <w:rFonts w:cstheme="minorHAnsi"/>
          <w:sz w:val="18"/>
          <w:szCs w:val="18"/>
        </w:rPr>
        <w:t xml:space="preserve">8,8% </w:t>
      </w:r>
      <w:r w:rsidR="00962015" w:rsidRPr="00F11BAE">
        <w:rPr>
          <w:rFonts w:cstheme="minorHAnsi"/>
          <w:sz w:val="18"/>
          <w:szCs w:val="18"/>
        </w:rPr>
        <w:t xml:space="preserve">e </w:t>
      </w:r>
      <w:r w:rsidR="00B27F9F" w:rsidRPr="00F11BAE">
        <w:rPr>
          <w:rFonts w:cstheme="minorHAnsi"/>
          <w:sz w:val="18"/>
          <w:szCs w:val="18"/>
        </w:rPr>
        <w:t>nas tardias foi 13,7</w:t>
      </w:r>
      <w:r w:rsidRPr="00F11BAE">
        <w:rPr>
          <w:rFonts w:cstheme="minorHAnsi"/>
          <w:sz w:val="18"/>
          <w:szCs w:val="18"/>
        </w:rPr>
        <w:t>%</w:t>
      </w:r>
      <w:r w:rsidR="000D0D57" w:rsidRPr="00F11BAE">
        <w:rPr>
          <w:rFonts w:cstheme="minorHAnsi"/>
          <w:sz w:val="18"/>
          <w:szCs w:val="18"/>
        </w:rPr>
        <w:t xml:space="preserve"> </w:t>
      </w:r>
      <w:r w:rsidR="00962015" w:rsidRPr="00F11BAE">
        <w:rPr>
          <w:rFonts w:cstheme="minorHAnsi"/>
          <w:sz w:val="18"/>
          <w:szCs w:val="18"/>
        </w:rPr>
        <w:t>(</w:t>
      </w:r>
      <w:r w:rsidRPr="00F11BAE">
        <w:rPr>
          <w:rFonts w:cstheme="minorHAnsi"/>
          <w:sz w:val="18"/>
          <w:szCs w:val="18"/>
        </w:rPr>
        <w:t>p=0,1425</w:t>
      </w:r>
      <w:r w:rsidR="00962015" w:rsidRPr="00F11BAE">
        <w:rPr>
          <w:rFonts w:cstheme="minorHAnsi"/>
          <w:sz w:val="18"/>
          <w:szCs w:val="18"/>
        </w:rPr>
        <w:t>)</w:t>
      </w:r>
      <w:r w:rsidR="000D0D57" w:rsidRPr="00F11BAE">
        <w:rPr>
          <w:rFonts w:cstheme="minorHAnsi"/>
          <w:sz w:val="18"/>
          <w:szCs w:val="18"/>
        </w:rPr>
        <w:t>.</w:t>
      </w:r>
      <w:r w:rsidRPr="00962015">
        <w:rPr>
          <w:rFonts w:cstheme="minorHAnsi"/>
          <w:sz w:val="18"/>
          <w:szCs w:val="18"/>
        </w:rPr>
        <w:t xml:space="preserve"> </w:t>
      </w:r>
    </w:p>
    <w:p w:rsidR="00F22010" w:rsidRPr="00172C6A" w:rsidRDefault="00F22010" w:rsidP="00F22010">
      <w:pPr>
        <w:spacing w:after="120" w:line="240" w:lineRule="auto"/>
        <w:jc w:val="both"/>
        <w:rPr>
          <w:rFonts w:cstheme="minorHAnsi"/>
          <w:sz w:val="18"/>
          <w:szCs w:val="18"/>
        </w:rPr>
      </w:pPr>
      <w:r w:rsidRPr="00362929">
        <w:rPr>
          <w:rFonts w:cstheme="minorHAnsi"/>
          <w:b/>
          <w:sz w:val="18"/>
          <w:szCs w:val="18"/>
        </w:rPr>
        <w:t>Conclusão:</w:t>
      </w:r>
      <w:r w:rsidRPr="00362929">
        <w:rPr>
          <w:rFonts w:cstheme="minorHAnsi"/>
          <w:sz w:val="18"/>
          <w:szCs w:val="18"/>
        </w:rPr>
        <w:t xml:space="preserve"> Os resultados obtidos justificam a frequência com que a colecistectomia </w:t>
      </w:r>
      <w:r w:rsidR="00522A60" w:rsidRPr="00362929">
        <w:rPr>
          <w:rFonts w:cstheme="minorHAnsi"/>
          <w:sz w:val="18"/>
          <w:szCs w:val="18"/>
        </w:rPr>
        <w:t xml:space="preserve">laparoscópica </w:t>
      </w:r>
      <w:r w:rsidRPr="00362929">
        <w:rPr>
          <w:rFonts w:cstheme="minorHAnsi"/>
          <w:sz w:val="18"/>
          <w:szCs w:val="18"/>
        </w:rPr>
        <w:t xml:space="preserve">é realizada </w:t>
      </w:r>
      <w:r w:rsidR="00362929" w:rsidRPr="00362929">
        <w:rPr>
          <w:rFonts w:cstheme="minorHAnsi"/>
          <w:sz w:val="18"/>
          <w:szCs w:val="18"/>
        </w:rPr>
        <w:t>na colecistite aguda</w:t>
      </w:r>
      <w:r w:rsidR="00362929">
        <w:rPr>
          <w:rFonts w:cstheme="minorHAnsi"/>
          <w:sz w:val="18"/>
          <w:szCs w:val="18"/>
        </w:rPr>
        <w:t>,</w:t>
      </w:r>
      <w:r w:rsidR="00362929" w:rsidRPr="00362929">
        <w:rPr>
          <w:rFonts w:cstheme="minorHAnsi"/>
          <w:sz w:val="18"/>
          <w:szCs w:val="18"/>
        </w:rPr>
        <w:t xml:space="preserve"> </w:t>
      </w:r>
      <w:r w:rsidR="00362929">
        <w:rPr>
          <w:rFonts w:cstheme="minorHAnsi"/>
          <w:sz w:val="18"/>
          <w:szCs w:val="18"/>
        </w:rPr>
        <w:t>em comparação com a via aberta</w:t>
      </w:r>
      <w:r w:rsidR="008F3104" w:rsidRPr="00362929">
        <w:rPr>
          <w:rFonts w:cstheme="minorHAnsi"/>
          <w:sz w:val="18"/>
          <w:szCs w:val="18"/>
        </w:rPr>
        <w:t>, devendo ser considerada como primeira opção no tratamento desta afeção</w:t>
      </w:r>
      <w:r w:rsidRPr="00362929">
        <w:rPr>
          <w:rFonts w:cstheme="minorHAnsi"/>
          <w:sz w:val="18"/>
          <w:szCs w:val="18"/>
        </w:rPr>
        <w:t>.</w:t>
      </w:r>
      <w:r w:rsidR="008F3104" w:rsidRPr="00362929">
        <w:rPr>
          <w:rFonts w:cstheme="minorHAnsi"/>
          <w:sz w:val="18"/>
          <w:szCs w:val="18"/>
        </w:rPr>
        <w:t xml:space="preserve"> A cirurgia aberta apenas se justifica nos </w:t>
      </w:r>
      <w:r w:rsidRPr="00172C6A">
        <w:rPr>
          <w:rFonts w:cstheme="minorHAnsi"/>
          <w:sz w:val="18"/>
          <w:szCs w:val="18"/>
        </w:rPr>
        <w:t>casos de pouca experiência do cirurgião em cirurgia mini-invasiva</w:t>
      </w:r>
      <w:r w:rsidR="001F3CA8" w:rsidRPr="00172C6A">
        <w:rPr>
          <w:rFonts w:cstheme="minorHAnsi"/>
          <w:sz w:val="18"/>
          <w:szCs w:val="18"/>
        </w:rPr>
        <w:t>,</w:t>
      </w:r>
      <w:r w:rsidRPr="00172C6A">
        <w:rPr>
          <w:rFonts w:cstheme="minorHAnsi"/>
          <w:sz w:val="18"/>
          <w:szCs w:val="18"/>
        </w:rPr>
        <w:t xml:space="preserve"> mediante </w:t>
      </w:r>
      <w:r w:rsidR="008F3104" w:rsidRPr="00172C6A">
        <w:rPr>
          <w:rFonts w:cstheme="minorHAnsi"/>
          <w:sz w:val="18"/>
          <w:szCs w:val="18"/>
        </w:rPr>
        <w:t xml:space="preserve">situações </w:t>
      </w:r>
      <w:r w:rsidRPr="00172C6A">
        <w:rPr>
          <w:rFonts w:cstheme="minorHAnsi"/>
          <w:sz w:val="18"/>
          <w:szCs w:val="18"/>
        </w:rPr>
        <w:t>com graves alterações sistémicas</w:t>
      </w:r>
      <w:r w:rsidR="001F3CA8" w:rsidRPr="00172C6A">
        <w:rPr>
          <w:rFonts w:cstheme="minorHAnsi"/>
          <w:sz w:val="18"/>
          <w:szCs w:val="18"/>
        </w:rPr>
        <w:t xml:space="preserve"> e n</w:t>
      </w:r>
      <w:r w:rsidR="006823ED" w:rsidRPr="00172C6A">
        <w:rPr>
          <w:rFonts w:cstheme="minorHAnsi"/>
          <w:sz w:val="18"/>
          <w:szCs w:val="18"/>
        </w:rPr>
        <w:t>a</w:t>
      </w:r>
      <w:r w:rsidRPr="00172C6A">
        <w:rPr>
          <w:rFonts w:cstheme="minorHAnsi"/>
          <w:sz w:val="18"/>
          <w:szCs w:val="18"/>
        </w:rPr>
        <w:t xml:space="preserve"> peritonite biliar</w:t>
      </w:r>
      <w:r w:rsidR="008F3104" w:rsidRPr="00172C6A">
        <w:rPr>
          <w:rFonts w:cstheme="minorHAnsi"/>
          <w:sz w:val="18"/>
          <w:szCs w:val="18"/>
        </w:rPr>
        <w:t>.</w:t>
      </w:r>
    </w:p>
    <w:p w:rsidR="00447877" w:rsidRPr="00A763B5" w:rsidRDefault="00F22010" w:rsidP="00F22010">
      <w:pPr>
        <w:spacing w:after="120" w:line="240" w:lineRule="auto"/>
        <w:jc w:val="both"/>
        <w:rPr>
          <w:rFonts w:cstheme="minorHAnsi"/>
          <w:sz w:val="18"/>
          <w:szCs w:val="18"/>
        </w:rPr>
      </w:pPr>
      <w:r w:rsidRPr="00172C6A">
        <w:rPr>
          <w:rFonts w:cstheme="minorHAnsi"/>
          <w:b/>
          <w:sz w:val="18"/>
          <w:szCs w:val="18"/>
        </w:rPr>
        <w:t>Palavras-chave</w:t>
      </w:r>
      <w:r w:rsidR="00147652" w:rsidRPr="00172C6A">
        <w:rPr>
          <w:rFonts w:cstheme="minorHAnsi"/>
          <w:b/>
          <w:sz w:val="18"/>
          <w:szCs w:val="18"/>
        </w:rPr>
        <w:t>:</w:t>
      </w:r>
      <w:r w:rsidR="00147652" w:rsidRPr="00172C6A">
        <w:rPr>
          <w:rFonts w:cstheme="minorHAnsi"/>
          <w:sz w:val="18"/>
          <w:szCs w:val="18"/>
        </w:rPr>
        <w:t xml:space="preserve"> </w:t>
      </w:r>
      <w:r w:rsidRPr="00172C6A">
        <w:rPr>
          <w:rFonts w:cstheme="minorHAnsi"/>
          <w:sz w:val="18"/>
          <w:szCs w:val="18"/>
        </w:rPr>
        <w:t xml:space="preserve">Colecistectomia laparoscópica; </w:t>
      </w:r>
      <w:r w:rsidR="00A763B5">
        <w:rPr>
          <w:rFonts w:cstheme="minorHAnsi"/>
          <w:sz w:val="18"/>
          <w:szCs w:val="18"/>
        </w:rPr>
        <w:t>C</w:t>
      </w:r>
      <w:r w:rsidRPr="00A763B5">
        <w:rPr>
          <w:rFonts w:cstheme="minorHAnsi"/>
          <w:sz w:val="18"/>
          <w:szCs w:val="18"/>
        </w:rPr>
        <w:t xml:space="preserve">olecistectomia aberta; </w:t>
      </w:r>
      <w:r w:rsidR="00A763B5">
        <w:rPr>
          <w:rFonts w:cstheme="minorHAnsi"/>
          <w:sz w:val="18"/>
          <w:szCs w:val="18"/>
        </w:rPr>
        <w:t>C</w:t>
      </w:r>
      <w:r w:rsidR="00595F71">
        <w:rPr>
          <w:rFonts w:cstheme="minorHAnsi"/>
          <w:sz w:val="18"/>
          <w:szCs w:val="18"/>
        </w:rPr>
        <w:t>olecistite</w:t>
      </w:r>
      <w:r w:rsidR="00A763B5" w:rsidRPr="00A763B5">
        <w:rPr>
          <w:rFonts w:cstheme="minorHAnsi"/>
          <w:sz w:val="18"/>
          <w:szCs w:val="18"/>
        </w:rPr>
        <w:t xml:space="preserve"> </w:t>
      </w:r>
      <w:r w:rsidRPr="00A763B5">
        <w:rPr>
          <w:rFonts w:cstheme="minorHAnsi"/>
          <w:sz w:val="18"/>
          <w:szCs w:val="18"/>
        </w:rPr>
        <w:t>aguda</w:t>
      </w:r>
      <w:r w:rsidR="00147652" w:rsidRPr="00A763B5">
        <w:rPr>
          <w:rFonts w:cstheme="minorHAnsi"/>
          <w:sz w:val="18"/>
          <w:szCs w:val="18"/>
        </w:rPr>
        <w:t>.</w:t>
      </w:r>
    </w:p>
    <w:p w:rsidR="00F22010" w:rsidRPr="00172C6A" w:rsidRDefault="00F22010" w:rsidP="00F22010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763B5">
        <w:rPr>
          <w:rFonts w:cstheme="minorHAnsi"/>
          <w:b/>
          <w:sz w:val="18"/>
          <w:szCs w:val="18"/>
        </w:rPr>
        <w:t>Abreviaturas:</w:t>
      </w:r>
      <w:r w:rsidRPr="00A763B5">
        <w:rPr>
          <w:rFonts w:cstheme="minorHAnsi"/>
          <w:sz w:val="18"/>
          <w:szCs w:val="18"/>
        </w:rPr>
        <w:t xml:space="preserve"> CL - </w:t>
      </w:r>
      <w:r w:rsidR="00A763B5">
        <w:rPr>
          <w:rFonts w:cstheme="minorHAnsi"/>
          <w:sz w:val="18"/>
          <w:szCs w:val="18"/>
        </w:rPr>
        <w:t>C</w:t>
      </w:r>
      <w:r w:rsidR="00A763B5" w:rsidRPr="00A763B5">
        <w:rPr>
          <w:rFonts w:cstheme="minorHAnsi"/>
          <w:sz w:val="18"/>
          <w:szCs w:val="18"/>
        </w:rPr>
        <w:t xml:space="preserve">olecistectomia </w:t>
      </w:r>
      <w:r w:rsidRPr="00A763B5">
        <w:rPr>
          <w:rFonts w:cstheme="minorHAnsi"/>
          <w:sz w:val="18"/>
          <w:szCs w:val="18"/>
        </w:rPr>
        <w:t xml:space="preserve">laparoscópica; CA - </w:t>
      </w:r>
      <w:r w:rsidR="00A763B5">
        <w:rPr>
          <w:rFonts w:cstheme="minorHAnsi"/>
          <w:sz w:val="18"/>
          <w:szCs w:val="18"/>
        </w:rPr>
        <w:t>C</w:t>
      </w:r>
      <w:r w:rsidR="00A763B5" w:rsidRPr="00A763B5">
        <w:rPr>
          <w:rFonts w:cstheme="minorHAnsi"/>
          <w:sz w:val="18"/>
          <w:szCs w:val="18"/>
        </w:rPr>
        <w:t xml:space="preserve">olecistectomia </w:t>
      </w:r>
      <w:r w:rsidRPr="00A763B5">
        <w:rPr>
          <w:rFonts w:cstheme="minorHAnsi"/>
          <w:sz w:val="18"/>
          <w:szCs w:val="18"/>
        </w:rPr>
        <w:t>aberta</w:t>
      </w:r>
      <w:r w:rsidR="00A763B5">
        <w:rPr>
          <w:rFonts w:cstheme="minorHAnsi"/>
          <w:sz w:val="18"/>
          <w:szCs w:val="18"/>
        </w:rPr>
        <w:t>;</w:t>
      </w:r>
      <w:r w:rsidR="00A763B5" w:rsidRPr="00A763B5">
        <w:rPr>
          <w:rFonts w:cstheme="minorHAnsi"/>
          <w:sz w:val="18"/>
          <w:szCs w:val="18"/>
        </w:rPr>
        <w:t xml:space="preserve"> </w:t>
      </w:r>
      <w:r w:rsidRPr="00172C6A">
        <w:rPr>
          <w:rFonts w:cstheme="minorHAnsi"/>
          <w:sz w:val="18"/>
          <w:szCs w:val="18"/>
        </w:rPr>
        <w:t>VBP</w:t>
      </w:r>
      <w:r w:rsidR="00A763B5">
        <w:rPr>
          <w:rFonts w:cstheme="minorHAnsi"/>
          <w:sz w:val="18"/>
          <w:szCs w:val="18"/>
        </w:rPr>
        <w:t xml:space="preserve"> - </w:t>
      </w:r>
      <w:r w:rsidRPr="00172C6A">
        <w:rPr>
          <w:rFonts w:cstheme="minorHAnsi"/>
          <w:sz w:val="18"/>
          <w:szCs w:val="18"/>
        </w:rPr>
        <w:t>Via biliar principal</w:t>
      </w:r>
      <w:r w:rsidR="00A763B5">
        <w:rPr>
          <w:rFonts w:cstheme="minorHAnsi"/>
          <w:sz w:val="18"/>
          <w:szCs w:val="18"/>
        </w:rPr>
        <w:t>.</w:t>
      </w:r>
    </w:p>
    <w:p w:rsidR="00F22010" w:rsidRPr="00172C6A" w:rsidRDefault="00F22010" w:rsidP="00F22010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F22010" w:rsidRPr="00172C6A" w:rsidRDefault="00F22010" w:rsidP="00F22010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147652" w:rsidRPr="00F11BAE" w:rsidRDefault="00147652" w:rsidP="005C11F4">
      <w:pPr>
        <w:spacing w:after="120" w:line="240" w:lineRule="auto"/>
        <w:jc w:val="both"/>
        <w:rPr>
          <w:rFonts w:cstheme="minorHAnsi"/>
          <w:b/>
          <w:sz w:val="18"/>
          <w:szCs w:val="18"/>
          <w:lang w:val="en-US"/>
        </w:rPr>
      </w:pPr>
      <w:r w:rsidRPr="00F11BAE">
        <w:rPr>
          <w:rFonts w:cstheme="minorHAnsi"/>
          <w:b/>
          <w:sz w:val="18"/>
          <w:szCs w:val="18"/>
          <w:lang w:val="en-US"/>
        </w:rPr>
        <w:t>ABSTRACT</w:t>
      </w:r>
      <w:r w:rsidR="009312C6" w:rsidRPr="00F11BAE">
        <w:rPr>
          <w:rFonts w:cstheme="minorHAnsi"/>
          <w:b/>
          <w:sz w:val="18"/>
          <w:szCs w:val="18"/>
          <w:lang w:val="en-US"/>
        </w:rPr>
        <w:t xml:space="preserve">: </w:t>
      </w:r>
      <w:r w:rsidR="00F11BAE" w:rsidRPr="00F11BAE">
        <w:rPr>
          <w:rFonts w:cstheme="minorHAnsi"/>
          <w:b/>
          <w:sz w:val="18"/>
          <w:szCs w:val="18"/>
          <w:u w:val="single"/>
          <w:lang w:val="en-US"/>
        </w:rPr>
        <w:t>Is T</w:t>
      </w:r>
      <w:r w:rsidR="009312C6" w:rsidRPr="00F11BAE">
        <w:rPr>
          <w:rFonts w:cstheme="minorHAnsi"/>
          <w:b/>
          <w:sz w:val="18"/>
          <w:szCs w:val="18"/>
          <w:u w:val="single"/>
          <w:lang w:val="en-US"/>
        </w:rPr>
        <w:t xml:space="preserve">here </w:t>
      </w:r>
      <w:r w:rsidR="00F11BAE" w:rsidRPr="00F11BAE">
        <w:rPr>
          <w:rFonts w:cstheme="minorHAnsi"/>
          <w:b/>
          <w:sz w:val="18"/>
          <w:szCs w:val="18"/>
          <w:u w:val="single"/>
          <w:lang w:val="en-US"/>
        </w:rPr>
        <w:t>P</w:t>
      </w:r>
      <w:r w:rsidR="009312C6" w:rsidRPr="00F11BAE">
        <w:rPr>
          <w:rFonts w:cstheme="minorHAnsi"/>
          <w:b/>
          <w:sz w:val="18"/>
          <w:szCs w:val="18"/>
          <w:u w:val="single"/>
          <w:lang w:val="en-US"/>
        </w:rPr>
        <w:t xml:space="preserve">lace to </w:t>
      </w:r>
      <w:r w:rsidR="00F11BAE" w:rsidRPr="00F11BAE">
        <w:rPr>
          <w:rFonts w:cstheme="minorHAnsi"/>
          <w:b/>
          <w:sz w:val="18"/>
          <w:szCs w:val="18"/>
          <w:u w:val="single"/>
          <w:lang w:val="en-US"/>
        </w:rPr>
        <w:t>O</w:t>
      </w:r>
      <w:r w:rsidR="009312C6" w:rsidRPr="00F11BAE">
        <w:rPr>
          <w:rFonts w:cstheme="minorHAnsi"/>
          <w:b/>
          <w:sz w:val="18"/>
          <w:szCs w:val="18"/>
          <w:u w:val="single"/>
          <w:lang w:val="en-US"/>
        </w:rPr>
        <w:t xml:space="preserve">pen </w:t>
      </w:r>
      <w:r w:rsidR="00F11BAE" w:rsidRPr="00F11BAE">
        <w:rPr>
          <w:rFonts w:cstheme="minorHAnsi"/>
          <w:b/>
          <w:sz w:val="18"/>
          <w:szCs w:val="18"/>
          <w:u w:val="single"/>
          <w:lang w:val="en-US"/>
        </w:rPr>
        <w:t>C</w:t>
      </w:r>
      <w:r w:rsidR="009312C6" w:rsidRPr="00F11BAE">
        <w:rPr>
          <w:rFonts w:cstheme="minorHAnsi"/>
          <w:b/>
          <w:sz w:val="18"/>
          <w:szCs w:val="18"/>
          <w:u w:val="single"/>
          <w:lang w:val="en-US"/>
        </w:rPr>
        <w:t xml:space="preserve">holecystectomy in </w:t>
      </w:r>
      <w:r w:rsidR="00F11BAE" w:rsidRPr="00F11BAE">
        <w:rPr>
          <w:rFonts w:cstheme="minorHAnsi"/>
          <w:b/>
          <w:sz w:val="18"/>
          <w:szCs w:val="18"/>
          <w:u w:val="single"/>
          <w:lang w:val="en-US"/>
        </w:rPr>
        <w:t>A</w:t>
      </w:r>
      <w:r w:rsidR="009312C6" w:rsidRPr="00F11BAE">
        <w:rPr>
          <w:rFonts w:cstheme="minorHAnsi"/>
          <w:b/>
          <w:sz w:val="18"/>
          <w:szCs w:val="18"/>
          <w:u w:val="single"/>
          <w:lang w:val="en-US"/>
        </w:rPr>
        <w:t xml:space="preserve">cute </w:t>
      </w:r>
      <w:r w:rsidR="00F11BAE" w:rsidRPr="00F11BAE">
        <w:rPr>
          <w:rFonts w:cstheme="minorHAnsi"/>
          <w:b/>
          <w:sz w:val="18"/>
          <w:szCs w:val="18"/>
          <w:u w:val="single"/>
          <w:lang w:val="en-US"/>
        </w:rPr>
        <w:t>Cholecystitis</w:t>
      </w:r>
      <w:r w:rsidR="009312C6" w:rsidRPr="00F11BAE">
        <w:rPr>
          <w:rFonts w:cstheme="minorHAnsi"/>
          <w:b/>
          <w:sz w:val="18"/>
          <w:szCs w:val="18"/>
          <w:lang w:val="en-US"/>
        </w:rPr>
        <w:t>?</w:t>
      </w:r>
    </w:p>
    <w:p w:rsidR="00147652" w:rsidRPr="00F11BAE" w:rsidRDefault="00F22010" w:rsidP="005C11F4">
      <w:pPr>
        <w:spacing w:after="120" w:line="240" w:lineRule="auto"/>
        <w:jc w:val="both"/>
        <w:rPr>
          <w:rFonts w:cstheme="minorHAnsi"/>
          <w:sz w:val="18"/>
          <w:szCs w:val="18"/>
          <w:lang w:val="en-US"/>
        </w:rPr>
      </w:pPr>
      <w:r w:rsidRPr="00F11BAE">
        <w:rPr>
          <w:rFonts w:cstheme="minorHAnsi"/>
          <w:b/>
          <w:sz w:val="18"/>
          <w:szCs w:val="18"/>
          <w:lang w:val="en-US"/>
        </w:rPr>
        <w:t xml:space="preserve">Introduction: </w:t>
      </w:r>
      <w:r w:rsidR="00147652" w:rsidRPr="00F11BAE">
        <w:rPr>
          <w:rFonts w:cstheme="minorHAnsi"/>
          <w:sz w:val="18"/>
          <w:szCs w:val="18"/>
          <w:lang w:val="en-US"/>
        </w:rPr>
        <w:t xml:space="preserve">Despite the </w:t>
      </w:r>
      <w:r w:rsidR="00F11BAE" w:rsidRPr="00F11BAE">
        <w:rPr>
          <w:rFonts w:cstheme="minorHAnsi"/>
          <w:sz w:val="18"/>
          <w:szCs w:val="18"/>
          <w:lang w:val="en-US"/>
        </w:rPr>
        <w:t>skepticism</w:t>
      </w:r>
      <w:r w:rsidR="00147652" w:rsidRPr="00F11BAE">
        <w:rPr>
          <w:rFonts w:cstheme="minorHAnsi"/>
          <w:sz w:val="18"/>
          <w:szCs w:val="18"/>
          <w:lang w:val="en-US"/>
        </w:rPr>
        <w:t xml:space="preserve"> with which it was initially considered, laparoscopic cholecystectomy is the technique of choice in acute </w:t>
      </w:r>
      <w:r w:rsidR="00F11BAE">
        <w:rPr>
          <w:rFonts w:cstheme="minorHAnsi"/>
          <w:sz w:val="18"/>
          <w:szCs w:val="18"/>
          <w:lang w:val="en-US"/>
        </w:rPr>
        <w:t>c</w:t>
      </w:r>
      <w:r w:rsidR="00F11BAE" w:rsidRPr="00F11BAE">
        <w:rPr>
          <w:rFonts w:cstheme="minorHAnsi"/>
          <w:sz w:val="18"/>
          <w:szCs w:val="18"/>
          <w:lang w:val="en-US"/>
        </w:rPr>
        <w:t>holecystitis</w:t>
      </w:r>
      <w:r w:rsidR="00147652" w:rsidRPr="00F11BAE">
        <w:rPr>
          <w:rFonts w:cstheme="minorHAnsi"/>
          <w:sz w:val="18"/>
          <w:szCs w:val="18"/>
          <w:lang w:val="en-US"/>
        </w:rPr>
        <w:t>.</w:t>
      </w:r>
      <w:r w:rsidRPr="00F11BAE">
        <w:rPr>
          <w:rFonts w:cstheme="minorHAnsi"/>
          <w:sz w:val="18"/>
          <w:szCs w:val="18"/>
          <w:lang w:val="en-US"/>
        </w:rPr>
        <w:t xml:space="preserve"> </w:t>
      </w:r>
      <w:r w:rsidR="00147652" w:rsidRPr="00F11BAE">
        <w:rPr>
          <w:rFonts w:cstheme="minorHAnsi"/>
          <w:sz w:val="18"/>
          <w:szCs w:val="18"/>
          <w:lang w:val="en-US"/>
        </w:rPr>
        <w:t>It is, ho</w:t>
      </w:r>
      <w:r w:rsidR="002C6E2D">
        <w:rPr>
          <w:rFonts w:cstheme="minorHAnsi"/>
          <w:sz w:val="18"/>
          <w:szCs w:val="18"/>
          <w:lang w:val="en-US"/>
        </w:rPr>
        <w:t>wever, important to assess the</w:t>
      </w:r>
      <w:r w:rsidR="00147652" w:rsidRPr="00F11BAE">
        <w:rPr>
          <w:rFonts w:cstheme="minorHAnsi"/>
          <w:sz w:val="18"/>
          <w:szCs w:val="18"/>
          <w:lang w:val="en-US"/>
        </w:rPr>
        <w:t xml:space="preserve"> outcomes </w:t>
      </w:r>
      <w:r w:rsidR="002C6E2D">
        <w:rPr>
          <w:rFonts w:cstheme="minorHAnsi"/>
          <w:sz w:val="18"/>
          <w:szCs w:val="18"/>
          <w:lang w:val="en-US"/>
        </w:rPr>
        <w:t xml:space="preserve">when </w:t>
      </w:r>
      <w:r w:rsidR="00147652" w:rsidRPr="00F11BAE">
        <w:rPr>
          <w:rFonts w:cstheme="minorHAnsi"/>
          <w:sz w:val="18"/>
          <w:szCs w:val="18"/>
          <w:lang w:val="en-US"/>
        </w:rPr>
        <w:t xml:space="preserve">compared </w:t>
      </w:r>
      <w:r w:rsidR="002C6E2D">
        <w:rPr>
          <w:rFonts w:cstheme="minorHAnsi"/>
          <w:sz w:val="18"/>
          <w:szCs w:val="18"/>
          <w:lang w:val="en-US"/>
        </w:rPr>
        <w:t>to</w:t>
      </w:r>
      <w:r w:rsidR="00147652" w:rsidRPr="00F11BAE">
        <w:rPr>
          <w:rFonts w:cstheme="minorHAnsi"/>
          <w:sz w:val="18"/>
          <w:szCs w:val="18"/>
          <w:lang w:val="en-US"/>
        </w:rPr>
        <w:t xml:space="preserve"> open surgery for gallbladder removal, analyzing at the same time the current indications </w:t>
      </w:r>
      <w:r w:rsidR="002C6E2D">
        <w:rPr>
          <w:rFonts w:cstheme="minorHAnsi"/>
          <w:sz w:val="18"/>
          <w:szCs w:val="18"/>
          <w:lang w:val="en-US"/>
        </w:rPr>
        <w:t>of</w:t>
      </w:r>
      <w:r w:rsidR="00147652" w:rsidRPr="00F11BAE">
        <w:rPr>
          <w:rFonts w:cstheme="minorHAnsi"/>
          <w:sz w:val="18"/>
          <w:szCs w:val="18"/>
          <w:lang w:val="en-US"/>
        </w:rPr>
        <w:t xml:space="preserve"> the latter</w:t>
      </w:r>
      <w:r w:rsidR="002C6E2D">
        <w:rPr>
          <w:rFonts w:cstheme="minorHAnsi"/>
          <w:sz w:val="18"/>
          <w:szCs w:val="18"/>
          <w:lang w:val="en-US"/>
        </w:rPr>
        <w:t>, in this</w:t>
      </w:r>
      <w:r w:rsidR="00147652" w:rsidRPr="00F11BAE">
        <w:rPr>
          <w:rFonts w:cstheme="minorHAnsi"/>
          <w:sz w:val="18"/>
          <w:szCs w:val="18"/>
          <w:lang w:val="en-US"/>
        </w:rPr>
        <w:t xml:space="preserve"> affection</w:t>
      </w:r>
      <w:r w:rsidR="002C6E2D">
        <w:rPr>
          <w:rFonts w:cstheme="minorHAnsi"/>
          <w:sz w:val="18"/>
          <w:szCs w:val="18"/>
          <w:lang w:val="en-US"/>
        </w:rPr>
        <w:t>.</w:t>
      </w:r>
    </w:p>
    <w:p w:rsidR="00147652" w:rsidRPr="00F11BAE" w:rsidRDefault="00F22010" w:rsidP="005C11F4">
      <w:pPr>
        <w:spacing w:after="120" w:line="240" w:lineRule="auto"/>
        <w:jc w:val="both"/>
        <w:rPr>
          <w:rFonts w:cstheme="minorHAnsi"/>
          <w:sz w:val="18"/>
          <w:szCs w:val="18"/>
          <w:lang w:val="en-US"/>
        </w:rPr>
      </w:pPr>
      <w:r w:rsidRPr="00383197">
        <w:rPr>
          <w:rFonts w:cstheme="minorHAnsi"/>
          <w:b/>
          <w:sz w:val="18"/>
          <w:szCs w:val="18"/>
          <w:lang w:val="en-US"/>
        </w:rPr>
        <w:t xml:space="preserve">Material and methods: </w:t>
      </w:r>
      <w:r w:rsidR="002C6E2D" w:rsidRPr="00383197">
        <w:rPr>
          <w:rFonts w:cstheme="minorHAnsi"/>
          <w:sz w:val="18"/>
          <w:szCs w:val="18"/>
          <w:lang w:val="en-US"/>
        </w:rPr>
        <w:t>Our research corresponds to the analysis of 520 acute cholecystitis performed in the department of surgery at the São João Hospital</w:t>
      </w:r>
      <w:r w:rsidR="00383197" w:rsidRPr="00383197">
        <w:rPr>
          <w:rFonts w:cstheme="minorHAnsi"/>
          <w:sz w:val="18"/>
          <w:szCs w:val="18"/>
          <w:lang w:val="en-US"/>
        </w:rPr>
        <w:t xml:space="preserve"> - 412 (79,</w:t>
      </w:r>
      <w:r w:rsidR="00383197">
        <w:rPr>
          <w:rFonts w:cstheme="minorHAnsi"/>
          <w:sz w:val="18"/>
          <w:szCs w:val="18"/>
          <w:lang w:val="en-US"/>
        </w:rPr>
        <w:t>2%) laparoscopic cholecystectomies</w:t>
      </w:r>
      <w:r w:rsidR="00383197" w:rsidRPr="00383197">
        <w:rPr>
          <w:rFonts w:cstheme="minorHAnsi"/>
          <w:sz w:val="18"/>
          <w:szCs w:val="18"/>
          <w:lang w:val="en-US"/>
        </w:rPr>
        <w:t xml:space="preserve"> and 108 (20,8%) open cholecystectom</w:t>
      </w:r>
      <w:r w:rsidR="00383197">
        <w:rPr>
          <w:rFonts w:cstheme="minorHAnsi"/>
          <w:sz w:val="18"/>
          <w:szCs w:val="18"/>
          <w:lang w:val="en-US"/>
        </w:rPr>
        <w:t>ies</w:t>
      </w:r>
      <w:r w:rsidR="00383197" w:rsidRPr="00383197">
        <w:rPr>
          <w:rFonts w:cstheme="minorHAnsi"/>
          <w:sz w:val="18"/>
          <w:szCs w:val="18"/>
          <w:lang w:val="en-US"/>
        </w:rPr>
        <w:t xml:space="preserve"> - from 2007 to 2013</w:t>
      </w:r>
      <w:r w:rsidR="002C6E2D" w:rsidRPr="00383197">
        <w:rPr>
          <w:rFonts w:cstheme="minorHAnsi"/>
          <w:sz w:val="18"/>
          <w:szCs w:val="18"/>
          <w:lang w:val="en-US"/>
        </w:rPr>
        <w:t>. We carried out the study on</w:t>
      </w:r>
      <w:r w:rsidR="00383197">
        <w:rPr>
          <w:rFonts w:cstheme="minorHAnsi"/>
          <w:sz w:val="18"/>
          <w:szCs w:val="18"/>
          <w:lang w:val="en-US"/>
        </w:rPr>
        <w:t xml:space="preserve"> comorbidities,</w:t>
      </w:r>
      <w:r w:rsidR="002C6E2D" w:rsidRPr="00383197">
        <w:rPr>
          <w:rFonts w:cstheme="minorHAnsi"/>
          <w:sz w:val="18"/>
          <w:szCs w:val="18"/>
          <w:lang w:val="en-US"/>
        </w:rPr>
        <w:t xml:space="preserve"> </w:t>
      </w:r>
      <w:r w:rsidR="00383197">
        <w:rPr>
          <w:rFonts w:cstheme="minorHAnsi"/>
          <w:sz w:val="18"/>
          <w:szCs w:val="18"/>
          <w:lang w:val="en-US"/>
        </w:rPr>
        <w:t xml:space="preserve">leukocytosis, time between diagnosis and surgery, ASA, pre and </w:t>
      </w:r>
      <w:r w:rsidR="002C6E2D" w:rsidRPr="00383197">
        <w:rPr>
          <w:rFonts w:cstheme="minorHAnsi"/>
          <w:sz w:val="18"/>
          <w:szCs w:val="18"/>
          <w:lang w:val="en-US"/>
        </w:rPr>
        <w:t xml:space="preserve">postoperative complications, </w:t>
      </w:r>
      <w:r w:rsidR="00383197" w:rsidRPr="00383197">
        <w:rPr>
          <w:rFonts w:cstheme="minorHAnsi"/>
          <w:sz w:val="18"/>
          <w:szCs w:val="18"/>
          <w:lang w:val="en-US"/>
        </w:rPr>
        <w:t>mortality,</w:t>
      </w:r>
      <w:r w:rsidR="00383197">
        <w:rPr>
          <w:rFonts w:cstheme="minorHAnsi"/>
          <w:sz w:val="18"/>
          <w:szCs w:val="18"/>
          <w:lang w:val="en-US"/>
        </w:rPr>
        <w:t xml:space="preserve"> re</w:t>
      </w:r>
      <w:r w:rsidR="007B5554">
        <w:rPr>
          <w:rFonts w:cstheme="minorHAnsi"/>
          <w:sz w:val="18"/>
          <w:szCs w:val="18"/>
          <w:lang w:val="en-US"/>
        </w:rPr>
        <w:t>operations</w:t>
      </w:r>
      <w:r w:rsidR="00383197">
        <w:rPr>
          <w:rFonts w:cstheme="minorHAnsi"/>
          <w:sz w:val="18"/>
          <w:szCs w:val="18"/>
          <w:lang w:val="en-US"/>
        </w:rPr>
        <w:t>,</w:t>
      </w:r>
      <w:r w:rsidR="00383197" w:rsidRPr="00383197">
        <w:rPr>
          <w:rFonts w:cstheme="minorHAnsi"/>
          <w:sz w:val="18"/>
          <w:szCs w:val="18"/>
          <w:lang w:val="en-US"/>
        </w:rPr>
        <w:t xml:space="preserve"> </w:t>
      </w:r>
      <w:r w:rsidR="00383197">
        <w:rPr>
          <w:rFonts w:cstheme="minorHAnsi"/>
          <w:sz w:val="18"/>
          <w:szCs w:val="18"/>
          <w:lang w:val="en-US"/>
        </w:rPr>
        <w:t>lesion of main bile</w:t>
      </w:r>
      <w:r w:rsidR="007B5554">
        <w:rPr>
          <w:rFonts w:cstheme="minorHAnsi"/>
          <w:sz w:val="18"/>
          <w:szCs w:val="18"/>
          <w:lang w:val="en-US"/>
        </w:rPr>
        <w:t xml:space="preserve"> </w:t>
      </w:r>
      <w:r w:rsidR="00383197">
        <w:rPr>
          <w:rFonts w:cstheme="minorHAnsi"/>
          <w:sz w:val="18"/>
          <w:szCs w:val="18"/>
          <w:lang w:val="en-US"/>
        </w:rPr>
        <w:t>duct</w:t>
      </w:r>
      <w:r w:rsidR="002C6E2D" w:rsidRPr="00383197">
        <w:rPr>
          <w:rFonts w:cstheme="minorHAnsi"/>
          <w:sz w:val="18"/>
          <w:szCs w:val="18"/>
          <w:lang w:val="en-US"/>
        </w:rPr>
        <w:t>, conversion a</w:t>
      </w:r>
      <w:r w:rsidR="00383197" w:rsidRPr="00383197">
        <w:rPr>
          <w:rFonts w:cstheme="minorHAnsi"/>
          <w:sz w:val="18"/>
          <w:szCs w:val="18"/>
          <w:lang w:val="en-US"/>
        </w:rPr>
        <w:t>nd hospitalization</w:t>
      </w:r>
      <w:r w:rsidR="007B5554">
        <w:rPr>
          <w:rFonts w:cstheme="minorHAnsi"/>
          <w:sz w:val="18"/>
          <w:szCs w:val="18"/>
          <w:lang w:val="en-US"/>
        </w:rPr>
        <w:t>,</w:t>
      </w:r>
      <w:r w:rsidR="00383197" w:rsidRPr="00383197">
        <w:rPr>
          <w:rFonts w:cstheme="minorHAnsi"/>
          <w:sz w:val="18"/>
          <w:szCs w:val="18"/>
          <w:lang w:val="en-US"/>
        </w:rPr>
        <w:t xml:space="preserve"> </w:t>
      </w:r>
      <w:r w:rsidR="00675D11" w:rsidRPr="00383197">
        <w:rPr>
          <w:rFonts w:cstheme="minorHAnsi"/>
          <w:sz w:val="18"/>
          <w:szCs w:val="18"/>
          <w:lang w:val="en-US"/>
        </w:rPr>
        <w:t>in order to compare these two techniques</w:t>
      </w:r>
      <w:r w:rsidR="00147652" w:rsidRPr="00383197">
        <w:rPr>
          <w:rFonts w:cstheme="minorHAnsi"/>
          <w:sz w:val="18"/>
          <w:szCs w:val="18"/>
          <w:lang w:val="en-US"/>
        </w:rPr>
        <w:t>.</w:t>
      </w:r>
      <w:r w:rsidR="00675D11" w:rsidRPr="00383197">
        <w:rPr>
          <w:rFonts w:cstheme="minorHAnsi"/>
          <w:sz w:val="18"/>
          <w:szCs w:val="18"/>
          <w:lang w:val="en-US"/>
        </w:rPr>
        <w:t xml:space="preserve"> Statistical analysis</w:t>
      </w:r>
      <w:r w:rsidR="00522A60" w:rsidRPr="00383197">
        <w:rPr>
          <w:rFonts w:cstheme="minorHAnsi"/>
          <w:sz w:val="18"/>
          <w:szCs w:val="18"/>
          <w:lang w:val="en-US"/>
        </w:rPr>
        <w:t xml:space="preserve"> was based on descriptive statistic procedures and difference between groups was based on </w:t>
      </w:r>
      <w:r w:rsidR="00A763B5" w:rsidRPr="00383197">
        <w:rPr>
          <w:rFonts w:cstheme="minorHAnsi"/>
          <w:sz w:val="18"/>
          <w:szCs w:val="18"/>
          <w:lang w:val="en-US"/>
        </w:rPr>
        <w:t xml:space="preserve">Fishers’ exact </w:t>
      </w:r>
      <w:r w:rsidR="00522A60" w:rsidRPr="00383197">
        <w:rPr>
          <w:rFonts w:cstheme="minorHAnsi"/>
          <w:sz w:val="18"/>
          <w:szCs w:val="18"/>
          <w:lang w:val="en-US"/>
        </w:rPr>
        <w:t>test. Significant values were considered for p&lt;0,05.</w:t>
      </w:r>
    </w:p>
    <w:p w:rsidR="00147652" w:rsidRPr="00F11BAE" w:rsidRDefault="00F22010" w:rsidP="005C11F4">
      <w:pPr>
        <w:spacing w:after="120" w:line="240" w:lineRule="auto"/>
        <w:jc w:val="both"/>
        <w:rPr>
          <w:rFonts w:cstheme="minorHAnsi"/>
          <w:sz w:val="18"/>
          <w:szCs w:val="18"/>
          <w:lang w:val="en-US"/>
        </w:rPr>
      </w:pPr>
      <w:r w:rsidRPr="00F11BAE">
        <w:rPr>
          <w:rFonts w:cstheme="minorHAnsi"/>
          <w:b/>
          <w:sz w:val="18"/>
          <w:szCs w:val="18"/>
          <w:lang w:val="en-US"/>
        </w:rPr>
        <w:t xml:space="preserve">Results - </w:t>
      </w:r>
      <w:r w:rsidR="00147652" w:rsidRPr="00F11BAE">
        <w:rPr>
          <w:rFonts w:cstheme="minorHAnsi"/>
          <w:b/>
          <w:sz w:val="18"/>
          <w:szCs w:val="18"/>
          <w:lang w:val="en-US"/>
        </w:rPr>
        <w:t xml:space="preserve">Laparoscopic </w:t>
      </w:r>
      <w:r w:rsidR="00675D11">
        <w:rPr>
          <w:rFonts w:cstheme="minorHAnsi"/>
          <w:b/>
          <w:sz w:val="18"/>
          <w:szCs w:val="18"/>
          <w:lang w:val="en-US"/>
        </w:rPr>
        <w:t>C</w:t>
      </w:r>
      <w:r w:rsidR="00147652" w:rsidRPr="00F11BAE">
        <w:rPr>
          <w:rFonts w:cstheme="minorHAnsi"/>
          <w:b/>
          <w:sz w:val="18"/>
          <w:szCs w:val="18"/>
          <w:lang w:val="en-US"/>
        </w:rPr>
        <w:t xml:space="preserve">holecystectomy </w:t>
      </w:r>
      <w:r w:rsidR="00147652" w:rsidRPr="00F11BAE">
        <w:rPr>
          <w:rFonts w:cstheme="minorHAnsi"/>
          <w:b/>
          <w:i/>
          <w:sz w:val="18"/>
          <w:szCs w:val="18"/>
          <w:lang w:val="en-US"/>
        </w:rPr>
        <w:t>versus</w:t>
      </w:r>
      <w:r w:rsidR="00675D11">
        <w:rPr>
          <w:rFonts w:cstheme="minorHAnsi"/>
          <w:b/>
          <w:sz w:val="18"/>
          <w:szCs w:val="18"/>
          <w:lang w:val="en-US"/>
        </w:rPr>
        <w:t xml:space="preserve"> O</w:t>
      </w:r>
      <w:r w:rsidR="00147652" w:rsidRPr="00F11BAE">
        <w:rPr>
          <w:rFonts w:cstheme="minorHAnsi"/>
          <w:b/>
          <w:sz w:val="18"/>
          <w:szCs w:val="18"/>
          <w:lang w:val="en-US"/>
        </w:rPr>
        <w:t xml:space="preserve">pen </w:t>
      </w:r>
      <w:r w:rsidR="00675D11">
        <w:rPr>
          <w:rFonts w:cstheme="minorHAnsi"/>
          <w:b/>
          <w:sz w:val="18"/>
          <w:szCs w:val="18"/>
          <w:lang w:val="en-US"/>
        </w:rPr>
        <w:t>C</w:t>
      </w:r>
      <w:r w:rsidR="00147652" w:rsidRPr="00F11BAE">
        <w:rPr>
          <w:rFonts w:cstheme="minorHAnsi"/>
          <w:b/>
          <w:sz w:val="18"/>
          <w:szCs w:val="18"/>
          <w:lang w:val="en-US"/>
        </w:rPr>
        <w:t>holecystectomy:</w:t>
      </w:r>
      <w:r w:rsidR="00147652" w:rsidRPr="00F11BAE">
        <w:rPr>
          <w:rFonts w:cstheme="minorHAnsi"/>
          <w:sz w:val="18"/>
          <w:szCs w:val="18"/>
          <w:lang w:val="en-US"/>
        </w:rPr>
        <w:t xml:space="preserve"> </w:t>
      </w:r>
      <w:r w:rsidR="00A763B5" w:rsidRPr="00F11BAE">
        <w:rPr>
          <w:rFonts w:cstheme="minorHAnsi"/>
          <w:sz w:val="18"/>
          <w:szCs w:val="18"/>
          <w:lang w:val="en-US"/>
        </w:rPr>
        <w:t>M</w:t>
      </w:r>
      <w:r w:rsidR="00147652" w:rsidRPr="00F11BAE">
        <w:rPr>
          <w:rFonts w:cstheme="minorHAnsi"/>
          <w:sz w:val="18"/>
          <w:szCs w:val="18"/>
          <w:lang w:val="en-US"/>
        </w:rPr>
        <w:t>ortality</w:t>
      </w:r>
      <w:r w:rsidR="00A763B5" w:rsidRPr="00F11BAE">
        <w:rPr>
          <w:rFonts w:cstheme="minorHAnsi"/>
          <w:sz w:val="18"/>
          <w:szCs w:val="18"/>
          <w:lang w:val="en-US"/>
        </w:rPr>
        <w:t>:</w:t>
      </w:r>
      <w:r w:rsidR="00147652" w:rsidRPr="00F11BAE">
        <w:rPr>
          <w:rFonts w:cstheme="minorHAnsi"/>
          <w:sz w:val="18"/>
          <w:szCs w:val="18"/>
          <w:lang w:val="en-US"/>
        </w:rPr>
        <w:t xml:space="preserve"> 0,</w:t>
      </w:r>
      <w:r w:rsidR="00A11778" w:rsidRPr="00F11BAE">
        <w:rPr>
          <w:rFonts w:cstheme="minorHAnsi"/>
          <w:sz w:val="18"/>
          <w:szCs w:val="18"/>
          <w:lang w:val="en-US"/>
        </w:rPr>
        <w:t>7</w:t>
      </w:r>
      <w:r w:rsidR="000D0D57" w:rsidRPr="00F11BAE">
        <w:rPr>
          <w:rFonts w:cstheme="minorHAnsi"/>
          <w:sz w:val="18"/>
          <w:szCs w:val="18"/>
          <w:lang w:val="en-US"/>
        </w:rPr>
        <w:t>%</w:t>
      </w:r>
      <w:r w:rsidR="00A11778" w:rsidRPr="00F11BAE">
        <w:rPr>
          <w:rFonts w:cstheme="minorHAnsi"/>
          <w:sz w:val="18"/>
          <w:szCs w:val="18"/>
          <w:lang w:val="en-US"/>
        </w:rPr>
        <w:t xml:space="preserve"> </w:t>
      </w:r>
      <w:r w:rsidR="00A11778" w:rsidRPr="00F11BAE">
        <w:rPr>
          <w:rFonts w:cstheme="minorHAnsi"/>
          <w:i/>
          <w:sz w:val="18"/>
          <w:szCs w:val="18"/>
          <w:lang w:val="en-US"/>
        </w:rPr>
        <w:t>vs</w:t>
      </w:r>
      <w:r w:rsidR="00A11778" w:rsidRPr="00F11BAE">
        <w:rPr>
          <w:rFonts w:cstheme="minorHAnsi"/>
          <w:sz w:val="18"/>
          <w:szCs w:val="18"/>
          <w:lang w:val="en-US"/>
        </w:rPr>
        <w:t xml:space="preserve"> 3,7</w:t>
      </w:r>
      <w:r w:rsidR="000D0D57" w:rsidRPr="00F11BAE">
        <w:rPr>
          <w:rFonts w:cstheme="minorHAnsi"/>
          <w:sz w:val="18"/>
          <w:szCs w:val="18"/>
          <w:lang w:val="en-US"/>
        </w:rPr>
        <w:t>%</w:t>
      </w:r>
      <w:r w:rsidR="00A11778" w:rsidRPr="00F11BAE">
        <w:rPr>
          <w:rFonts w:cstheme="minorHAnsi"/>
          <w:sz w:val="18"/>
          <w:szCs w:val="18"/>
          <w:lang w:val="en-US"/>
        </w:rPr>
        <w:t xml:space="preserve"> </w:t>
      </w:r>
      <w:r w:rsidR="00A763B5" w:rsidRPr="00F11BAE">
        <w:rPr>
          <w:rFonts w:cstheme="minorHAnsi"/>
          <w:sz w:val="18"/>
          <w:szCs w:val="18"/>
          <w:lang w:val="en-US"/>
        </w:rPr>
        <w:t>(</w:t>
      </w:r>
      <w:r w:rsidR="00A11778" w:rsidRPr="00F11BAE">
        <w:rPr>
          <w:rFonts w:cstheme="minorHAnsi"/>
          <w:sz w:val="18"/>
          <w:szCs w:val="18"/>
          <w:lang w:val="en-US"/>
        </w:rPr>
        <w:t>p=0,0369</w:t>
      </w:r>
      <w:r w:rsidR="00A763B5" w:rsidRPr="00F11BAE">
        <w:rPr>
          <w:rFonts w:cstheme="minorHAnsi"/>
          <w:sz w:val="18"/>
          <w:szCs w:val="18"/>
          <w:lang w:val="en-US"/>
        </w:rPr>
        <w:t>)</w:t>
      </w:r>
      <w:r w:rsidR="00A11778" w:rsidRPr="00F11BAE">
        <w:rPr>
          <w:rFonts w:cstheme="minorHAnsi"/>
          <w:sz w:val="18"/>
          <w:szCs w:val="18"/>
          <w:lang w:val="en-US"/>
        </w:rPr>
        <w:t xml:space="preserve">; </w:t>
      </w:r>
      <w:r w:rsidR="00A763B5" w:rsidRPr="00F11BAE">
        <w:rPr>
          <w:rFonts w:cstheme="minorHAnsi"/>
          <w:sz w:val="18"/>
          <w:szCs w:val="18"/>
          <w:lang w:val="en-US"/>
        </w:rPr>
        <w:t xml:space="preserve">Surgical </w:t>
      </w:r>
      <w:r w:rsidR="00A11778" w:rsidRPr="00F11BAE">
        <w:rPr>
          <w:rFonts w:cstheme="minorHAnsi"/>
          <w:sz w:val="18"/>
          <w:szCs w:val="18"/>
          <w:lang w:val="en-US"/>
        </w:rPr>
        <w:t>post</w:t>
      </w:r>
      <w:r w:rsidR="00147652" w:rsidRPr="00F11BAE">
        <w:rPr>
          <w:rFonts w:cstheme="minorHAnsi"/>
          <w:sz w:val="18"/>
          <w:szCs w:val="18"/>
          <w:lang w:val="en-US"/>
        </w:rPr>
        <w:t>operative complication</w:t>
      </w:r>
      <w:r w:rsidR="00A11778" w:rsidRPr="00F11BAE">
        <w:rPr>
          <w:rFonts w:cstheme="minorHAnsi"/>
          <w:sz w:val="18"/>
          <w:szCs w:val="18"/>
          <w:lang w:val="en-US"/>
        </w:rPr>
        <w:t>s</w:t>
      </w:r>
      <w:r w:rsidR="00A763B5" w:rsidRPr="00F11BAE">
        <w:rPr>
          <w:rFonts w:cstheme="minorHAnsi"/>
          <w:sz w:val="18"/>
          <w:szCs w:val="18"/>
          <w:lang w:val="en-US"/>
        </w:rPr>
        <w:t>:</w:t>
      </w:r>
      <w:r w:rsidR="00147652" w:rsidRPr="00F11BAE">
        <w:rPr>
          <w:rFonts w:cstheme="minorHAnsi"/>
          <w:sz w:val="18"/>
          <w:szCs w:val="18"/>
          <w:lang w:val="en-US"/>
        </w:rPr>
        <w:t xml:space="preserve"> 7,7</w:t>
      </w:r>
      <w:r w:rsidR="000D0D57" w:rsidRPr="00F11BAE">
        <w:rPr>
          <w:rFonts w:cstheme="minorHAnsi"/>
          <w:sz w:val="18"/>
          <w:szCs w:val="18"/>
          <w:lang w:val="en-US"/>
        </w:rPr>
        <w:t>%</w:t>
      </w:r>
      <w:r w:rsidR="00147652" w:rsidRPr="00F11BAE">
        <w:rPr>
          <w:rFonts w:cstheme="minorHAnsi"/>
          <w:sz w:val="18"/>
          <w:szCs w:val="18"/>
          <w:lang w:val="en-US"/>
        </w:rPr>
        <w:t xml:space="preserve"> </w:t>
      </w:r>
      <w:r w:rsidR="00147652" w:rsidRPr="00F11BAE">
        <w:rPr>
          <w:rFonts w:cstheme="minorHAnsi"/>
          <w:i/>
          <w:sz w:val="18"/>
          <w:szCs w:val="18"/>
          <w:lang w:val="en-US"/>
        </w:rPr>
        <w:t>vs</w:t>
      </w:r>
      <w:r w:rsidR="00147652" w:rsidRPr="00F11BAE">
        <w:rPr>
          <w:rFonts w:cstheme="minorHAnsi"/>
          <w:sz w:val="18"/>
          <w:szCs w:val="18"/>
          <w:lang w:val="en-US"/>
        </w:rPr>
        <w:t xml:space="preserve"> 17,5</w:t>
      </w:r>
      <w:r w:rsidR="000D0D57" w:rsidRPr="00F11BAE">
        <w:rPr>
          <w:rFonts w:cstheme="minorHAnsi"/>
          <w:sz w:val="18"/>
          <w:szCs w:val="18"/>
          <w:lang w:val="en-US"/>
        </w:rPr>
        <w:t>%</w:t>
      </w:r>
      <w:r w:rsidR="00147652" w:rsidRPr="00F11BAE">
        <w:rPr>
          <w:rFonts w:cstheme="minorHAnsi"/>
          <w:sz w:val="18"/>
          <w:szCs w:val="18"/>
          <w:lang w:val="en-US"/>
        </w:rPr>
        <w:t xml:space="preserve"> </w:t>
      </w:r>
      <w:r w:rsidR="00A763B5" w:rsidRPr="00F11BAE">
        <w:rPr>
          <w:rFonts w:cstheme="minorHAnsi"/>
          <w:sz w:val="18"/>
          <w:szCs w:val="18"/>
          <w:lang w:val="en-US"/>
        </w:rPr>
        <w:t>(</w:t>
      </w:r>
      <w:r w:rsidR="00147652" w:rsidRPr="00F11BAE">
        <w:rPr>
          <w:rFonts w:cstheme="minorHAnsi"/>
          <w:sz w:val="18"/>
          <w:szCs w:val="18"/>
          <w:lang w:val="en-US"/>
        </w:rPr>
        <w:t>p=0,0055</w:t>
      </w:r>
      <w:r w:rsidR="00A763B5" w:rsidRPr="00F11BAE">
        <w:rPr>
          <w:rFonts w:cstheme="minorHAnsi"/>
          <w:sz w:val="18"/>
          <w:szCs w:val="18"/>
          <w:lang w:val="en-US"/>
        </w:rPr>
        <w:t>)</w:t>
      </w:r>
      <w:r w:rsidR="00147652" w:rsidRPr="00F11BAE">
        <w:rPr>
          <w:rFonts w:cstheme="minorHAnsi"/>
          <w:sz w:val="18"/>
          <w:szCs w:val="18"/>
          <w:lang w:val="en-US"/>
        </w:rPr>
        <w:t xml:space="preserve">; </w:t>
      </w:r>
      <w:r w:rsidR="00A763B5" w:rsidRPr="00F11BAE">
        <w:rPr>
          <w:rFonts w:cstheme="minorHAnsi"/>
          <w:sz w:val="18"/>
          <w:szCs w:val="18"/>
          <w:lang w:val="en-US"/>
        </w:rPr>
        <w:t xml:space="preserve">Medical </w:t>
      </w:r>
      <w:r w:rsidR="00A11778" w:rsidRPr="00F11BAE">
        <w:rPr>
          <w:rFonts w:cstheme="minorHAnsi"/>
          <w:sz w:val="18"/>
          <w:szCs w:val="18"/>
          <w:lang w:val="en-US"/>
        </w:rPr>
        <w:t>postoperative complications</w:t>
      </w:r>
      <w:r w:rsidR="00A763B5" w:rsidRPr="00F11BAE">
        <w:rPr>
          <w:rFonts w:cstheme="minorHAnsi"/>
          <w:sz w:val="18"/>
          <w:szCs w:val="18"/>
          <w:lang w:val="en-US"/>
        </w:rPr>
        <w:t>:</w:t>
      </w:r>
      <w:r w:rsidR="00A11778" w:rsidRPr="00F11BAE">
        <w:rPr>
          <w:rFonts w:cstheme="minorHAnsi"/>
          <w:sz w:val="18"/>
          <w:szCs w:val="18"/>
          <w:lang w:val="en-US"/>
        </w:rPr>
        <w:t xml:space="preserve"> 4,3% </w:t>
      </w:r>
      <w:r w:rsidR="00A763B5" w:rsidRPr="00F11BAE">
        <w:rPr>
          <w:rFonts w:cstheme="minorHAnsi"/>
          <w:i/>
          <w:sz w:val="18"/>
          <w:szCs w:val="18"/>
          <w:lang w:val="en-US"/>
        </w:rPr>
        <w:t>vs</w:t>
      </w:r>
      <w:r w:rsidR="00A763B5" w:rsidRPr="00F11BAE">
        <w:rPr>
          <w:rFonts w:cstheme="minorHAnsi"/>
          <w:sz w:val="18"/>
          <w:szCs w:val="18"/>
          <w:lang w:val="en-US"/>
        </w:rPr>
        <w:t xml:space="preserve"> </w:t>
      </w:r>
      <w:r w:rsidR="00A11778" w:rsidRPr="00F11BAE">
        <w:rPr>
          <w:rFonts w:cstheme="minorHAnsi"/>
          <w:sz w:val="18"/>
          <w:szCs w:val="18"/>
          <w:lang w:val="en-US"/>
        </w:rPr>
        <w:t xml:space="preserve">5,5% </w:t>
      </w:r>
      <w:r w:rsidR="00A763B5" w:rsidRPr="00F11BAE">
        <w:rPr>
          <w:rFonts w:cstheme="minorHAnsi"/>
          <w:sz w:val="18"/>
          <w:szCs w:val="18"/>
          <w:lang w:val="en-US"/>
        </w:rPr>
        <w:t>(</w:t>
      </w:r>
      <w:r w:rsidR="00A11778" w:rsidRPr="00F11BAE">
        <w:rPr>
          <w:rFonts w:cstheme="minorHAnsi"/>
          <w:sz w:val="18"/>
          <w:szCs w:val="18"/>
          <w:lang w:val="en-US"/>
        </w:rPr>
        <w:t>p=0,6077</w:t>
      </w:r>
      <w:r w:rsidR="00A763B5" w:rsidRPr="00F11BAE">
        <w:rPr>
          <w:rFonts w:cstheme="minorHAnsi"/>
          <w:sz w:val="18"/>
          <w:szCs w:val="18"/>
          <w:lang w:val="en-US"/>
        </w:rPr>
        <w:t>)</w:t>
      </w:r>
      <w:r w:rsidR="00A11778" w:rsidRPr="00F11BAE">
        <w:rPr>
          <w:rFonts w:cstheme="minorHAnsi"/>
          <w:sz w:val="18"/>
          <w:szCs w:val="18"/>
          <w:lang w:val="en-US"/>
        </w:rPr>
        <w:t xml:space="preserve">; </w:t>
      </w:r>
      <w:r w:rsidR="00A763B5" w:rsidRPr="00F11BAE">
        <w:rPr>
          <w:rFonts w:cstheme="minorHAnsi"/>
          <w:sz w:val="18"/>
          <w:szCs w:val="18"/>
          <w:lang w:val="en-US"/>
        </w:rPr>
        <w:t xml:space="preserve">Lesion </w:t>
      </w:r>
      <w:r w:rsidR="00147652" w:rsidRPr="00F11BAE">
        <w:rPr>
          <w:rFonts w:cstheme="minorHAnsi"/>
          <w:sz w:val="18"/>
          <w:szCs w:val="18"/>
          <w:lang w:val="en-US"/>
        </w:rPr>
        <w:t>of the main duct</w:t>
      </w:r>
      <w:r w:rsidR="00A763B5" w:rsidRPr="00F11BAE">
        <w:rPr>
          <w:rFonts w:cstheme="minorHAnsi"/>
          <w:sz w:val="18"/>
          <w:szCs w:val="18"/>
          <w:lang w:val="en-US"/>
        </w:rPr>
        <w:t>:</w:t>
      </w:r>
      <w:r w:rsidR="00147652" w:rsidRPr="00F11BAE">
        <w:rPr>
          <w:rFonts w:cstheme="minorHAnsi"/>
          <w:sz w:val="18"/>
          <w:szCs w:val="18"/>
          <w:lang w:val="en-US"/>
        </w:rPr>
        <w:t xml:space="preserve"> 0,9</w:t>
      </w:r>
      <w:r w:rsidR="00A763B5" w:rsidRPr="00F11BAE">
        <w:rPr>
          <w:rFonts w:cstheme="minorHAnsi"/>
          <w:sz w:val="18"/>
          <w:szCs w:val="18"/>
          <w:lang w:val="en-US"/>
        </w:rPr>
        <w:t>%</w:t>
      </w:r>
      <w:r w:rsidR="00147652" w:rsidRPr="00F11BAE">
        <w:rPr>
          <w:rFonts w:cstheme="minorHAnsi"/>
          <w:sz w:val="18"/>
          <w:szCs w:val="18"/>
          <w:lang w:val="en-US"/>
        </w:rPr>
        <w:t xml:space="preserve"> </w:t>
      </w:r>
      <w:r w:rsidR="00147652" w:rsidRPr="00F11BAE">
        <w:rPr>
          <w:rFonts w:cstheme="minorHAnsi"/>
          <w:i/>
          <w:sz w:val="18"/>
          <w:szCs w:val="18"/>
          <w:lang w:val="en-US"/>
        </w:rPr>
        <w:t>vs</w:t>
      </w:r>
      <w:r w:rsidR="00147652" w:rsidRPr="00F11BAE">
        <w:rPr>
          <w:rFonts w:cstheme="minorHAnsi"/>
          <w:sz w:val="18"/>
          <w:szCs w:val="18"/>
          <w:lang w:val="en-US"/>
        </w:rPr>
        <w:t xml:space="preserve"> 1,8</w:t>
      </w:r>
      <w:r w:rsidR="00A763B5" w:rsidRPr="00F11BAE">
        <w:rPr>
          <w:rFonts w:cstheme="minorHAnsi"/>
          <w:sz w:val="18"/>
          <w:szCs w:val="18"/>
          <w:lang w:val="en-US"/>
        </w:rPr>
        <w:t>%</w:t>
      </w:r>
      <w:r w:rsidR="00147652" w:rsidRPr="00F11BAE">
        <w:rPr>
          <w:rFonts w:cstheme="minorHAnsi"/>
          <w:sz w:val="18"/>
          <w:szCs w:val="18"/>
          <w:lang w:val="en-US"/>
        </w:rPr>
        <w:t xml:space="preserve"> </w:t>
      </w:r>
      <w:r w:rsidR="00A763B5" w:rsidRPr="00F11BAE">
        <w:rPr>
          <w:rFonts w:cstheme="minorHAnsi"/>
          <w:sz w:val="18"/>
          <w:szCs w:val="18"/>
          <w:lang w:val="en-US"/>
        </w:rPr>
        <w:t>(</w:t>
      </w:r>
      <w:r w:rsidR="00147652" w:rsidRPr="00F11BAE">
        <w:rPr>
          <w:rFonts w:cstheme="minorHAnsi"/>
          <w:sz w:val="18"/>
          <w:szCs w:val="18"/>
          <w:lang w:val="en-US"/>
        </w:rPr>
        <w:t>p=</w:t>
      </w:r>
      <w:r w:rsidR="00A11778" w:rsidRPr="00F11BAE">
        <w:rPr>
          <w:rFonts w:cstheme="minorHAnsi"/>
          <w:sz w:val="18"/>
          <w:szCs w:val="18"/>
          <w:lang w:val="en-US"/>
        </w:rPr>
        <w:t>0,6091</w:t>
      </w:r>
      <w:r w:rsidR="00A763B5" w:rsidRPr="00F11BAE">
        <w:rPr>
          <w:rFonts w:cstheme="minorHAnsi"/>
          <w:sz w:val="18"/>
          <w:szCs w:val="18"/>
          <w:lang w:val="en-US"/>
        </w:rPr>
        <w:t>)</w:t>
      </w:r>
      <w:r w:rsidR="00147652" w:rsidRPr="00F11BAE">
        <w:rPr>
          <w:rFonts w:cstheme="minorHAnsi"/>
          <w:sz w:val="18"/>
          <w:szCs w:val="18"/>
          <w:lang w:val="en-US"/>
        </w:rPr>
        <w:t xml:space="preserve">; </w:t>
      </w:r>
      <w:r w:rsidR="00A763B5" w:rsidRPr="00F11BAE">
        <w:rPr>
          <w:rFonts w:cstheme="minorHAnsi"/>
          <w:sz w:val="18"/>
          <w:szCs w:val="18"/>
          <w:lang w:val="en-US"/>
        </w:rPr>
        <w:t xml:space="preserve">Reoperation: </w:t>
      </w:r>
      <w:r w:rsidR="000D0D57" w:rsidRPr="00F11BAE">
        <w:rPr>
          <w:rFonts w:cstheme="minorHAnsi"/>
          <w:sz w:val="18"/>
          <w:szCs w:val="18"/>
          <w:lang w:val="en-US"/>
        </w:rPr>
        <w:t>2,9%</w:t>
      </w:r>
      <w:r w:rsidR="00A763B5" w:rsidRPr="00F11BAE">
        <w:rPr>
          <w:rFonts w:cstheme="minorHAnsi"/>
          <w:sz w:val="18"/>
          <w:szCs w:val="18"/>
          <w:lang w:val="en-US"/>
        </w:rPr>
        <w:t xml:space="preserve"> </w:t>
      </w:r>
      <w:r w:rsidR="00147652" w:rsidRPr="00F11BAE">
        <w:rPr>
          <w:rFonts w:cstheme="minorHAnsi"/>
          <w:i/>
          <w:sz w:val="18"/>
          <w:szCs w:val="18"/>
          <w:lang w:val="en-US"/>
        </w:rPr>
        <w:t>vs</w:t>
      </w:r>
      <w:r w:rsidR="00147652" w:rsidRPr="00F11BAE">
        <w:rPr>
          <w:rFonts w:cstheme="minorHAnsi"/>
          <w:sz w:val="18"/>
          <w:szCs w:val="18"/>
          <w:lang w:val="en-US"/>
        </w:rPr>
        <w:t xml:space="preserve"> 5,5</w:t>
      </w:r>
      <w:r w:rsidR="000D0D57" w:rsidRPr="00F11BAE">
        <w:rPr>
          <w:rFonts w:cstheme="minorHAnsi"/>
          <w:sz w:val="18"/>
          <w:szCs w:val="18"/>
          <w:lang w:val="en-US"/>
        </w:rPr>
        <w:t>%</w:t>
      </w:r>
      <w:r w:rsidR="00147652" w:rsidRPr="00F11BAE">
        <w:rPr>
          <w:rFonts w:cstheme="minorHAnsi"/>
          <w:sz w:val="18"/>
          <w:szCs w:val="18"/>
          <w:lang w:val="en-US"/>
        </w:rPr>
        <w:t xml:space="preserve"> </w:t>
      </w:r>
      <w:r w:rsidR="000D0D57" w:rsidRPr="00F11BAE">
        <w:rPr>
          <w:rFonts w:cstheme="minorHAnsi"/>
          <w:sz w:val="18"/>
          <w:szCs w:val="18"/>
          <w:lang w:val="en-US"/>
        </w:rPr>
        <w:t>(</w:t>
      </w:r>
      <w:r w:rsidR="00147652" w:rsidRPr="00F11BAE">
        <w:rPr>
          <w:rFonts w:cstheme="minorHAnsi"/>
          <w:sz w:val="18"/>
          <w:szCs w:val="18"/>
          <w:lang w:val="en-US"/>
        </w:rPr>
        <w:t>p=0,2315</w:t>
      </w:r>
      <w:r w:rsidR="000D0D57" w:rsidRPr="00F11BAE">
        <w:rPr>
          <w:rFonts w:cstheme="minorHAnsi"/>
          <w:sz w:val="18"/>
          <w:szCs w:val="18"/>
          <w:lang w:val="en-US"/>
        </w:rPr>
        <w:t>)</w:t>
      </w:r>
      <w:r w:rsidR="00147652" w:rsidRPr="00F11BAE">
        <w:rPr>
          <w:rFonts w:cstheme="minorHAnsi"/>
          <w:sz w:val="18"/>
          <w:szCs w:val="18"/>
          <w:lang w:val="en-US"/>
        </w:rPr>
        <w:t xml:space="preserve">; and </w:t>
      </w:r>
      <w:r w:rsidR="00A763B5" w:rsidRPr="00F11BAE">
        <w:rPr>
          <w:rFonts w:cstheme="minorHAnsi"/>
          <w:sz w:val="18"/>
          <w:szCs w:val="18"/>
          <w:lang w:val="en-US"/>
        </w:rPr>
        <w:t xml:space="preserve">Hospital </w:t>
      </w:r>
      <w:r w:rsidR="00147652" w:rsidRPr="00F11BAE">
        <w:rPr>
          <w:rFonts w:cstheme="minorHAnsi"/>
          <w:sz w:val="18"/>
          <w:szCs w:val="18"/>
          <w:lang w:val="en-US"/>
        </w:rPr>
        <w:t>stay up to 4 days after surgery</w:t>
      </w:r>
      <w:r w:rsidR="00A763B5" w:rsidRPr="00F11BAE">
        <w:rPr>
          <w:rFonts w:cstheme="minorHAnsi"/>
          <w:sz w:val="18"/>
          <w:szCs w:val="18"/>
          <w:lang w:val="en-US"/>
        </w:rPr>
        <w:t>:</w:t>
      </w:r>
      <w:r w:rsidR="00147652" w:rsidRPr="00F11BAE">
        <w:rPr>
          <w:rFonts w:cstheme="minorHAnsi"/>
          <w:sz w:val="18"/>
          <w:szCs w:val="18"/>
          <w:lang w:val="en-US"/>
        </w:rPr>
        <w:t xml:space="preserve"> 64,8</w:t>
      </w:r>
      <w:r w:rsidR="000D0D57" w:rsidRPr="00F11BAE">
        <w:rPr>
          <w:rFonts w:cstheme="minorHAnsi"/>
          <w:sz w:val="18"/>
          <w:szCs w:val="18"/>
          <w:lang w:val="en-US"/>
        </w:rPr>
        <w:t>%</w:t>
      </w:r>
      <w:r w:rsidR="00147652" w:rsidRPr="00F11BAE">
        <w:rPr>
          <w:rFonts w:cstheme="minorHAnsi"/>
          <w:sz w:val="18"/>
          <w:szCs w:val="18"/>
          <w:lang w:val="en-US"/>
        </w:rPr>
        <w:t xml:space="preserve"> </w:t>
      </w:r>
      <w:r w:rsidR="00147652" w:rsidRPr="0067685F">
        <w:rPr>
          <w:rFonts w:cstheme="minorHAnsi"/>
          <w:i/>
          <w:sz w:val="18"/>
          <w:szCs w:val="18"/>
          <w:lang w:val="en-US"/>
        </w:rPr>
        <w:t>vs</w:t>
      </w:r>
      <w:r w:rsidR="00147652" w:rsidRPr="00F11BAE">
        <w:rPr>
          <w:rFonts w:cstheme="minorHAnsi"/>
          <w:sz w:val="18"/>
          <w:szCs w:val="18"/>
          <w:lang w:val="en-US"/>
        </w:rPr>
        <w:t xml:space="preserve"> 18,5</w:t>
      </w:r>
      <w:r w:rsidR="000D0D57" w:rsidRPr="00F11BAE">
        <w:rPr>
          <w:rFonts w:cstheme="minorHAnsi"/>
          <w:sz w:val="18"/>
          <w:szCs w:val="18"/>
          <w:lang w:val="en-US"/>
        </w:rPr>
        <w:t>%</w:t>
      </w:r>
      <w:r w:rsidR="00147652" w:rsidRPr="00F11BAE">
        <w:rPr>
          <w:rFonts w:cstheme="minorHAnsi"/>
          <w:sz w:val="18"/>
          <w:szCs w:val="18"/>
          <w:lang w:val="en-US"/>
        </w:rPr>
        <w:t xml:space="preserve"> </w:t>
      </w:r>
      <w:r w:rsidR="00A763B5" w:rsidRPr="00F11BAE">
        <w:rPr>
          <w:rFonts w:cstheme="minorHAnsi"/>
          <w:sz w:val="18"/>
          <w:szCs w:val="18"/>
          <w:lang w:val="en-US"/>
        </w:rPr>
        <w:t>(</w:t>
      </w:r>
      <w:r w:rsidR="00F11BAE" w:rsidRPr="00F11BAE">
        <w:rPr>
          <w:rFonts w:cstheme="minorHAnsi"/>
          <w:sz w:val="18"/>
          <w:szCs w:val="18"/>
          <w:lang w:val="en-US"/>
        </w:rPr>
        <w:t>p&lt;0,</w:t>
      </w:r>
      <w:r w:rsidR="00147652" w:rsidRPr="00F11BAE">
        <w:rPr>
          <w:rFonts w:cstheme="minorHAnsi"/>
          <w:sz w:val="18"/>
          <w:szCs w:val="18"/>
          <w:lang w:val="en-US"/>
        </w:rPr>
        <w:t>001</w:t>
      </w:r>
      <w:r w:rsidR="00A763B5" w:rsidRPr="00F11BAE">
        <w:rPr>
          <w:rFonts w:cstheme="minorHAnsi"/>
          <w:sz w:val="18"/>
          <w:szCs w:val="18"/>
          <w:lang w:val="en-US"/>
        </w:rPr>
        <w:t>).</w:t>
      </w:r>
      <w:r w:rsidR="000D0D57" w:rsidRPr="00F11BAE">
        <w:rPr>
          <w:rFonts w:cstheme="minorHAnsi"/>
          <w:sz w:val="18"/>
          <w:szCs w:val="18"/>
          <w:lang w:val="en-US"/>
        </w:rPr>
        <w:t xml:space="preserve"> On Laparoscopic cholecystectomy there was 10,7% of conversions: </w:t>
      </w:r>
      <w:r w:rsidR="00B27F9F" w:rsidRPr="00F11BAE">
        <w:rPr>
          <w:rFonts w:cstheme="minorHAnsi"/>
          <w:sz w:val="18"/>
          <w:szCs w:val="18"/>
          <w:lang w:val="en-US"/>
        </w:rPr>
        <w:t xml:space="preserve">on early interventions (under or equal to four days) this ratio was </w:t>
      </w:r>
      <w:r w:rsidR="000D0D57" w:rsidRPr="00F11BAE">
        <w:rPr>
          <w:rFonts w:cstheme="minorHAnsi"/>
          <w:sz w:val="18"/>
          <w:szCs w:val="18"/>
          <w:lang w:val="en-US"/>
        </w:rPr>
        <w:t xml:space="preserve">8,8% and </w:t>
      </w:r>
      <w:r w:rsidR="00B27F9F" w:rsidRPr="00F11BAE">
        <w:rPr>
          <w:rFonts w:cstheme="minorHAnsi"/>
          <w:sz w:val="18"/>
          <w:szCs w:val="18"/>
          <w:lang w:val="en-US"/>
        </w:rPr>
        <w:t>on late interventions it was 13,7</w:t>
      </w:r>
      <w:r w:rsidR="00362929" w:rsidRPr="00F11BAE">
        <w:rPr>
          <w:rFonts w:cstheme="minorHAnsi"/>
          <w:sz w:val="18"/>
          <w:szCs w:val="18"/>
          <w:lang w:val="en-US"/>
        </w:rPr>
        <w:t xml:space="preserve">% </w:t>
      </w:r>
      <w:r w:rsidR="000D0D57" w:rsidRPr="00F11BAE">
        <w:rPr>
          <w:rFonts w:cstheme="minorHAnsi"/>
          <w:sz w:val="18"/>
          <w:szCs w:val="18"/>
          <w:lang w:val="en-US"/>
        </w:rPr>
        <w:t>(</w:t>
      </w:r>
      <w:r w:rsidR="00362929" w:rsidRPr="00F11BAE">
        <w:rPr>
          <w:rFonts w:cstheme="minorHAnsi"/>
          <w:sz w:val="18"/>
          <w:szCs w:val="18"/>
          <w:lang w:val="en-US"/>
        </w:rPr>
        <w:t>p=</w:t>
      </w:r>
      <w:r w:rsidR="000D0D57" w:rsidRPr="00F11BAE">
        <w:rPr>
          <w:rFonts w:cstheme="minorHAnsi"/>
          <w:sz w:val="18"/>
          <w:szCs w:val="18"/>
          <w:lang w:val="en-US"/>
        </w:rPr>
        <w:t>0,1425)</w:t>
      </w:r>
      <w:r w:rsidR="006F42D4" w:rsidRPr="00F11BAE">
        <w:rPr>
          <w:rFonts w:cstheme="minorHAnsi"/>
          <w:sz w:val="18"/>
          <w:szCs w:val="18"/>
          <w:lang w:val="en-US"/>
        </w:rPr>
        <w:t>.</w:t>
      </w:r>
    </w:p>
    <w:p w:rsidR="001F3CA8" w:rsidRPr="00F11BAE" w:rsidRDefault="00F22010" w:rsidP="005C11F4">
      <w:pPr>
        <w:spacing w:after="120" w:line="240" w:lineRule="auto"/>
        <w:jc w:val="both"/>
        <w:rPr>
          <w:rFonts w:cstheme="minorHAnsi"/>
          <w:sz w:val="18"/>
          <w:szCs w:val="18"/>
          <w:lang w:val="en-US"/>
        </w:rPr>
      </w:pPr>
      <w:r w:rsidRPr="00F11BAE">
        <w:rPr>
          <w:rFonts w:cstheme="minorHAnsi"/>
          <w:b/>
          <w:sz w:val="18"/>
          <w:szCs w:val="18"/>
          <w:lang w:val="en-US"/>
        </w:rPr>
        <w:t>Conclusion</w:t>
      </w:r>
      <w:r w:rsidRPr="00F11BAE">
        <w:rPr>
          <w:rFonts w:cstheme="minorHAnsi"/>
          <w:sz w:val="18"/>
          <w:szCs w:val="18"/>
          <w:lang w:val="en-US"/>
        </w:rPr>
        <w:t xml:space="preserve">: </w:t>
      </w:r>
      <w:r w:rsidR="00362929" w:rsidRPr="00F11BAE">
        <w:rPr>
          <w:rFonts w:cstheme="minorHAnsi"/>
          <w:sz w:val="18"/>
          <w:szCs w:val="18"/>
          <w:lang w:val="en-US"/>
        </w:rPr>
        <w:t>R</w:t>
      </w:r>
      <w:r w:rsidR="00147652" w:rsidRPr="00F11BAE">
        <w:rPr>
          <w:rFonts w:cstheme="minorHAnsi"/>
          <w:sz w:val="18"/>
          <w:szCs w:val="18"/>
          <w:lang w:val="en-US"/>
        </w:rPr>
        <w:t xml:space="preserve">esults justify the frequency </w:t>
      </w:r>
      <w:r w:rsidR="00F11BAE" w:rsidRPr="00F11BAE">
        <w:rPr>
          <w:rFonts w:cstheme="minorHAnsi"/>
          <w:sz w:val="18"/>
          <w:szCs w:val="18"/>
          <w:lang w:val="en-US"/>
        </w:rPr>
        <w:t>how</w:t>
      </w:r>
      <w:r w:rsidR="00147652" w:rsidRPr="00F11BAE">
        <w:rPr>
          <w:rFonts w:cstheme="minorHAnsi"/>
          <w:sz w:val="18"/>
          <w:szCs w:val="18"/>
          <w:lang w:val="en-US"/>
        </w:rPr>
        <w:t xml:space="preserve"> laparoscopic cholecystectomy is performed </w:t>
      </w:r>
      <w:r w:rsidR="00362929" w:rsidRPr="00F11BAE">
        <w:rPr>
          <w:rFonts w:cstheme="minorHAnsi"/>
          <w:sz w:val="18"/>
          <w:szCs w:val="18"/>
          <w:lang w:val="en-US"/>
        </w:rPr>
        <w:t xml:space="preserve">in acute Cholecystitis, when </w:t>
      </w:r>
      <w:r w:rsidR="00147652" w:rsidRPr="00F11BAE">
        <w:rPr>
          <w:rFonts w:cstheme="minorHAnsi"/>
          <w:sz w:val="18"/>
          <w:szCs w:val="18"/>
          <w:lang w:val="en-US"/>
        </w:rPr>
        <w:t>compared to open surgery</w:t>
      </w:r>
      <w:r w:rsidR="00675D11">
        <w:rPr>
          <w:rFonts w:cstheme="minorHAnsi"/>
          <w:sz w:val="18"/>
          <w:szCs w:val="18"/>
          <w:lang w:val="en-US"/>
        </w:rPr>
        <w:t>, showing that i</w:t>
      </w:r>
      <w:r w:rsidR="001F3CA8" w:rsidRPr="00F11BAE">
        <w:rPr>
          <w:rFonts w:cstheme="minorHAnsi"/>
          <w:sz w:val="18"/>
          <w:szCs w:val="18"/>
          <w:lang w:val="en-US"/>
        </w:rPr>
        <w:t xml:space="preserve">t should be considered </w:t>
      </w:r>
      <w:r w:rsidR="00362929" w:rsidRPr="00F11BAE">
        <w:rPr>
          <w:rFonts w:cstheme="minorHAnsi"/>
          <w:sz w:val="18"/>
          <w:szCs w:val="18"/>
          <w:lang w:val="en-US"/>
        </w:rPr>
        <w:t xml:space="preserve">the </w:t>
      </w:r>
      <w:r w:rsidR="001F3CA8" w:rsidRPr="00F11BAE">
        <w:rPr>
          <w:rFonts w:cstheme="minorHAnsi"/>
          <w:sz w:val="18"/>
          <w:szCs w:val="18"/>
          <w:lang w:val="en-US"/>
        </w:rPr>
        <w:t>first choice in the treatment of this disease. Open surgery is justified</w:t>
      </w:r>
      <w:r w:rsidR="00147652" w:rsidRPr="00F11BAE">
        <w:rPr>
          <w:rFonts w:cstheme="minorHAnsi"/>
          <w:sz w:val="18"/>
          <w:szCs w:val="18"/>
          <w:lang w:val="en-US"/>
        </w:rPr>
        <w:t xml:space="preserve"> only in cases of </w:t>
      </w:r>
      <w:r w:rsidR="00FA4414" w:rsidRPr="00F11BAE">
        <w:rPr>
          <w:rFonts w:cstheme="minorHAnsi"/>
          <w:sz w:val="18"/>
          <w:szCs w:val="18"/>
          <w:lang w:val="en-US"/>
        </w:rPr>
        <w:t>little</w:t>
      </w:r>
      <w:r w:rsidR="00147652" w:rsidRPr="00F11BAE">
        <w:rPr>
          <w:rFonts w:cstheme="minorHAnsi"/>
          <w:sz w:val="18"/>
          <w:szCs w:val="18"/>
          <w:lang w:val="en-US"/>
        </w:rPr>
        <w:t xml:space="preserve"> experience of the surgeon in mini-invasive surgery</w:t>
      </w:r>
      <w:r w:rsidR="00675D11">
        <w:rPr>
          <w:rFonts w:cstheme="minorHAnsi"/>
          <w:sz w:val="18"/>
          <w:szCs w:val="18"/>
          <w:lang w:val="en-US"/>
        </w:rPr>
        <w:t>,</w:t>
      </w:r>
      <w:r w:rsidR="00147652" w:rsidRPr="00F11BAE">
        <w:rPr>
          <w:rFonts w:cstheme="minorHAnsi"/>
          <w:sz w:val="18"/>
          <w:szCs w:val="18"/>
          <w:lang w:val="en-US"/>
        </w:rPr>
        <w:t xml:space="preserve"> in situations of severe systemic changes and in the course of biliary peritonitis</w:t>
      </w:r>
      <w:r w:rsidR="001F3CA8" w:rsidRPr="00F11BAE">
        <w:rPr>
          <w:rFonts w:cstheme="minorHAnsi"/>
          <w:sz w:val="18"/>
          <w:szCs w:val="18"/>
          <w:lang w:val="en-US"/>
        </w:rPr>
        <w:t>.</w:t>
      </w:r>
    </w:p>
    <w:p w:rsidR="00F22010" w:rsidRPr="000C1FEA" w:rsidRDefault="00F22010" w:rsidP="005C11F4">
      <w:pPr>
        <w:spacing w:after="120" w:line="240" w:lineRule="auto"/>
        <w:jc w:val="both"/>
        <w:rPr>
          <w:rFonts w:cstheme="minorHAnsi"/>
          <w:sz w:val="18"/>
          <w:szCs w:val="18"/>
          <w:lang w:val="en-US"/>
        </w:rPr>
      </w:pPr>
      <w:r w:rsidRPr="00F11BAE">
        <w:rPr>
          <w:rFonts w:cstheme="minorHAnsi"/>
          <w:b/>
          <w:sz w:val="18"/>
          <w:szCs w:val="18"/>
          <w:lang w:val="en-US"/>
        </w:rPr>
        <w:t>Key words:</w:t>
      </w:r>
      <w:r w:rsidRPr="00F11BAE">
        <w:rPr>
          <w:rFonts w:cstheme="minorHAnsi"/>
          <w:sz w:val="18"/>
          <w:szCs w:val="18"/>
          <w:lang w:val="en-US"/>
        </w:rPr>
        <w:t xml:space="preserve"> </w:t>
      </w:r>
      <w:r w:rsidR="00A763B5" w:rsidRPr="00F11BAE">
        <w:rPr>
          <w:rFonts w:cstheme="minorHAnsi"/>
          <w:sz w:val="18"/>
          <w:szCs w:val="18"/>
          <w:lang w:val="en-US"/>
        </w:rPr>
        <w:t>L</w:t>
      </w:r>
      <w:r w:rsidR="001F3CA8" w:rsidRPr="00F11BAE">
        <w:rPr>
          <w:rFonts w:cstheme="minorHAnsi"/>
          <w:sz w:val="18"/>
          <w:szCs w:val="18"/>
          <w:lang w:val="en-US"/>
        </w:rPr>
        <w:t xml:space="preserve">aparoscopic </w:t>
      </w:r>
      <w:r w:rsidR="00675D11" w:rsidRPr="00F11BAE">
        <w:rPr>
          <w:rFonts w:cstheme="minorHAnsi"/>
          <w:sz w:val="18"/>
          <w:szCs w:val="18"/>
          <w:lang w:val="en-US"/>
        </w:rPr>
        <w:t>cholecystectomy</w:t>
      </w:r>
      <w:r w:rsidRPr="00F11BAE">
        <w:rPr>
          <w:rFonts w:cstheme="minorHAnsi"/>
          <w:sz w:val="18"/>
          <w:szCs w:val="18"/>
          <w:lang w:val="en-US"/>
        </w:rPr>
        <w:t>;</w:t>
      </w:r>
      <w:r w:rsidR="001F3CA8" w:rsidRPr="00F11BAE">
        <w:rPr>
          <w:rFonts w:cstheme="minorHAnsi"/>
          <w:sz w:val="18"/>
          <w:szCs w:val="18"/>
          <w:lang w:val="en-US"/>
        </w:rPr>
        <w:t xml:space="preserve"> </w:t>
      </w:r>
      <w:r w:rsidR="00A763B5" w:rsidRPr="00F11BAE">
        <w:rPr>
          <w:rFonts w:cstheme="minorHAnsi"/>
          <w:sz w:val="18"/>
          <w:szCs w:val="18"/>
          <w:lang w:val="en-US"/>
        </w:rPr>
        <w:t xml:space="preserve">Open </w:t>
      </w:r>
      <w:r w:rsidR="00675D11" w:rsidRPr="00F11BAE">
        <w:rPr>
          <w:rFonts w:cstheme="minorHAnsi"/>
          <w:sz w:val="18"/>
          <w:szCs w:val="18"/>
          <w:lang w:val="en-US"/>
        </w:rPr>
        <w:t>cholecystectomy</w:t>
      </w:r>
      <w:r w:rsidRPr="00F11BAE">
        <w:rPr>
          <w:rFonts w:cstheme="minorHAnsi"/>
          <w:sz w:val="18"/>
          <w:szCs w:val="18"/>
          <w:lang w:val="en-US"/>
        </w:rPr>
        <w:t xml:space="preserve">; </w:t>
      </w:r>
      <w:proofErr w:type="gramStart"/>
      <w:r w:rsidR="00675D11">
        <w:rPr>
          <w:rFonts w:cstheme="minorHAnsi"/>
          <w:sz w:val="18"/>
          <w:szCs w:val="18"/>
          <w:lang w:val="en-US"/>
        </w:rPr>
        <w:t>A</w:t>
      </w:r>
      <w:r w:rsidR="00675D11" w:rsidRPr="00F11BAE">
        <w:rPr>
          <w:rFonts w:cstheme="minorHAnsi"/>
          <w:sz w:val="18"/>
          <w:szCs w:val="18"/>
          <w:lang w:val="en-US"/>
        </w:rPr>
        <w:t>cute</w:t>
      </w:r>
      <w:proofErr w:type="gramEnd"/>
      <w:r w:rsidR="00A763B5" w:rsidRPr="00F11BAE">
        <w:rPr>
          <w:rFonts w:cstheme="minorHAnsi"/>
          <w:sz w:val="18"/>
          <w:szCs w:val="18"/>
          <w:lang w:val="en-US"/>
        </w:rPr>
        <w:t xml:space="preserve"> </w:t>
      </w:r>
      <w:r w:rsidR="00675D11" w:rsidRPr="00F11BAE">
        <w:rPr>
          <w:rFonts w:cstheme="minorHAnsi"/>
          <w:sz w:val="18"/>
          <w:szCs w:val="18"/>
          <w:lang w:val="en-US"/>
        </w:rPr>
        <w:t>cholecystitis</w:t>
      </w:r>
      <w:r w:rsidRPr="00F11BAE">
        <w:rPr>
          <w:rFonts w:cstheme="minorHAnsi"/>
          <w:sz w:val="18"/>
          <w:szCs w:val="18"/>
          <w:lang w:val="en-US"/>
        </w:rPr>
        <w:t>.</w:t>
      </w:r>
    </w:p>
    <w:p w:rsidR="00147652" w:rsidRPr="000C1FEA" w:rsidRDefault="00147652" w:rsidP="00F22010">
      <w:pPr>
        <w:spacing w:after="0" w:line="240" w:lineRule="auto"/>
        <w:rPr>
          <w:rFonts w:cstheme="minorHAnsi"/>
          <w:sz w:val="20"/>
          <w:lang w:val="en-US"/>
        </w:rPr>
      </w:pPr>
    </w:p>
    <w:p w:rsidR="00147652" w:rsidRPr="000C1FEA" w:rsidRDefault="00147652" w:rsidP="00F22010">
      <w:pPr>
        <w:pBdr>
          <w:top w:val="single" w:sz="4" w:space="1" w:color="auto"/>
        </w:pBdr>
        <w:spacing w:after="0" w:line="240" w:lineRule="auto"/>
        <w:rPr>
          <w:rFonts w:cstheme="minorHAnsi"/>
          <w:lang w:val="en-US"/>
        </w:rPr>
      </w:pPr>
    </w:p>
    <w:p w:rsidR="00F22010" w:rsidRPr="000C1FEA" w:rsidRDefault="00F22010">
      <w:pPr>
        <w:rPr>
          <w:rFonts w:cstheme="minorHAnsi"/>
          <w:lang w:val="en-US"/>
        </w:rPr>
      </w:pPr>
      <w:r w:rsidRPr="000C1FEA">
        <w:rPr>
          <w:rFonts w:cstheme="minorHAnsi"/>
          <w:lang w:val="en-US"/>
        </w:rPr>
        <w:br w:type="page"/>
      </w:r>
    </w:p>
    <w:p w:rsidR="0064076B" w:rsidRPr="00172C6A" w:rsidRDefault="0064076B" w:rsidP="0096342B">
      <w:pPr>
        <w:spacing w:after="120" w:line="360" w:lineRule="auto"/>
        <w:jc w:val="both"/>
        <w:rPr>
          <w:rFonts w:cstheme="minorHAnsi"/>
          <w:b/>
        </w:rPr>
      </w:pPr>
      <w:r w:rsidRPr="00172C6A">
        <w:rPr>
          <w:rFonts w:cstheme="minorHAnsi"/>
          <w:b/>
        </w:rPr>
        <w:lastRenderedPageBreak/>
        <w:t>INTRODU</w:t>
      </w:r>
      <w:r w:rsidR="00F22010" w:rsidRPr="00172C6A">
        <w:rPr>
          <w:rFonts w:cstheme="minorHAnsi"/>
          <w:b/>
        </w:rPr>
        <w:t>ÇÃO</w:t>
      </w:r>
    </w:p>
    <w:p w:rsidR="00EA10AE" w:rsidRPr="00172C6A" w:rsidRDefault="004131F0" w:rsidP="0096342B">
      <w:pPr>
        <w:spacing w:after="120" w:line="360" w:lineRule="auto"/>
        <w:jc w:val="both"/>
        <w:rPr>
          <w:rFonts w:cstheme="minorHAnsi"/>
        </w:rPr>
      </w:pPr>
      <w:r w:rsidRPr="00172C6A">
        <w:rPr>
          <w:rFonts w:cstheme="minorHAnsi"/>
        </w:rPr>
        <w:t xml:space="preserve">Embora a colecistectomia laparoscópica fosse inicialmente considerada como uma </w:t>
      </w:r>
      <w:r w:rsidR="00A763B5" w:rsidRPr="00172C6A">
        <w:rPr>
          <w:rFonts w:cstheme="minorHAnsi"/>
        </w:rPr>
        <w:t>contraindicação</w:t>
      </w:r>
      <w:r w:rsidRPr="00172C6A">
        <w:rPr>
          <w:rFonts w:cstheme="minorHAnsi"/>
        </w:rPr>
        <w:t xml:space="preserve"> na cirurgia da colecistite aguda (1), a partir de meados de 1990 começou a ser </w:t>
      </w:r>
      <w:r w:rsidR="00A763B5">
        <w:rPr>
          <w:rFonts w:cstheme="minorHAnsi"/>
        </w:rPr>
        <w:t xml:space="preserve">a </w:t>
      </w:r>
      <w:r w:rsidRPr="00A763B5">
        <w:rPr>
          <w:rFonts w:cstheme="minorHAnsi"/>
        </w:rPr>
        <w:t>técnica de eleição naquela doença (2, 3). Contudo, ainda hoje alguns aut</w:t>
      </w:r>
      <w:r w:rsidR="00130FE2" w:rsidRPr="006541E3">
        <w:rPr>
          <w:rFonts w:cstheme="minorHAnsi"/>
        </w:rPr>
        <w:t>ores continua</w:t>
      </w:r>
      <w:r w:rsidRPr="006541E3">
        <w:rPr>
          <w:rFonts w:cstheme="minorHAnsi"/>
        </w:rPr>
        <w:t>m</w:t>
      </w:r>
      <w:r w:rsidR="00130FE2" w:rsidRPr="006541E3">
        <w:rPr>
          <w:rFonts w:cstheme="minorHAnsi"/>
        </w:rPr>
        <w:t>,</w:t>
      </w:r>
      <w:r w:rsidRPr="006541E3">
        <w:rPr>
          <w:rFonts w:cstheme="minorHAnsi"/>
        </w:rPr>
        <w:t xml:space="preserve"> em determinadas circunstâncias</w:t>
      </w:r>
      <w:r w:rsidR="00A763B5">
        <w:rPr>
          <w:rFonts w:cstheme="minorHAnsi"/>
        </w:rPr>
        <w:t>,</w:t>
      </w:r>
      <w:r w:rsidRPr="00A763B5">
        <w:rPr>
          <w:rFonts w:cstheme="minorHAnsi"/>
        </w:rPr>
        <w:t xml:space="preserve"> </w:t>
      </w:r>
      <w:r w:rsidR="00130FE2" w:rsidRPr="00A763B5">
        <w:rPr>
          <w:rFonts w:cstheme="minorHAnsi"/>
        </w:rPr>
        <w:t xml:space="preserve">a recorrer </w:t>
      </w:r>
      <w:r w:rsidRPr="00A763B5">
        <w:rPr>
          <w:rFonts w:cstheme="minorHAnsi"/>
        </w:rPr>
        <w:t>à exérese vesicular por via aberta (4).</w:t>
      </w:r>
    </w:p>
    <w:p w:rsidR="00B66E87" w:rsidRPr="00172C6A" w:rsidRDefault="00B66E87" w:rsidP="0096342B">
      <w:pPr>
        <w:spacing w:after="120" w:line="360" w:lineRule="auto"/>
        <w:jc w:val="both"/>
        <w:rPr>
          <w:rFonts w:cstheme="minorHAnsi"/>
        </w:rPr>
      </w:pPr>
    </w:p>
    <w:p w:rsidR="00EA10AE" w:rsidRPr="00172C6A" w:rsidRDefault="00F22010" w:rsidP="0096342B">
      <w:pPr>
        <w:spacing w:after="120" w:line="360" w:lineRule="auto"/>
        <w:jc w:val="both"/>
        <w:rPr>
          <w:rFonts w:cstheme="minorHAnsi"/>
          <w:b/>
        </w:rPr>
      </w:pPr>
      <w:r w:rsidRPr="00172C6A">
        <w:rPr>
          <w:rFonts w:cstheme="minorHAnsi"/>
          <w:b/>
        </w:rPr>
        <w:t>MATERIAL E MÉTODOS</w:t>
      </w:r>
    </w:p>
    <w:p w:rsidR="004131F0" w:rsidRPr="00172C6A" w:rsidRDefault="004131F0" w:rsidP="0096342B">
      <w:pPr>
        <w:spacing w:after="120" w:line="360" w:lineRule="auto"/>
        <w:jc w:val="both"/>
        <w:rPr>
          <w:rFonts w:cstheme="minorHAnsi"/>
        </w:rPr>
      </w:pPr>
      <w:r w:rsidRPr="00172C6A">
        <w:rPr>
          <w:rFonts w:cstheme="minorHAnsi"/>
        </w:rPr>
        <w:t xml:space="preserve">De 1 de </w:t>
      </w:r>
      <w:r w:rsidR="00ED7834">
        <w:rPr>
          <w:rFonts w:cstheme="minorHAnsi"/>
        </w:rPr>
        <w:t>j</w:t>
      </w:r>
      <w:r w:rsidRPr="00172C6A">
        <w:rPr>
          <w:rFonts w:cstheme="minorHAnsi"/>
        </w:rPr>
        <w:t xml:space="preserve">aneiro de 2007 a </w:t>
      </w:r>
      <w:r w:rsidR="00ED7834">
        <w:rPr>
          <w:rFonts w:cstheme="minorHAnsi"/>
        </w:rPr>
        <w:t>o</w:t>
      </w:r>
      <w:r w:rsidRPr="00172C6A">
        <w:rPr>
          <w:rFonts w:cstheme="minorHAnsi"/>
        </w:rPr>
        <w:t>utubro de 2013 foram operad</w:t>
      </w:r>
      <w:r w:rsidR="00ED7834">
        <w:rPr>
          <w:rFonts w:cstheme="minorHAnsi"/>
        </w:rPr>
        <w:t>a</w:t>
      </w:r>
      <w:r w:rsidRPr="00172C6A">
        <w:rPr>
          <w:rFonts w:cstheme="minorHAnsi"/>
        </w:rPr>
        <w:t xml:space="preserve">s </w:t>
      </w:r>
      <w:r w:rsidR="00ED7834">
        <w:rPr>
          <w:rFonts w:cstheme="minorHAnsi"/>
        </w:rPr>
        <w:t xml:space="preserve">520 colecistites agudas </w:t>
      </w:r>
      <w:r w:rsidR="00ED7834" w:rsidRPr="00172C6A">
        <w:rPr>
          <w:rFonts w:cstheme="minorHAnsi"/>
        </w:rPr>
        <w:t>no Serviço de Cirurgia do Hospital de S. João</w:t>
      </w:r>
      <w:r w:rsidR="00ED7834">
        <w:rPr>
          <w:rFonts w:cstheme="minorHAnsi"/>
        </w:rPr>
        <w:t>,</w:t>
      </w:r>
      <w:r w:rsidR="00ED7834" w:rsidRPr="00172C6A">
        <w:rPr>
          <w:rFonts w:cstheme="minorHAnsi"/>
        </w:rPr>
        <w:t xml:space="preserve"> </w:t>
      </w:r>
      <w:r w:rsidRPr="00172C6A">
        <w:rPr>
          <w:rFonts w:cstheme="minorHAnsi"/>
        </w:rPr>
        <w:t>internadas pelo Serviço de Urgência daquele Hospital.</w:t>
      </w:r>
    </w:p>
    <w:p w:rsidR="004131F0" w:rsidRPr="00D21BD9" w:rsidRDefault="004131F0" w:rsidP="0096342B">
      <w:pPr>
        <w:spacing w:after="120" w:line="360" w:lineRule="auto"/>
        <w:jc w:val="both"/>
        <w:rPr>
          <w:rFonts w:cstheme="minorHAnsi"/>
        </w:rPr>
      </w:pPr>
      <w:r w:rsidRPr="00172C6A">
        <w:rPr>
          <w:rFonts w:cstheme="minorHAnsi"/>
        </w:rPr>
        <w:t>Realizaram-se 420</w:t>
      </w:r>
      <w:r w:rsidR="00ED7834">
        <w:rPr>
          <w:rFonts w:cstheme="minorHAnsi"/>
        </w:rPr>
        <w:t xml:space="preserve"> </w:t>
      </w:r>
      <w:r w:rsidR="00ED7834" w:rsidRPr="004173A0">
        <w:rPr>
          <w:rFonts w:cstheme="minorHAnsi"/>
        </w:rPr>
        <w:t>(79,2%)</w:t>
      </w:r>
      <w:r w:rsidRPr="00172C6A">
        <w:rPr>
          <w:rFonts w:cstheme="minorHAnsi"/>
        </w:rPr>
        <w:t xml:space="preserve"> </w:t>
      </w:r>
      <w:r w:rsidR="004173A0">
        <w:rPr>
          <w:rFonts w:cstheme="minorHAnsi"/>
        </w:rPr>
        <w:t>Col</w:t>
      </w:r>
      <w:r w:rsidR="00D21BD9">
        <w:rPr>
          <w:rFonts w:cstheme="minorHAnsi"/>
        </w:rPr>
        <w:t>e</w:t>
      </w:r>
      <w:r w:rsidR="004173A0">
        <w:rPr>
          <w:rFonts w:cstheme="minorHAnsi"/>
        </w:rPr>
        <w:t>c</w:t>
      </w:r>
      <w:r w:rsidR="00D21BD9">
        <w:rPr>
          <w:rFonts w:cstheme="minorHAnsi"/>
        </w:rPr>
        <w:t>i</w:t>
      </w:r>
      <w:r w:rsidR="004173A0">
        <w:rPr>
          <w:rFonts w:cstheme="minorHAnsi"/>
        </w:rPr>
        <w:t>s</w:t>
      </w:r>
      <w:r w:rsidR="00D21BD9">
        <w:rPr>
          <w:rFonts w:cstheme="minorHAnsi"/>
        </w:rPr>
        <w:t>te</w:t>
      </w:r>
      <w:r w:rsidR="004173A0">
        <w:rPr>
          <w:rFonts w:cstheme="minorHAnsi"/>
        </w:rPr>
        <w:t xml:space="preserve">ctomias </w:t>
      </w:r>
      <w:r w:rsidR="00D21BD9">
        <w:rPr>
          <w:rFonts w:cstheme="minorHAnsi"/>
        </w:rPr>
        <w:t xml:space="preserve">Laparoscópicas </w:t>
      </w:r>
      <w:r w:rsidR="00ED7834">
        <w:rPr>
          <w:rFonts w:cstheme="minorHAnsi"/>
        </w:rPr>
        <w:t>(</w:t>
      </w:r>
      <w:r w:rsidRPr="004173A0">
        <w:rPr>
          <w:rFonts w:cstheme="minorHAnsi"/>
        </w:rPr>
        <w:t>CL</w:t>
      </w:r>
      <w:r w:rsidR="00ED7834">
        <w:rPr>
          <w:rFonts w:cstheme="minorHAnsi"/>
        </w:rPr>
        <w:t>)</w:t>
      </w:r>
      <w:r w:rsidRPr="004173A0">
        <w:rPr>
          <w:rFonts w:cstheme="minorHAnsi"/>
        </w:rPr>
        <w:t xml:space="preserve">  e 108</w:t>
      </w:r>
      <w:r w:rsidR="00ED7834">
        <w:rPr>
          <w:rFonts w:cstheme="minorHAnsi"/>
        </w:rPr>
        <w:t xml:space="preserve"> </w:t>
      </w:r>
      <w:r w:rsidR="00ED7834" w:rsidRPr="004173A0">
        <w:rPr>
          <w:rFonts w:cstheme="minorHAnsi"/>
        </w:rPr>
        <w:t>(</w:t>
      </w:r>
      <w:r w:rsidR="00ED7834">
        <w:rPr>
          <w:rFonts w:cstheme="minorHAnsi"/>
        </w:rPr>
        <w:t>20</w:t>
      </w:r>
      <w:r w:rsidR="00ED7834" w:rsidRPr="004173A0">
        <w:rPr>
          <w:rFonts w:cstheme="minorHAnsi"/>
        </w:rPr>
        <w:t>,</w:t>
      </w:r>
      <w:r w:rsidR="00ED7834">
        <w:rPr>
          <w:rFonts w:cstheme="minorHAnsi"/>
        </w:rPr>
        <w:t>8</w:t>
      </w:r>
      <w:r w:rsidR="00ED7834" w:rsidRPr="004173A0">
        <w:rPr>
          <w:rFonts w:cstheme="minorHAnsi"/>
        </w:rPr>
        <w:t>%)</w:t>
      </w:r>
      <w:r w:rsidRPr="004173A0">
        <w:rPr>
          <w:rFonts w:cstheme="minorHAnsi"/>
        </w:rPr>
        <w:t xml:space="preserve"> </w:t>
      </w:r>
      <w:r w:rsidR="00D21BD9">
        <w:rPr>
          <w:rFonts w:cstheme="minorHAnsi"/>
        </w:rPr>
        <w:t xml:space="preserve">Colecistectomias Abertas </w:t>
      </w:r>
      <w:r w:rsidR="00ED7834">
        <w:rPr>
          <w:rFonts w:cstheme="minorHAnsi"/>
        </w:rPr>
        <w:t>(</w:t>
      </w:r>
      <w:r w:rsidRPr="004173A0">
        <w:rPr>
          <w:rFonts w:cstheme="minorHAnsi"/>
        </w:rPr>
        <w:t>CA</w:t>
      </w:r>
      <w:r w:rsidR="00ED7834">
        <w:rPr>
          <w:rFonts w:cstheme="minorHAnsi"/>
        </w:rPr>
        <w:t>)</w:t>
      </w:r>
      <w:r w:rsidRPr="004173A0">
        <w:rPr>
          <w:rFonts w:cstheme="minorHAnsi"/>
        </w:rPr>
        <w:t>. Neste estudo</w:t>
      </w:r>
      <w:r w:rsidR="00130FE2" w:rsidRPr="004173A0">
        <w:rPr>
          <w:rFonts w:cstheme="minorHAnsi"/>
        </w:rPr>
        <w:t>,</w:t>
      </w:r>
      <w:r w:rsidRPr="004173A0">
        <w:rPr>
          <w:rFonts w:cstheme="minorHAnsi"/>
        </w:rPr>
        <w:t xml:space="preserve"> foram excluídas as colecistostomias com drenagem percutânea, orientadas por ecografia. A opção entre dois tipos de cirurgia foi efetuada em função da experiência do cirurgião em cirurgia mini-invasiva</w:t>
      </w:r>
      <w:r w:rsidR="001F077B">
        <w:rPr>
          <w:rFonts w:cstheme="minorHAnsi"/>
        </w:rPr>
        <w:t>,</w:t>
      </w:r>
      <w:r w:rsidRPr="004173A0">
        <w:rPr>
          <w:rFonts w:cstheme="minorHAnsi"/>
        </w:rPr>
        <w:t xml:space="preserve"> da existência de alteraçõ</w:t>
      </w:r>
      <w:r w:rsidR="00873D89" w:rsidRPr="004173A0">
        <w:rPr>
          <w:rFonts w:cstheme="minorHAnsi"/>
        </w:rPr>
        <w:t>es sistémicas graves e de peritonite biliar</w:t>
      </w:r>
      <w:r w:rsidRPr="00D21BD9">
        <w:rPr>
          <w:rFonts w:cstheme="minorHAnsi"/>
        </w:rPr>
        <w:t>.</w:t>
      </w:r>
    </w:p>
    <w:p w:rsidR="004131F0" w:rsidRPr="006541E3" w:rsidRDefault="004131F0" w:rsidP="0096342B">
      <w:pPr>
        <w:spacing w:after="120" w:line="360" w:lineRule="auto"/>
        <w:jc w:val="both"/>
        <w:rPr>
          <w:rFonts w:cstheme="minorHAnsi"/>
        </w:rPr>
      </w:pPr>
      <w:r w:rsidRPr="00172C6A">
        <w:rPr>
          <w:rFonts w:cstheme="minorHAnsi"/>
        </w:rPr>
        <w:t>O diagnóstico foi realizado em função de elementos clínicos, analíticos (leucocitose) e imagiológicos (ecografia)</w:t>
      </w:r>
      <w:r w:rsidR="00664CEF">
        <w:rPr>
          <w:rFonts w:cstheme="minorHAnsi"/>
        </w:rPr>
        <w:t>, de acordo com os critérios da</w:t>
      </w:r>
      <w:r w:rsidRPr="00172C6A">
        <w:rPr>
          <w:rFonts w:cstheme="minorHAnsi"/>
        </w:rPr>
        <w:t xml:space="preserve"> </w:t>
      </w:r>
      <w:proofErr w:type="spellStart"/>
      <w:r w:rsidRPr="00172C6A">
        <w:rPr>
          <w:rFonts w:cstheme="minorHAnsi"/>
        </w:rPr>
        <w:t>Tokyo</w:t>
      </w:r>
      <w:proofErr w:type="spellEnd"/>
      <w:r w:rsidRPr="00172C6A">
        <w:rPr>
          <w:rFonts w:cstheme="minorHAnsi"/>
        </w:rPr>
        <w:t xml:space="preserve"> </w:t>
      </w:r>
      <w:proofErr w:type="spellStart"/>
      <w:r w:rsidRPr="00172C6A">
        <w:rPr>
          <w:rFonts w:cstheme="minorHAnsi"/>
        </w:rPr>
        <w:t>Guideline</w:t>
      </w:r>
      <w:proofErr w:type="spellEnd"/>
      <w:r w:rsidRPr="00172C6A">
        <w:rPr>
          <w:rFonts w:cstheme="minorHAnsi"/>
        </w:rPr>
        <w:t xml:space="preserve"> 2013 (5)</w:t>
      </w:r>
      <w:r w:rsidR="006541E3">
        <w:rPr>
          <w:rFonts w:cstheme="minorHAnsi"/>
        </w:rPr>
        <w:t>.</w:t>
      </w:r>
      <w:r w:rsidRPr="006541E3">
        <w:rPr>
          <w:rFonts w:cstheme="minorHAnsi"/>
        </w:rPr>
        <w:t xml:space="preserve"> </w:t>
      </w:r>
      <w:r w:rsidR="006541E3">
        <w:rPr>
          <w:rFonts w:cstheme="minorHAnsi"/>
        </w:rPr>
        <w:t>E</w:t>
      </w:r>
      <w:r w:rsidR="006541E3" w:rsidRPr="006541E3">
        <w:rPr>
          <w:rFonts w:cstheme="minorHAnsi"/>
        </w:rPr>
        <w:t xml:space="preserve">m </w:t>
      </w:r>
      <w:r w:rsidRPr="006541E3">
        <w:rPr>
          <w:rFonts w:cstheme="minorHAnsi"/>
        </w:rPr>
        <w:t>todos houve confirmação histológica.</w:t>
      </w:r>
    </w:p>
    <w:p w:rsidR="004131F0" w:rsidRPr="00D21BD9" w:rsidRDefault="004131F0" w:rsidP="0096342B">
      <w:pPr>
        <w:spacing w:after="120" w:line="360" w:lineRule="auto"/>
        <w:jc w:val="both"/>
        <w:rPr>
          <w:rFonts w:cstheme="minorHAnsi"/>
        </w:rPr>
      </w:pPr>
      <w:r w:rsidRPr="006541E3">
        <w:rPr>
          <w:rFonts w:cstheme="minorHAnsi"/>
        </w:rPr>
        <w:t>A técnica cirúrgica foi relatada em publicação anterior (6). Em 16 litíases coledócicas, procedeu-se à extração dos cálculos, por via endoscópica, 3 a 4 dias antes da CL; noutros 7, realizou-se extração dos cálculos no decurso da CA. Em 16 casos</w:t>
      </w:r>
      <w:r w:rsidR="0098063D" w:rsidRPr="006541E3">
        <w:rPr>
          <w:rFonts w:cstheme="minorHAnsi"/>
        </w:rPr>
        <w:t>,</w:t>
      </w:r>
      <w:r w:rsidRPr="006541E3">
        <w:rPr>
          <w:rFonts w:cstheme="minorHAnsi"/>
        </w:rPr>
        <w:t xml:space="preserve"> manifestou-se o estado de choque, em 11 (1,5%) </w:t>
      </w:r>
      <w:r w:rsidR="006541E3">
        <w:rPr>
          <w:rFonts w:cstheme="minorHAnsi"/>
        </w:rPr>
        <w:t>d</w:t>
      </w:r>
      <w:r w:rsidRPr="006541E3">
        <w:rPr>
          <w:rFonts w:cstheme="minorHAnsi"/>
        </w:rPr>
        <w:t xml:space="preserve">os operados de CL e em 5 (4,6%) da </w:t>
      </w:r>
      <w:r w:rsidR="00D21BD9">
        <w:rPr>
          <w:rFonts w:cstheme="minorHAnsi"/>
        </w:rPr>
        <w:t>CA</w:t>
      </w:r>
      <w:r w:rsidRPr="006541E3">
        <w:rPr>
          <w:rFonts w:cstheme="minorHAnsi"/>
        </w:rPr>
        <w:t xml:space="preserve">. </w:t>
      </w:r>
      <w:r w:rsidR="00D21BD9" w:rsidRPr="006541E3">
        <w:rPr>
          <w:rFonts w:cstheme="minorHAnsi"/>
        </w:rPr>
        <w:t>H</w:t>
      </w:r>
      <w:r w:rsidR="00D21BD9">
        <w:rPr>
          <w:rFonts w:cstheme="minorHAnsi"/>
        </w:rPr>
        <w:t>ouve</w:t>
      </w:r>
      <w:r w:rsidR="00D21BD9" w:rsidRPr="006541E3">
        <w:rPr>
          <w:rFonts w:cstheme="minorHAnsi"/>
        </w:rPr>
        <w:t xml:space="preserve"> </w:t>
      </w:r>
      <w:r w:rsidRPr="006541E3">
        <w:rPr>
          <w:rFonts w:cstheme="minorHAnsi"/>
        </w:rPr>
        <w:t xml:space="preserve">16 </w:t>
      </w:r>
      <w:r w:rsidR="00776BE4" w:rsidRPr="00664CEF">
        <w:rPr>
          <w:rFonts w:cstheme="minorHAnsi"/>
        </w:rPr>
        <w:t xml:space="preserve">(3,8%) </w:t>
      </w:r>
      <w:r w:rsidRPr="00664CEF">
        <w:rPr>
          <w:rFonts w:cstheme="minorHAnsi"/>
        </w:rPr>
        <w:t>icterícias</w:t>
      </w:r>
      <w:r w:rsidR="00776BE4">
        <w:rPr>
          <w:rFonts w:cstheme="minorHAnsi"/>
        </w:rPr>
        <w:t xml:space="preserve"> </w:t>
      </w:r>
      <w:r w:rsidRPr="00664CEF">
        <w:rPr>
          <w:rFonts w:cstheme="minorHAnsi"/>
        </w:rPr>
        <w:t>na CL e 7 (6,4%) na CA.</w:t>
      </w:r>
    </w:p>
    <w:p w:rsidR="004131F0" w:rsidRPr="006541E3" w:rsidRDefault="004131F0" w:rsidP="0096342B">
      <w:pPr>
        <w:spacing w:after="120" w:line="360" w:lineRule="auto"/>
        <w:jc w:val="both"/>
        <w:rPr>
          <w:rFonts w:cstheme="minorHAnsi"/>
        </w:rPr>
      </w:pPr>
      <w:r w:rsidRPr="00172C6A">
        <w:rPr>
          <w:rFonts w:cstheme="minorHAnsi"/>
        </w:rPr>
        <w:t xml:space="preserve">A análise estatística </w:t>
      </w:r>
      <w:r w:rsidR="006541E3">
        <w:rPr>
          <w:rFonts w:cstheme="minorHAnsi"/>
        </w:rPr>
        <w:t xml:space="preserve">baseou-se em </w:t>
      </w:r>
      <w:r w:rsidRPr="006541E3">
        <w:rPr>
          <w:rFonts w:cstheme="minorHAnsi"/>
        </w:rPr>
        <w:t xml:space="preserve">processos descritivos e </w:t>
      </w:r>
      <w:r w:rsidR="006541E3">
        <w:rPr>
          <w:rFonts w:cstheme="minorHAnsi"/>
        </w:rPr>
        <w:t xml:space="preserve">a avaliação das </w:t>
      </w:r>
      <w:r w:rsidRPr="006541E3">
        <w:rPr>
          <w:rFonts w:cstheme="minorHAnsi"/>
        </w:rPr>
        <w:t xml:space="preserve">diferenças entre grupos </w:t>
      </w:r>
      <w:r w:rsidR="006541E3">
        <w:rPr>
          <w:rFonts w:cstheme="minorHAnsi"/>
        </w:rPr>
        <w:t xml:space="preserve">teve por </w:t>
      </w:r>
      <w:r w:rsidRPr="006541E3">
        <w:rPr>
          <w:rFonts w:cstheme="minorHAnsi"/>
        </w:rPr>
        <w:t>base o teste exato de Fisher, sendo considerados valores significativos para p&lt;0,05.</w:t>
      </w:r>
    </w:p>
    <w:p w:rsidR="00B66E87" w:rsidRPr="00172C6A" w:rsidRDefault="00B66E87" w:rsidP="0096342B">
      <w:pPr>
        <w:spacing w:after="120" w:line="360" w:lineRule="auto"/>
        <w:jc w:val="both"/>
        <w:rPr>
          <w:rFonts w:cstheme="minorHAnsi"/>
        </w:rPr>
      </w:pPr>
    </w:p>
    <w:p w:rsidR="005F3128" w:rsidRPr="00172C6A" w:rsidRDefault="005F3128" w:rsidP="0096342B">
      <w:pPr>
        <w:spacing w:after="120" w:line="360" w:lineRule="auto"/>
        <w:jc w:val="both"/>
        <w:rPr>
          <w:rFonts w:cstheme="minorHAnsi"/>
          <w:b/>
        </w:rPr>
      </w:pPr>
      <w:r w:rsidRPr="00172C6A">
        <w:rPr>
          <w:rFonts w:cstheme="minorHAnsi"/>
          <w:b/>
        </w:rPr>
        <w:t>RESULT</w:t>
      </w:r>
      <w:r w:rsidR="00F22010" w:rsidRPr="00172C6A">
        <w:rPr>
          <w:rFonts w:cstheme="minorHAnsi"/>
          <w:b/>
        </w:rPr>
        <w:t>ADO</w:t>
      </w:r>
      <w:r w:rsidRPr="00172C6A">
        <w:rPr>
          <w:rFonts w:cstheme="minorHAnsi"/>
          <w:b/>
        </w:rPr>
        <w:t>S</w:t>
      </w:r>
    </w:p>
    <w:p w:rsidR="00776BE4" w:rsidRDefault="00840D8D" w:rsidP="0096342B">
      <w:pPr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>A i</w:t>
      </w:r>
      <w:r w:rsidR="004131F0" w:rsidRPr="00840D8D">
        <w:rPr>
          <w:rFonts w:cstheme="minorHAnsi"/>
        </w:rPr>
        <w:t>dade</w:t>
      </w:r>
      <w:r w:rsidR="00776BE4" w:rsidRPr="00840D8D">
        <w:rPr>
          <w:rFonts w:cstheme="minorHAnsi"/>
        </w:rPr>
        <w:t xml:space="preserve"> </w:t>
      </w:r>
      <w:r w:rsidRPr="00840D8D">
        <w:rPr>
          <w:rFonts w:cstheme="minorHAnsi"/>
        </w:rPr>
        <w:t xml:space="preserve">média (± desvio padrão) </w:t>
      </w:r>
      <w:r w:rsidR="00776BE4" w:rsidRPr="00840D8D">
        <w:rPr>
          <w:rFonts w:cstheme="minorHAnsi"/>
        </w:rPr>
        <w:t>dos pacientes por tipo de intervenção</w:t>
      </w:r>
      <w:r>
        <w:rPr>
          <w:rFonts w:cstheme="minorHAnsi"/>
        </w:rPr>
        <w:t xml:space="preserve"> foi de </w:t>
      </w:r>
      <w:r w:rsidR="0098063D" w:rsidRPr="00172C6A">
        <w:rPr>
          <w:rFonts w:cstheme="minorHAnsi"/>
        </w:rPr>
        <w:t>55,24 anos (± 16,8)</w:t>
      </w:r>
      <w:r>
        <w:rPr>
          <w:rFonts w:cstheme="minorHAnsi"/>
        </w:rPr>
        <w:t xml:space="preserve"> na CL e </w:t>
      </w:r>
      <w:r w:rsidR="004131F0" w:rsidRPr="00172C6A">
        <w:rPr>
          <w:rFonts w:cstheme="minorHAnsi"/>
        </w:rPr>
        <w:t>70,55 ano</w:t>
      </w:r>
      <w:r w:rsidR="00776BE4">
        <w:rPr>
          <w:rFonts w:cstheme="minorHAnsi"/>
        </w:rPr>
        <w:t>s (± 14,7)</w:t>
      </w:r>
      <w:r>
        <w:rPr>
          <w:rFonts w:cstheme="minorHAnsi"/>
        </w:rPr>
        <w:t xml:space="preserve"> na CA</w:t>
      </w:r>
      <w:r w:rsidR="00776BE4">
        <w:rPr>
          <w:rFonts w:cstheme="minorHAnsi"/>
        </w:rPr>
        <w:t>.</w:t>
      </w:r>
    </w:p>
    <w:p w:rsidR="00840D8D" w:rsidRDefault="00840D8D" w:rsidP="0096342B">
      <w:pPr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Apresentamos abaixo o número de casos intervencionados em CL ou CA, em função do género, doenças coexistentes, </w:t>
      </w:r>
      <w:r w:rsidR="005A6728">
        <w:rPr>
          <w:rFonts w:cstheme="minorHAnsi"/>
        </w:rPr>
        <w:t xml:space="preserve">leucocitose, tempo decorrido entre o diagnóstico e a cirurgia, </w:t>
      </w:r>
      <w:r w:rsidR="005C11F4">
        <w:rPr>
          <w:rFonts w:cstheme="minorHAnsi"/>
        </w:rPr>
        <w:t xml:space="preserve">ASA, complicações </w:t>
      </w:r>
      <w:proofErr w:type="spellStart"/>
      <w:r w:rsidR="005C11F4">
        <w:rPr>
          <w:rFonts w:cstheme="minorHAnsi"/>
        </w:rPr>
        <w:t>intra</w:t>
      </w:r>
      <w:proofErr w:type="spellEnd"/>
      <w:r>
        <w:rPr>
          <w:rFonts w:cstheme="minorHAnsi"/>
        </w:rPr>
        <w:t xml:space="preserve"> e pós-operatórias, mortalidade, reintervenções, lesão biliar e estadia hospitalar.</w:t>
      </w:r>
    </w:p>
    <w:p w:rsidR="004131F0" w:rsidRPr="009355E9" w:rsidRDefault="00664CEF" w:rsidP="0096342B">
      <w:pPr>
        <w:spacing w:after="120" w:line="360" w:lineRule="auto"/>
        <w:jc w:val="both"/>
        <w:rPr>
          <w:rFonts w:cstheme="minorHAnsi"/>
        </w:rPr>
      </w:pPr>
      <w:r>
        <w:rPr>
          <w:rFonts w:cstheme="minorHAnsi"/>
          <w:u w:val="single"/>
        </w:rPr>
        <w:t>Género</w:t>
      </w:r>
      <w:r w:rsidR="0098063D" w:rsidRPr="00172C6A">
        <w:rPr>
          <w:rFonts w:cstheme="minorHAnsi"/>
        </w:rPr>
        <w:t>:</w:t>
      </w:r>
      <w:r w:rsidR="009930F4">
        <w:rPr>
          <w:rFonts w:cstheme="minorHAnsi"/>
        </w:rPr>
        <w:t xml:space="preserve"> Homens: CL 204 (49,5%) e</w:t>
      </w:r>
      <w:r w:rsidR="004131F0" w:rsidRPr="00172C6A">
        <w:rPr>
          <w:rFonts w:cstheme="minorHAnsi"/>
        </w:rPr>
        <w:t xml:space="preserve"> CA 46 (42,5%)</w:t>
      </w:r>
      <w:r w:rsidR="00840D8D">
        <w:rPr>
          <w:rFonts w:cstheme="minorHAnsi"/>
        </w:rPr>
        <w:t>; p=0,2340</w:t>
      </w:r>
      <w:r w:rsidR="004131F0" w:rsidRPr="00172C6A">
        <w:rPr>
          <w:rFonts w:cstheme="minorHAnsi"/>
        </w:rPr>
        <w:t>; Mulhere</w:t>
      </w:r>
      <w:r w:rsidR="009930F4">
        <w:rPr>
          <w:rFonts w:cstheme="minorHAnsi"/>
        </w:rPr>
        <w:t>s: CL 208 (50,4%) e</w:t>
      </w:r>
      <w:r w:rsidR="009355E9">
        <w:rPr>
          <w:rFonts w:cstheme="minorHAnsi"/>
        </w:rPr>
        <w:t xml:space="preserve"> CA 62 (</w:t>
      </w:r>
      <w:r w:rsidR="0098063D" w:rsidRPr="009355E9">
        <w:rPr>
          <w:rFonts w:cstheme="minorHAnsi"/>
        </w:rPr>
        <w:t xml:space="preserve">57,4%); </w:t>
      </w:r>
      <w:r w:rsidR="004131F0" w:rsidRPr="009355E9">
        <w:rPr>
          <w:rFonts w:cstheme="minorHAnsi"/>
        </w:rPr>
        <w:t>p=</w:t>
      </w:r>
      <w:r w:rsidR="00840D8D">
        <w:rPr>
          <w:rFonts w:cstheme="minorHAnsi"/>
        </w:rPr>
        <w:t>0,2340</w:t>
      </w:r>
      <w:r w:rsidR="004131F0" w:rsidRPr="009355E9">
        <w:rPr>
          <w:rFonts w:cstheme="minorHAnsi"/>
        </w:rPr>
        <w:t>.</w:t>
      </w:r>
    </w:p>
    <w:p w:rsidR="00873D89" w:rsidRDefault="004131F0" w:rsidP="0096342B">
      <w:pPr>
        <w:spacing w:after="120" w:line="360" w:lineRule="auto"/>
        <w:jc w:val="both"/>
        <w:rPr>
          <w:rFonts w:cstheme="minorHAnsi"/>
        </w:rPr>
      </w:pPr>
      <w:r w:rsidRPr="00172C6A">
        <w:rPr>
          <w:rFonts w:cstheme="minorHAnsi"/>
          <w:u w:val="single"/>
        </w:rPr>
        <w:t>Doenças coexistentes</w:t>
      </w:r>
      <w:r w:rsidR="0098063D" w:rsidRPr="00172C6A">
        <w:rPr>
          <w:rFonts w:cstheme="minorHAnsi"/>
        </w:rPr>
        <w:t>:</w:t>
      </w:r>
      <w:r w:rsidR="006162ED" w:rsidRPr="00172C6A">
        <w:rPr>
          <w:rFonts w:cstheme="minorHAnsi"/>
        </w:rPr>
        <w:t xml:space="preserve"> </w:t>
      </w:r>
      <w:r w:rsidR="00664CEF">
        <w:rPr>
          <w:rFonts w:cstheme="minorHAnsi"/>
        </w:rPr>
        <w:t>D</w:t>
      </w:r>
      <w:r w:rsidRPr="00172C6A">
        <w:rPr>
          <w:rFonts w:cstheme="minorHAnsi"/>
        </w:rPr>
        <w:t>iabetes</w:t>
      </w:r>
      <w:r w:rsidR="00664CEF">
        <w:rPr>
          <w:rFonts w:cstheme="minorHAnsi"/>
        </w:rPr>
        <w:t>: CL 57</w:t>
      </w:r>
      <w:r w:rsidRPr="00172C6A">
        <w:rPr>
          <w:rFonts w:cstheme="minorHAnsi"/>
        </w:rPr>
        <w:t xml:space="preserve"> </w:t>
      </w:r>
      <w:r w:rsidR="00664CEF">
        <w:rPr>
          <w:rFonts w:cstheme="minorHAnsi"/>
        </w:rPr>
        <w:t>(</w:t>
      </w:r>
      <w:r w:rsidR="006162ED" w:rsidRPr="00172C6A">
        <w:rPr>
          <w:rFonts w:cstheme="minorHAnsi"/>
        </w:rPr>
        <w:t>13,8%</w:t>
      </w:r>
      <w:r w:rsidR="00664CEF">
        <w:rPr>
          <w:rFonts w:cstheme="minorHAnsi"/>
        </w:rPr>
        <w:t>)</w:t>
      </w:r>
      <w:r w:rsidR="009930F4">
        <w:rPr>
          <w:rFonts w:cstheme="minorHAnsi"/>
        </w:rPr>
        <w:t xml:space="preserve"> e</w:t>
      </w:r>
      <w:r w:rsidR="006162ED" w:rsidRPr="00172C6A">
        <w:rPr>
          <w:rFonts w:cstheme="minorHAnsi"/>
        </w:rPr>
        <w:t xml:space="preserve"> CA 25 (23,1%);</w:t>
      </w:r>
      <w:r w:rsidR="009930F4">
        <w:rPr>
          <w:rFonts w:cstheme="minorHAnsi"/>
        </w:rPr>
        <w:t xml:space="preserve"> p=0,0253;</w:t>
      </w:r>
      <w:r w:rsidR="006162ED" w:rsidRPr="00172C6A">
        <w:rPr>
          <w:rFonts w:cstheme="minorHAnsi"/>
        </w:rPr>
        <w:t xml:space="preserve"> </w:t>
      </w:r>
      <w:r w:rsidR="00664CEF">
        <w:rPr>
          <w:rFonts w:cstheme="minorHAnsi"/>
        </w:rPr>
        <w:t>C</w:t>
      </w:r>
      <w:r w:rsidR="006162ED" w:rsidRPr="00172C6A">
        <w:rPr>
          <w:rFonts w:cstheme="minorHAnsi"/>
        </w:rPr>
        <w:t>ardiovasculares</w:t>
      </w:r>
      <w:r w:rsidR="009930F4">
        <w:rPr>
          <w:rFonts w:cstheme="minorHAnsi"/>
        </w:rPr>
        <w:t>:</w:t>
      </w:r>
      <w:r w:rsidR="006162ED" w:rsidRPr="00172C6A">
        <w:rPr>
          <w:rFonts w:cstheme="minorHAnsi"/>
        </w:rPr>
        <w:t xml:space="preserve"> CL 117 (28,3%)</w:t>
      </w:r>
      <w:r w:rsidR="009930F4">
        <w:rPr>
          <w:rFonts w:cstheme="minorHAnsi"/>
        </w:rPr>
        <w:t xml:space="preserve"> e</w:t>
      </w:r>
      <w:r w:rsidR="006162ED" w:rsidRPr="00172C6A">
        <w:rPr>
          <w:rFonts w:cstheme="minorHAnsi"/>
        </w:rPr>
        <w:t xml:space="preserve"> CA 49 </w:t>
      </w:r>
      <w:r w:rsidRPr="00172C6A">
        <w:rPr>
          <w:rFonts w:cstheme="minorHAnsi"/>
        </w:rPr>
        <w:t>(45,3%</w:t>
      </w:r>
      <w:r w:rsidR="006162ED" w:rsidRPr="00172C6A">
        <w:rPr>
          <w:rFonts w:cstheme="minorHAnsi"/>
        </w:rPr>
        <w:t>)</w:t>
      </w:r>
      <w:r w:rsidR="009930F4">
        <w:rPr>
          <w:rFonts w:cstheme="minorHAnsi"/>
        </w:rPr>
        <w:t>, p=00,011</w:t>
      </w:r>
      <w:r w:rsidR="006162ED" w:rsidRPr="00172C6A">
        <w:rPr>
          <w:rFonts w:cstheme="minorHAnsi"/>
        </w:rPr>
        <w:t xml:space="preserve">; </w:t>
      </w:r>
      <w:r w:rsidR="00664CEF">
        <w:rPr>
          <w:rFonts w:cstheme="minorHAnsi"/>
        </w:rPr>
        <w:t>D</w:t>
      </w:r>
      <w:r w:rsidR="006162ED" w:rsidRPr="00172C6A">
        <w:rPr>
          <w:rFonts w:cstheme="minorHAnsi"/>
        </w:rPr>
        <w:t>oença pulmonar obstrutiva</w:t>
      </w:r>
      <w:r w:rsidR="00664CEF">
        <w:rPr>
          <w:rFonts w:cstheme="minorHAnsi"/>
        </w:rPr>
        <w:t>:</w:t>
      </w:r>
      <w:r w:rsidR="009930F4">
        <w:rPr>
          <w:rFonts w:cstheme="minorHAnsi"/>
        </w:rPr>
        <w:t xml:space="preserve"> CL 21 (5,1%) e</w:t>
      </w:r>
      <w:r w:rsidR="006162ED" w:rsidRPr="00172C6A">
        <w:rPr>
          <w:rFonts w:cstheme="minorHAnsi"/>
        </w:rPr>
        <w:t xml:space="preserve"> CA </w:t>
      </w:r>
      <w:r w:rsidR="009930F4">
        <w:rPr>
          <w:rFonts w:cstheme="minorHAnsi"/>
        </w:rPr>
        <w:t>6 (5,6</w:t>
      </w:r>
      <w:r w:rsidRPr="00172C6A">
        <w:rPr>
          <w:rFonts w:cstheme="minorHAnsi"/>
        </w:rPr>
        <w:t>%</w:t>
      </w:r>
      <w:r w:rsidR="006162ED" w:rsidRPr="00172C6A">
        <w:rPr>
          <w:rFonts w:cstheme="minorHAnsi"/>
        </w:rPr>
        <w:t>)</w:t>
      </w:r>
      <w:r w:rsidR="009930F4">
        <w:rPr>
          <w:rFonts w:cstheme="minorHAnsi"/>
        </w:rPr>
        <w:t>, p=0,8097</w:t>
      </w:r>
      <w:r w:rsidR="006162ED" w:rsidRPr="00172C6A">
        <w:rPr>
          <w:rFonts w:cstheme="minorHAnsi"/>
        </w:rPr>
        <w:t xml:space="preserve">; </w:t>
      </w:r>
      <w:r w:rsidR="00664CEF">
        <w:rPr>
          <w:rFonts w:cstheme="minorHAnsi"/>
        </w:rPr>
        <w:t>I</w:t>
      </w:r>
      <w:r w:rsidR="006162ED" w:rsidRPr="00172C6A">
        <w:rPr>
          <w:rFonts w:cstheme="minorHAnsi"/>
        </w:rPr>
        <w:t>nsuficiência renal crónica</w:t>
      </w:r>
      <w:r w:rsidR="00664CEF">
        <w:rPr>
          <w:rFonts w:cstheme="minorHAnsi"/>
        </w:rPr>
        <w:t>:</w:t>
      </w:r>
      <w:r w:rsidR="009930F4">
        <w:rPr>
          <w:rFonts w:cstheme="minorHAnsi"/>
        </w:rPr>
        <w:t xml:space="preserve"> CL 17 (4,1</w:t>
      </w:r>
      <w:r w:rsidRPr="00172C6A">
        <w:rPr>
          <w:rFonts w:cstheme="minorHAnsi"/>
        </w:rPr>
        <w:t>%); CA 10 (9,2%)</w:t>
      </w:r>
      <w:r w:rsidR="009930F4">
        <w:rPr>
          <w:rFonts w:cstheme="minorHAnsi"/>
        </w:rPr>
        <w:t>, p=0,0478</w:t>
      </w:r>
      <w:r w:rsidR="00664CEF">
        <w:rPr>
          <w:rFonts w:cstheme="minorHAnsi"/>
        </w:rPr>
        <w:t>.</w:t>
      </w:r>
    </w:p>
    <w:p w:rsidR="005A6728" w:rsidRDefault="005A6728" w:rsidP="0096342B">
      <w:pPr>
        <w:spacing w:after="120" w:line="360" w:lineRule="auto"/>
        <w:jc w:val="both"/>
        <w:rPr>
          <w:rFonts w:cstheme="minorHAnsi"/>
        </w:rPr>
      </w:pPr>
      <w:r w:rsidRPr="0062573A">
        <w:rPr>
          <w:rFonts w:cstheme="minorHAnsi"/>
          <w:u w:val="single"/>
        </w:rPr>
        <w:t>Leucocitose</w:t>
      </w:r>
      <w:r w:rsidR="0062573A" w:rsidRPr="0062573A">
        <w:rPr>
          <w:rFonts w:cstheme="minorHAnsi"/>
          <w:u w:val="single"/>
        </w:rPr>
        <w:t xml:space="preserve"> superior a 12.000.000</w:t>
      </w:r>
      <w:r w:rsidRPr="0062573A">
        <w:rPr>
          <w:rFonts w:cstheme="minorHAnsi"/>
        </w:rPr>
        <w:t>: CL 267 (64,8%) e CA 89 (82,4%), p=0,0004</w:t>
      </w:r>
      <w:r w:rsidR="0062573A" w:rsidRPr="0062573A">
        <w:rPr>
          <w:rFonts w:cstheme="minorHAnsi"/>
        </w:rPr>
        <w:t xml:space="preserve">. </w:t>
      </w:r>
    </w:p>
    <w:p w:rsidR="005A6728" w:rsidRPr="00172C6A" w:rsidRDefault="005A6728" w:rsidP="0096342B">
      <w:pPr>
        <w:spacing w:after="120" w:line="360" w:lineRule="auto"/>
        <w:jc w:val="both"/>
        <w:rPr>
          <w:rFonts w:cstheme="minorHAnsi"/>
        </w:rPr>
      </w:pPr>
      <w:r>
        <w:rPr>
          <w:rFonts w:cstheme="minorHAnsi"/>
          <w:u w:val="single"/>
        </w:rPr>
        <w:t xml:space="preserve">Tempo decorrido entre o diagnóstico e a </w:t>
      </w:r>
      <w:r w:rsidRPr="005A6728">
        <w:rPr>
          <w:rFonts w:cstheme="minorHAnsi"/>
          <w:u w:val="single"/>
        </w:rPr>
        <w:t>cirurgia</w:t>
      </w:r>
      <w:r>
        <w:rPr>
          <w:rFonts w:cstheme="minorHAnsi"/>
        </w:rPr>
        <w:t>: Inferior ou igual a 4 dias: CL 250 (60,6%) e CA 84 (77,7%), p=0,0010; Superior a 4 dias: CL 161 (39,0%) e CA 23 (21,2%), p=0,0006.</w:t>
      </w:r>
    </w:p>
    <w:p w:rsidR="00873D89" w:rsidRPr="001F077B" w:rsidRDefault="00873D89" w:rsidP="0096342B">
      <w:pPr>
        <w:spacing w:after="120" w:line="360" w:lineRule="auto"/>
        <w:jc w:val="both"/>
        <w:rPr>
          <w:rFonts w:cstheme="minorHAnsi"/>
        </w:rPr>
      </w:pPr>
      <w:r w:rsidRPr="00172C6A">
        <w:rPr>
          <w:rFonts w:cstheme="minorHAnsi"/>
          <w:u w:val="single"/>
        </w:rPr>
        <w:t>ASA III e IV</w:t>
      </w:r>
      <w:r w:rsidRPr="00172C6A">
        <w:rPr>
          <w:rFonts w:cstheme="minorHAnsi"/>
        </w:rPr>
        <w:t>: CL 85 (</w:t>
      </w:r>
      <w:r w:rsidR="00B977DC">
        <w:rPr>
          <w:rFonts w:cstheme="minorHAnsi"/>
        </w:rPr>
        <w:t>20</w:t>
      </w:r>
      <w:r w:rsidRPr="00B977DC">
        <w:rPr>
          <w:rFonts w:cstheme="minorHAnsi"/>
        </w:rPr>
        <w:t>,</w:t>
      </w:r>
      <w:r w:rsidR="00B977DC">
        <w:rPr>
          <w:rFonts w:cstheme="minorHAnsi"/>
        </w:rPr>
        <w:t>6</w:t>
      </w:r>
      <w:r w:rsidR="005A6728">
        <w:rPr>
          <w:rFonts w:cstheme="minorHAnsi"/>
        </w:rPr>
        <w:t>%) e</w:t>
      </w:r>
      <w:r w:rsidRPr="00B977DC">
        <w:rPr>
          <w:rFonts w:cstheme="minorHAnsi"/>
        </w:rPr>
        <w:t xml:space="preserve"> CA 40 (37,</w:t>
      </w:r>
      <w:r w:rsidR="00B977DC">
        <w:rPr>
          <w:rFonts w:cstheme="minorHAnsi"/>
        </w:rPr>
        <w:t>0</w:t>
      </w:r>
      <w:r w:rsidRPr="00B977DC">
        <w:rPr>
          <w:rFonts w:cstheme="minorHAnsi"/>
        </w:rPr>
        <w:t>%); p=</w:t>
      </w:r>
      <w:r w:rsidR="00670A5A">
        <w:rPr>
          <w:rFonts w:cstheme="minorHAnsi"/>
        </w:rPr>
        <w:t>0,0006.</w:t>
      </w:r>
    </w:p>
    <w:p w:rsidR="0089216B" w:rsidRPr="00172C6A" w:rsidRDefault="0089216B" w:rsidP="0096342B">
      <w:pPr>
        <w:spacing w:after="120" w:line="360" w:lineRule="auto"/>
        <w:jc w:val="both"/>
        <w:rPr>
          <w:rFonts w:cstheme="minorHAnsi"/>
          <w:b/>
          <w:u w:val="single"/>
        </w:rPr>
      </w:pPr>
      <w:r w:rsidRPr="00172C6A">
        <w:rPr>
          <w:rFonts w:cstheme="minorHAnsi"/>
          <w:u w:val="single"/>
        </w:rPr>
        <w:t xml:space="preserve">Complicações </w:t>
      </w:r>
      <w:proofErr w:type="spellStart"/>
      <w:r w:rsidRPr="00172C6A">
        <w:rPr>
          <w:rFonts w:cstheme="minorHAnsi"/>
          <w:u w:val="single"/>
        </w:rPr>
        <w:t>intra-operatórias</w:t>
      </w:r>
      <w:proofErr w:type="spellEnd"/>
      <w:r w:rsidRPr="00172C6A">
        <w:rPr>
          <w:rFonts w:cstheme="minorHAnsi"/>
        </w:rPr>
        <w:t xml:space="preserve">: registaram-se 15 </w:t>
      </w:r>
      <w:r w:rsidR="00B756AC" w:rsidRPr="00172C6A">
        <w:rPr>
          <w:rFonts w:cstheme="minorHAnsi"/>
        </w:rPr>
        <w:t xml:space="preserve">(3,6%) </w:t>
      </w:r>
      <w:r w:rsidRPr="00172C6A">
        <w:rPr>
          <w:rFonts w:cstheme="minorHAnsi"/>
        </w:rPr>
        <w:t>na CL</w:t>
      </w:r>
      <w:r w:rsidR="006162ED" w:rsidRPr="00172C6A">
        <w:rPr>
          <w:rFonts w:cstheme="minorHAnsi"/>
        </w:rPr>
        <w:t xml:space="preserve"> e 14 </w:t>
      </w:r>
      <w:r w:rsidR="00B756AC" w:rsidRPr="00172C6A">
        <w:rPr>
          <w:rFonts w:cstheme="minorHAnsi"/>
        </w:rPr>
        <w:t>(12,9%)</w:t>
      </w:r>
      <w:r w:rsidR="00B756AC">
        <w:rPr>
          <w:rFonts w:cstheme="minorHAnsi"/>
        </w:rPr>
        <w:t xml:space="preserve"> </w:t>
      </w:r>
      <w:r w:rsidR="006162ED" w:rsidRPr="00172C6A">
        <w:rPr>
          <w:rFonts w:cstheme="minorHAnsi"/>
        </w:rPr>
        <w:t>na CA</w:t>
      </w:r>
      <w:r w:rsidRPr="00172C6A">
        <w:rPr>
          <w:rFonts w:cstheme="minorHAnsi"/>
        </w:rPr>
        <w:t xml:space="preserve"> </w:t>
      </w:r>
      <w:r w:rsidR="00B756AC">
        <w:rPr>
          <w:rFonts w:cstheme="minorHAnsi"/>
        </w:rPr>
        <w:t>(</w:t>
      </w:r>
      <w:r w:rsidRPr="00172C6A">
        <w:rPr>
          <w:rFonts w:cstheme="minorHAnsi"/>
        </w:rPr>
        <w:t>p=0,0</w:t>
      </w:r>
      <w:r w:rsidR="00344FA2">
        <w:rPr>
          <w:rFonts w:cstheme="minorHAnsi"/>
        </w:rPr>
        <w:t>0</w:t>
      </w:r>
      <w:r w:rsidRPr="00172C6A">
        <w:rPr>
          <w:rFonts w:cstheme="minorHAnsi"/>
        </w:rPr>
        <w:t>06</w:t>
      </w:r>
      <w:r w:rsidR="00B756AC">
        <w:rPr>
          <w:rFonts w:cstheme="minorHAnsi"/>
        </w:rPr>
        <w:t>)</w:t>
      </w:r>
      <w:r w:rsidRPr="00172C6A">
        <w:rPr>
          <w:rFonts w:cstheme="minorHAnsi"/>
        </w:rPr>
        <w:t>.</w:t>
      </w:r>
    </w:p>
    <w:p w:rsidR="0089216B" w:rsidRPr="00172C6A" w:rsidRDefault="0089216B" w:rsidP="0096342B">
      <w:pPr>
        <w:spacing w:after="120" w:line="360" w:lineRule="auto"/>
        <w:jc w:val="both"/>
        <w:rPr>
          <w:rFonts w:cstheme="minorHAnsi"/>
        </w:rPr>
      </w:pPr>
      <w:r w:rsidRPr="00172C6A">
        <w:rPr>
          <w:rFonts w:cstheme="minorHAnsi"/>
        </w:rPr>
        <w:t xml:space="preserve">Nos 15 casos de CL, </w:t>
      </w:r>
      <w:r w:rsidR="006162ED" w:rsidRPr="00172C6A">
        <w:rPr>
          <w:rFonts w:cstheme="minorHAnsi"/>
        </w:rPr>
        <w:t>houve as seguintes complicações</w:t>
      </w:r>
      <w:r w:rsidRPr="00172C6A">
        <w:rPr>
          <w:rFonts w:cstheme="minorHAnsi"/>
        </w:rPr>
        <w:t xml:space="preserve">: 2 lesões da VBP, 4 hemorragias, 3 lesões biliares </w:t>
      </w:r>
      <w:proofErr w:type="spellStart"/>
      <w:r w:rsidRPr="00172C6A">
        <w:rPr>
          <w:rFonts w:cstheme="minorHAnsi"/>
          <w:i/>
        </w:rPr>
        <w:t>minor</w:t>
      </w:r>
      <w:proofErr w:type="spellEnd"/>
      <w:r w:rsidRPr="00172C6A">
        <w:rPr>
          <w:rFonts w:cstheme="minorHAnsi"/>
        </w:rPr>
        <w:t xml:space="preserve"> (</w:t>
      </w:r>
      <w:r w:rsidR="006162ED" w:rsidRPr="00172C6A">
        <w:rPr>
          <w:rFonts w:cstheme="minorHAnsi"/>
        </w:rPr>
        <w:t xml:space="preserve">2 </w:t>
      </w:r>
      <w:r w:rsidRPr="00172C6A">
        <w:rPr>
          <w:rFonts w:cstheme="minorHAnsi"/>
        </w:rPr>
        <w:t xml:space="preserve">no decurso de fístula </w:t>
      </w:r>
      <w:proofErr w:type="spellStart"/>
      <w:r w:rsidRPr="00172C6A">
        <w:rPr>
          <w:rFonts w:cstheme="minorHAnsi"/>
        </w:rPr>
        <w:t>colecisto</w:t>
      </w:r>
      <w:proofErr w:type="spellEnd"/>
      <w:r w:rsidRPr="00172C6A">
        <w:rPr>
          <w:rFonts w:cstheme="minorHAnsi"/>
        </w:rPr>
        <w:t xml:space="preserve">-duodenal e </w:t>
      </w:r>
      <w:r w:rsidR="006162ED" w:rsidRPr="00172C6A">
        <w:rPr>
          <w:rFonts w:cstheme="minorHAnsi"/>
        </w:rPr>
        <w:t xml:space="preserve">1 </w:t>
      </w:r>
      <w:r w:rsidRPr="00172C6A">
        <w:rPr>
          <w:rFonts w:cstheme="minorHAnsi"/>
        </w:rPr>
        <w:t xml:space="preserve">na tentativa de extração de cálculo </w:t>
      </w:r>
      <w:proofErr w:type="spellStart"/>
      <w:r w:rsidRPr="00172C6A">
        <w:rPr>
          <w:rFonts w:cstheme="minorHAnsi"/>
        </w:rPr>
        <w:t>coledócico</w:t>
      </w:r>
      <w:proofErr w:type="spellEnd"/>
      <w:r w:rsidR="00FD6679">
        <w:rPr>
          <w:rFonts w:cstheme="minorHAnsi"/>
        </w:rPr>
        <w:t>, não diagnosticado pré-operatoriamente</w:t>
      </w:r>
      <w:r w:rsidRPr="00172C6A">
        <w:rPr>
          <w:rFonts w:cstheme="minorHAnsi"/>
        </w:rPr>
        <w:t>), 6</w:t>
      </w:r>
      <w:r w:rsidR="006162ED" w:rsidRPr="00172C6A">
        <w:rPr>
          <w:rFonts w:cstheme="minorHAnsi"/>
        </w:rPr>
        <w:t xml:space="preserve"> </w:t>
      </w:r>
      <w:r w:rsidRPr="00172C6A">
        <w:rPr>
          <w:rFonts w:cstheme="minorHAnsi"/>
        </w:rPr>
        <w:t>perfurações vesiculares.</w:t>
      </w:r>
      <w:r w:rsidR="006162ED" w:rsidRPr="00172C6A">
        <w:rPr>
          <w:rFonts w:cstheme="minorHAnsi"/>
        </w:rPr>
        <w:t xml:space="preserve"> </w:t>
      </w:r>
      <w:r w:rsidRPr="00172C6A">
        <w:rPr>
          <w:rFonts w:cstheme="minorHAnsi"/>
        </w:rPr>
        <w:t>Nos 14 operados de CA</w:t>
      </w:r>
      <w:r w:rsidR="00873D89" w:rsidRPr="00172C6A">
        <w:rPr>
          <w:rFonts w:cstheme="minorHAnsi"/>
        </w:rPr>
        <w:t>,</w:t>
      </w:r>
      <w:r w:rsidRPr="00172C6A">
        <w:rPr>
          <w:rFonts w:cstheme="minorHAnsi"/>
        </w:rPr>
        <w:t xml:space="preserve"> verificaram-se 3 lacera</w:t>
      </w:r>
      <w:r w:rsidR="00873D89" w:rsidRPr="00172C6A">
        <w:rPr>
          <w:rFonts w:cstheme="minorHAnsi"/>
        </w:rPr>
        <w:t>ções císticas, 1 lesão da VBP, 2</w:t>
      </w:r>
      <w:r w:rsidRPr="00172C6A">
        <w:rPr>
          <w:rFonts w:cstheme="minorHAnsi"/>
        </w:rPr>
        <w:t xml:space="preserve"> hemorragias, 6 perfurações vesiculares, 2 perfurações entéricas.</w:t>
      </w:r>
    </w:p>
    <w:p w:rsidR="00873D89" w:rsidRPr="00172C6A" w:rsidRDefault="00873D89" w:rsidP="0096342B">
      <w:pPr>
        <w:spacing w:after="120" w:line="360" w:lineRule="auto"/>
        <w:jc w:val="both"/>
        <w:rPr>
          <w:rFonts w:cstheme="minorHAnsi"/>
        </w:rPr>
      </w:pPr>
    </w:p>
    <w:p w:rsidR="004131F0" w:rsidRPr="00172C6A" w:rsidRDefault="004131F0" w:rsidP="0096342B">
      <w:pPr>
        <w:spacing w:after="120" w:line="360" w:lineRule="auto"/>
        <w:jc w:val="both"/>
        <w:rPr>
          <w:rFonts w:cstheme="minorHAnsi"/>
        </w:rPr>
      </w:pPr>
      <w:r w:rsidRPr="00172C6A">
        <w:rPr>
          <w:rFonts w:cstheme="minorHAnsi"/>
          <w:u w:val="single"/>
        </w:rPr>
        <w:t>Complicações pós-operatórias</w:t>
      </w:r>
      <w:r w:rsidR="005C11F4">
        <w:rPr>
          <w:rFonts w:cstheme="minorHAnsi"/>
        </w:rPr>
        <w:t>:</w:t>
      </w:r>
    </w:p>
    <w:p w:rsidR="004131F0" w:rsidRPr="00172C6A" w:rsidRDefault="004131F0" w:rsidP="0096342B">
      <w:pPr>
        <w:pStyle w:val="PargrafodaLista"/>
        <w:numPr>
          <w:ilvl w:val="0"/>
          <w:numId w:val="4"/>
        </w:numPr>
        <w:spacing w:after="120" w:line="360" w:lineRule="auto"/>
        <w:contextualSpacing w:val="0"/>
        <w:jc w:val="both"/>
        <w:rPr>
          <w:rFonts w:cstheme="minorHAnsi"/>
        </w:rPr>
      </w:pPr>
      <w:r w:rsidRPr="00172C6A">
        <w:rPr>
          <w:rFonts w:cstheme="minorHAnsi"/>
          <w:u w:val="single"/>
        </w:rPr>
        <w:t>Cirúrgicas</w:t>
      </w:r>
      <w:r w:rsidR="006162ED" w:rsidRPr="00172C6A">
        <w:rPr>
          <w:rFonts w:cstheme="minorHAnsi"/>
        </w:rPr>
        <w:t>: a seguir à CL 32 (7,7%) e na CA</w:t>
      </w:r>
      <w:r w:rsidRPr="00172C6A">
        <w:rPr>
          <w:rFonts w:cstheme="minorHAnsi"/>
        </w:rPr>
        <w:t xml:space="preserve"> 19 (17,5%)</w:t>
      </w:r>
      <w:r w:rsidR="00664CEF">
        <w:rPr>
          <w:rFonts w:cstheme="minorHAnsi"/>
        </w:rPr>
        <w:t>;</w:t>
      </w:r>
      <w:r w:rsidRPr="00172C6A">
        <w:rPr>
          <w:rFonts w:cstheme="minorHAnsi"/>
        </w:rPr>
        <w:t xml:space="preserve"> p=0,0055</w:t>
      </w:r>
      <w:r w:rsidR="00664CEF">
        <w:rPr>
          <w:rFonts w:cstheme="minorHAnsi"/>
        </w:rPr>
        <w:t>.</w:t>
      </w:r>
    </w:p>
    <w:p w:rsidR="004131F0" w:rsidRPr="00172C6A" w:rsidRDefault="004131F0" w:rsidP="0096342B">
      <w:pPr>
        <w:spacing w:after="120" w:line="360" w:lineRule="auto"/>
        <w:jc w:val="both"/>
        <w:rPr>
          <w:rFonts w:cstheme="minorHAnsi"/>
        </w:rPr>
      </w:pPr>
      <w:r w:rsidRPr="00172C6A">
        <w:rPr>
          <w:rFonts w:cstheme="minorHAnsi"/>
        </w:rPr>
        <w:t xml:space="preserve">Nas 32 CL registaram-se: 11 abcessos abdominais; 2 abcessos </w:t>
      </w:r>
      <w:proofErr w:type="spellStart"/>
      <w:r w:rsidRPr="00172C6A">
        <w:rPr>
          <w:rFonts w:cstheme="minorHAnsi"/>
        </w:rPr>
        <w:t>sub-frénico</w:t>
      </w:r>
      <w:r w:rsidR="00FA4414" w:rsidRPr="00172C6A">
        <w:rPr>
          <w:rFonts w:cstheme="minorHAnsi"/>
        </w:rPr>
        <w:t>s</w:t>
      </w:r>
      <w:proofErr w:type="spellEnd"/>
      <w:r w:rsidRPr="00172C6A">
        <w:rPr>
          <w:rFonts w:cstheme="minorHAnsi"/>
        </w:rPr>
        <w:t xml:space="preserve">; ;5 infeções ao nível das portas; 1 eventração (consecutiva a técnica de Hassan); 2 </w:t>
      </w:r>
      <w:proofErr w:type="spellStart"/>
      <w:r w:rsidRPr="00172C6A">
        <w:rPr>
          <w:rFonts w:cstheme="minorHAnsi"/>
        </w:rPr>
        <w:t>hemoperitoneos</w:t>
      </w:r>
      <w:proofErr w:type="spellEnd"/>
      <w:r w:rsidRPr="00172C6A">
        <w:rPr>
          <w:rFonts w:cstheme="minorHAnsi"/>
        </w:rPr>
        <w:t xml:space="preserve">; 1 amputação do dedo do pé (diabético); 2 lesões biliares; 8 </w:t>
      </w:r>
      <w:proofErr w:type="spellStart"/>
      <w:r w:rsidRPr="00172C6A">
        <w:rPr>
          <w:rFonts w:cstheme="minorHAnsi"/>
        </w:rPr>
        <w:t>bilomas</w:t>
      </w:r>
      <w:proofErr w:type="spellEnd"/>
      <w:r w:rsidRPr="00172C6A">
        <w:rPr>
          <w:rFonts w:cstheme="minorHAnsi"/>
        </w:rPr>
        <w:t>.</w:t>
      </w:r>
      <w:r w:rsidR="006162ED" w:rsidRPr="00172C6A">
        <w:rPr>
          <w:rFonts w:cstheme="minorHAnsi"/>
        </w:rPr>
        <w:t xml:space="preserve"> </w:t>
      </w:r>
      <w:r w:rsidRPr="00172C6A">
        <w:rPr>
          <w:rFonts w:cstheme="minorHAnsi"/>
        </w:rPr>
        <w:t>Nas 19 CA observaram-se: 5 abcessos abdominai</w:t>
      </w:r>
      <w:r w:rsidR="001E2262" w:rsidRPr="00172C6A">
        <w:rPr>
          <w:rFonts w:cstheme="minorHAnsi"/>
        </w:rPr>
        <w:t>s, 4</w:t>
      </w:r>
      <w:r w:rsidRPr="00172C6A">
        <w:rPr>
          <w:rFonts w:cstheme="minorHAnsi"/>
        </w:rPr>
        <w:t xml:space="preserve"> </w:t>
      </w:r>
      <w:proofErr w:type="spellStart"/>
      <w:r w:rsidRPr="00172C6A">
        <w:rPr>
          <w:rFonts w:cstheme="minorHAnsi"/>
        </w:rPr>
        <w:t>bilomas</w:t>
      </w:r>
      <w:proofErr w:type="spellEnd"/>
      <w:r w:rsidRPr="00172C6A">
        <w:rPr>
          <w:rFonts w:cstheme="minorHAnsi"/>
        </w:rPr>
        <w:t xml:space="preserve">, 1 lesão biliar, 1 perfuração cólica, 2 </w:t>
      </w:r>
      <w:proofErr w:type="spellStart"/>
      <w:r w:rsidRPr="00172C6A">
        <w:rPr>
          <w:rFonts w:cstheme="minorHAnsi"/>
        </w:rPr>
        <w:t>hemoperitoneos</w:t>
      </w:r>
      <w:proofErr w:type="spellEnd"/>
      <w:r w:rsidRPr="00172C6A">
        <w:rPr>
          <w:rFonts w:cstheme="minorHAnsi"/>
        </w:rPr>
        <w:t xml:space="preserve">; 1 oclusão com evisceração, </w:t>
      </w:r>
      <w:r w:rsidR="001E2262" w:rsidRPr="00172C6A">
        <w:rPr>
          <w:rFonts w:cstheme="minorHAnsi"/>
        </w:rPr>
        <w:t>2 eventrações e 3</w:t>
      </w:r>
      <w:r w:rsidRPr="00172C6A">
        <w:rPr>
          <w:rFonts w:cstheme="minorHAnsi"/>
        </w:rPr>
        <w:t xml:space="preserve"> infeções da pared</w:t>
      </w:r>
      <w:r w:rsidR="00A47992">
        <w:rPr>
          <w:rFonts w:cstheme="minorHAnsi"/>
        </w:rPr>
        <w:t xml:space="preserve">e. </w:t>
      </w:r>
      <w:bookmarkStart w:id="0" w:name="_GoBack"/>
      <w:bookmarkEnd w:id="0"/>
      <w:r w:rsidRPr="00A47992">
        <w:rPr>
          <w:rFonts w:cstheme="minorHAnsi"/>
          <w:strike/>
          <w:highlight w:val="yellow"/>
        </w:rPr>
        <w:t xml:space="preserve">A leucocitose foi </w:t>
      </w:r>
      <w:r w:rsidR="00DF03B6" w:rsidRPr="00A47992">
        <w:rPr>
          <w:rFonts w:cstheme="minorHAnsi"/>
          <w:strike/>
          <w:highlight w:val="yellow"/>
        </w:rPr>
        <w:t>superior</w:t>
      </w:r>
      <w:r w:rsidRPr="00A47992">
        <w:rPr>
          <w:rFonts w:cstheme="minorHAnsi"/>
          <w:strike/>
          <w:highlight w:val="yellow"/>
        </w:rPr>
        <w:t xml:space="preserve"> a 12.000.000 leucócitos em 267 operados por CL (64,8%) e </w:t>
      </w:r>
      <w:r w:rsidR="00664CEF" w:rsidRPr="00A47992">
        <w:rPr>
          <w:rFonts w:cstheme="minorHAnsi"/>
          <w:strike/>
          <w:highlight w:val="yellow"/>
        </w:rPr>
        <w:t xml:space="preserve">em </w:t>
      </w:r>
      <w:r w:rsidRPr="00A47992">
        <w:rPr>
          <w:rFonts w:cstheme="minorHAnsi"/>
          <w:strike/>
          <w:highlight w:val="yellow"/>
        </w:rPr>
        <w:t>89 (82,3%) por CA</w:t>
      </w:r>
      <w:r w:rsidRPr="00A47992">
        <w:rPr>
          <w:rFonts w:cstheme="minorHAnsi"/>
          <w:strike/>
        </w:rPr>
        <w:t>.</w:t>
      </w:r>
    </w:p>
    <w:p w:rsidR="004131F0" w:rsidRPr="00172C6A" w:rsidRDefault="004131F0" w:rsidP="0096342B">
      <w:pPr>
        <w:pStyle w:val="PargrafodaLista"/>
        <w:numPr>
          <w:ilvl w:val="0"/>
          <w:numId w:val="4"/>
        </w:numPr>
        <w:spacing w:after="120" w:line="360" w:lineRule="auto"/>
        <w:contextualSpacing w:val="0"/>
        <w:jc w:val="both"/>
        <w:rPr>
          <w:rFonts w:cstheme="minorHAnsi"/>
        </w:rPr>
      </w:pPr>
      <w:r w:rsidRPr="00172C6A">
        <w:rPr>
          <w:rFonts w:cstheme="minorHAnsi"/>
          <w:u w:val="single"/>
        </w:rPr>
        <w:t>Médicas</w:t>
      </w:r>
      <w:r w:rsidR="006162ED" w:rsidRPr="00172C6A">
        <w:rPr>
          <w:rFonts w:cstheme="minorHAnsi"/>
        </w:rPr>
        <w:t>: CL 18 (4,3%)</w:t>
      </w:r>
      <w:r w:rsidR="001E6480">
        <w:rPr>
          <w:rFonts w:cstheme="minorHAnsi"/>
        </w:rPr>
        <w:t xml:space="preserve"> </w:t>
      </w:r>
      <w:r w:rsidR="006162ED" w:rsidRPr="00172C6A">
        <w:rPr>
          <w:rFonts w:cstheme="minorHAnsi"/>
        </w:rPr>
        <w:t xml:space="preserve">e CA 6 (5,5%); </w:t>
      </w:r>
      <w:r w:rsidRPr="00172C6A">
        <w:rPr>
          <w:rFonts w:cstheme="minorHAnsi"/>
        </w:rPr>
        <w:t>p=06077.</w:t>
      </w:r>
    </w:p>
    <w:p w:rsidR="00DF03B6" w:rsidRPr="00172C6A" w:rsidRDefault="004131F0" w:rsidP="0096342B">
      <w:pPr>
        <w:spacing w:after="120" w:line="360" w:lineRule="auto"/>
        <w:jc w:val="both"/>
        <w:rPr>
          <w:rFonts w:cstheme="minorHAnsi"/>
        </w:rPr>
      </w:pPr>
      <w:r w:rsidRPr="00172C6A">
        <w:rPr>
          <w:rFonts w:cstheme="minorHAnsi"/>
        </w:rPr>
        <w:t xml:space="preserve">No pós-operatório </w:t>
      </w:r>
      <w:r w:rsidR="00FA4414" w:rsidRPr="00172C6A">
        <w:rPr>
          <w:rFonts w:cstheme="minorHAnsi"/>
        </w:rPr>
        <w:t>manifestaram</w:t>
      </w:r>
      <w:r w:rsidRPr="00172C6A">
        <w:rPr>
          <w:rFonts w:cstheme="minorHAnsi"/>
        </w:rPr>
        <w:t>-se 18 complicações de foro médico</w:t>
      </w:r>
      <w:r w:rsidR="001E6480">
        <w:rPr>
          <w:rFonts w:cstheme="minorHAnsi"/>
        </w:rPr>
        <w:t xml:space="preserve">: 12 </w:t>
      </w:r>
      <w:r w:rsidRPr="00172C6A">
        <w:rPr>
          <w:rFonts w:cstheme="minorHAnsi"/>
        </w:rPr>
        <w:t>(4,3%</w:t>
      </w:r>
      <w:r w:rsidR="001E6480">
        <w:rPr>
          <w:rFonts w:cstheme="minorHAnsi"/>
        </w:rPr>
        <w:t>)</w:t>
      </w:r>
      <w:r w:rsidRPr="00172C6A">
        <w:rPr>
          <w:rFonts w:cstheme="minorHAnsi"/>
        </w:rPr>
        <w:t xml:space="preserve"> na CL e 6 </w:t>
      </w:r>
      <w:r w:rsidR="001E6480">
        <w:rPr>
          <w:rFonts w:cstheme="minorHAnsi"/>
        </w:rPr>
        <w:t xml:space="preserve">(5,5%) </w:t>
      </w:r>
      <w:r w:rsidRPr="00172C6A">
        <w:rPr>
          <w:rFonts w:cstheme="minorHAnsi"/>
        </w:rPr>
        <w:t xml:space="preserve">a seguir à CA </w:t>
      </w:r>
      <w:r w:rsidRPr="00D237D1">
        <w:rPr>
          <w:rFonts w:cstheme="minorHAnsi"/>
        </w:rPr>
        <w:t xml:space="preserve"> </w:t>
      </w:r>
      <w:r w:rsidR="00664CEF">
        <w:rPr>
          <w:rFonts w:cstheme="minorHAnsi"/>
        </w:rPr>
        <w:t>(</w:t>
      </w:r>
      <w:r w:rsidRPr="00D237D1">
        <w:rPr>
          <w:rFonts w:cstheme="minorHAnsi"/>
        </w:rPr>
        <w:t>p=0,607</w:t>
      </w:r>
      <w:r w:rsidR="00D237D1">
        <w:rPr>
          <w:rFonts w:cstheme="minorHAnsi"/>
        </w:rPr>
        <w:t>)</w:t>
      </w:r>
      <w:r w:rsidRPr="00D237D1">
        <w:rPr>
          <w:rFonts w:cstheme="minorHAnsi"/>
        </w:rPr>
        <w:t>.</w:t>
      </w:r>
      <w:r w:rsidR="00DF03B6" w:rsidRPr="00D237D1">
        <w:rPr>
          <w:rFonts w:cstheme="minorHAnsi"/>
        </w:rPr>
        <w:t xml:space="preserve"> </w:t>
      </w:r>
      <w:r w:rsidRPr="00D237D1">
        <w:rPr>
          <w:rFonts w:cstheme="minorHAnsi"/>
        </w:rPr>
        <w:t>Entre as primeira</w:t>
      </w:r>
      <w:r w:rsidR="00DF03B6" w:rsidRPr="00D237D1">
        <w:rPr>
          <w:rFonts w:cstheme="minorHAnsi"/>
        </w:rPr>
        <w:t xml:space="preserve">s contavam-se 9 </w:t>
      </w:r>
      <w:r w:rsidRPr="00D237D1">
        <w:rPr>
          <w:rFonts w:cstheme="minorHAnsi"/>
        </w:rPr>
        <w:t>respiratóri</w:t>
      </w:r>
      <w:r w:rsidR="00DF03B6" w:rsidRPr="00D237D1">
        <w:rPr>
          <w:rFonts w:cstheme="minorHAnsi"/>
        </w:rPr>
        <w:t>as</w:t>
      </w:r>
      <w:r w:rsidRPr="00D237D1">
        <w:rPr>
          <w:rFonts w:cstheme="minorHAnsi"/>
        </w:rPr>
        <w:t xml:space="preserve">, 4 renais, 3 </w:t>
      </w:r>
      <w:r w:rsidR="00FA4414" w:rsidRPr="00D237D1">
        <w:rPr>
          <w:rFonts w:cstheme="minorHAnsi"/>
        </w:rPr>
        <w:t>cardiovasculares</w:t>
      </w:r>
      <w:r w:rsidRPr="00D237D1">
        <w:rPr>
          <w:rFonts w:cstheme="minorHAnsi"/>
        </w:rPr>
        <w:t>, 1 embolia pulmonar e 1 celulite dos membros inferiores</w:t>
      </w:r>
      <w:r w:rsidR="006162ED" w:rsidRPr="001F077B">
        <w:rPr>
          <w:rFonts w:cstheme="minorHAnsi"/>
        </w:rPr>
        <w:t xml:space="preserve">. </w:t>
      </w:r>
      <w:r w:rsidRPr="001F077B">
        <w:rPr>
          <w:rFonts w:cstheme="minorHAnsi"/>
        </w:rPr>
        <w:t xml:space="preserve">Nas segundas, instalaram-se 2 pneumonias, 1 hipoglicemia, 1 íleo paralítico, 1 renal e 1 </w:t>
      </w:r>
      <w:r w:rsidR="002C5130" w:rsidRPr="00172C6A">
        <w:rPr>
          <w:rFonts w:cstheme="minorHAnsi"/>
        </w:rPr>
        <w:t>cardiovascular</w:t>
      </w:r>
      <w:r w:rsidRPr="00172C6A">
        <w:rPr>
          <w:rFonts w:cstheme="minorHAnsi"/>
        </w:rPr>
        <w:t xml:space="preserve">. </w:t>
      </w:r>
    </w:p>
    <w:p w:rsidR="004131F0" w:rsidRPr="00172C6A" w:rsidRDefault="004131F0" w:rsidP="0096342B">
      <w:pPr>
        <w:spacing w:after="120" w:line="360" w:lineRule="auto"/>
        <w:jc w:val="both"/>
        <w:rPr>
          <w:rFonts w:cstheme="minorHAnsi"/>
        </w:rPr>
      </w:pPr>
      <w:r w:rsidRPr="00172C6A">
        <w:rPr>
          <w:rFonts w:cstheme="minorHAnsi"/>
          <w:u w:val="single"/>
        </w:rPr>
        <w:t>Mortalidade operatória</w:t>
      </w:r>
      <w:r w:rsidR="00DF03B6" w:rsidRPr="00172C6A">
        <w:rPr>
          <w:rFonts w:cstheme="minorHAnsi"/>
        </w:rPr>
        <w:t>:</w:t>
      </w:r>
      <w:r w:rsidRPr="00172C6A">
        <w:rPr>
          <w:rFonts w:cstheme="minorHAnsi"/>
        </w:rPr>
        <w:t xml:space="preserve"> Houve 7 óbitos, sendo 3 (0,7%) na CL e 4 na CA (3,7%)</w:t>
      </w:r>
      <w:r w:rsidR="004D7F73">
        <w:rPr>
          <w:rFonts w:cstheme="minorHAnsi"/>
        </w:rPr>
        <w:t xml:space="preserve">; </w:t>
      </w:r>
      <w:r w:rsidRPr="00172C6A">
        <w:rPr>
          <w:rFonts w:cstheme="minorHAnsi"/>
        </w:rPr>
        <w:t>p=0,0369.</w:t>
      </w:r>
      <w:r w:rsidR="006162ED" w:rsidRPr="00172C6A">
        <w:rPr>
          <w:rFonts w:cstheme="minorHAnsi"/>
        </w:rPr>
        <w:t xml:space="preserve"> </w:t>
      </w:r>
      <w:r w:rsidRPr="00172C6A">
        <w:rPr>
          <w:rFonts w:cstheme="minorHAnsi"/>
        </w:rPr>
        <w:t xml:space="preserve">As causas de morte na CL </w:t>
      </w:r>
      <w:r w:rsidR="00D237D1" w:rsidRPr="009C2A57">
        <w:rPr>
          <w:rFonts w:cstheme="minorHAnsi"/>
        </w:rPr>
        <w:t>foram</w:t>
      </w:r>
      <w:r w:rsidRPr="00D237D1">
        <w:rPr>
          <w:rFonts w:cstheme="minorHAnsi"/>
        </w:rPr>
        <w:t xml:space="preserve">: 1 AVC, 1 </w:t>
      </w:r>
      <w:proofErr w:type="spellStart"/>
      <w:r w:rsidRPr="00D237D1">
        <w:rPr>
          <w:rFonts w:cstheme="minorHAnsi"/>
        </w:rPr>
        <w:t>peritionite</w:t>
      </w:r>
      <w:proofErr w:type="spellEnd"/>
      <w:r w:rsidRPr="00D237D1">
        <w:rPr>
          <w:rFonts w:cstheme="minorHAnsi"/>
        </w:rPr>
        <w:t xml:space="preserve"> biliar com choque séptico</w:t>
      </w:r>
      <w:r w:rsidR="001E2262" w:rsidRPr="00D237D1">
        <w:rPr>
          <w:rFonts w:cstheme="minorHAnsi"/>
        </w:rPr>
        <w:t xml:space="preserve"> e</w:t>
      </w:r>
      <w:r w:rsidRPr="00D237D1">
        <w:rPr>
          <w:rFonts w:cstheme="minorHAnsi"/>
        </w:rPr>
        <w:t xml:space="preserve"> 1 lesão da via biliar principal.</w:t>
      </w:r>
      <w:r w:rsidR="006162ED" w:rsidRPr="00D237D1">
        <w:rPr>
          <w:rFonts w:cstheme="minorHAnsi"/>
        </w:rPr>
        <w:t xml:space="preserve"> </w:t>
      </w:r>
      <w:r w:rsidRPr="00D237D1">
        <w:rPr>
          <w:rFonts w:cstheme="minorHAnsi"/>
        </w:rPr>
        <w:t>Na CA: 1 choque séptico consecutivo a abcesso abdominal, 1</w:t>
      </w:r>
      <w:r w:rsidRPr="00172C6A">
        <w:rPr>
          <w:rFonts w:cstheme="minorHAnsi"/>
        </w:rPr>
        <w:t xml:space="preserve"> lesão iatrogénica do </w:t>
      </w:r>
      <w:r w:rsidR="00664CEF" w:rsidRPr="00172C6A">
        <w:rPr>
          <w:rFonts w:cstheme="minorHAnsi"/>
        </w:rPr>
        <w:t>cólon</w:t>
      </w:r>
      <w:r w:rsidRPr="00172C6A">
        <w:rPr>
          <w:rFonts w:cstheme="minorHAnsi"/>
        </w:rPr>
        <w:t xml:space="preserve">, 1 falência </w:t>
      </w:r>
      <w:r w:rsidR="00664CEF" w:rsidRPr="00172C6A">
        <w:rPr>
          <w:rFonts w:cstheme="minorHAnsi"/>
        </w:rPr>
        <w:t>multiorgânica</w:t>
      </w:r>
      <w:r w:rsidRPr="00172C6A">
        <w:rPr>
          <w:rFonts w:cstheme="minorHAnsi"/>
        </w:rPr>
        <w:t>, 1 lesão da VBP. Nos 7 óbitos havia 5 colecistites gangrenosas (3 na CL e 2 na CA).</w:t>
      </w:r>
    </w:p>
    <w:p w:rsidR="004131F0" w:rsidRPr="00172C6A" w:rsidRDefault="004131F0" w:rsidP="0096342B">
      <w:pPr>
        <w:spacing w:after="120" w:line="360" w:lineRule="auto"/>
        <w:jc w:val="both"/>
        <w:rPr>
          <w:rFonts w:cstheme="minorHAnsi"/>
        </w:rPr>
      </w:pPr>
      <w:r w:rsidRPr="00172C6A">
        <w:rPr>
          <w:rFonts w:cstheme="minorHAnsi"/>
          <w:u w:val="single"/>
        </w:rPr>
        <w:t>Lesão biliar</w:t>
      </w:r>
      <w:r w:rsidR="006162ED" w:rsidRPr="00172C6A">
        <w:rPr>
          <w:rFonts w:cstheme="minorHAnsi"/>
        </w:rPr>
        <w:t xml:space="preserve">: </w:t>
      </w:r>
      <w:r w:rsidR="00BC3989">
        <w:rPr>
          <w:rFonts w:cstheme="minorHAnsi"/>
        </w:rPr>
        <w:t>R</w:t>
      </w:r>
      <w:r w:rsidRPr="00172C6A">
        <w:rPr>
          <w:rFonts w:cstheme="minorHAnsi"/>
        </w:rPr>
        <w:t xml:space="preserve">egistaram-se 6 lesões da VBP, 4 </w:t>
      </w:r>
      <w:r w:rsidR="004D7F73" w:rsidRPr="00172C6A">
        <w:rPr>
          <w:rFonts w:cstheme="minorHAnsi"/>
        </w:rPr>
        <w:t>(0,9%)</w:t>
      </w:r>
      <w:r w:rsidR="004D7F73">
        <w:rPr>
          <w:rFonts w:cstheme="minorHAnsi"/>
        </w:rPr>
        <w:t xml:space="preserve"> </w:t>
      </w:r>
      <w:r w:rsidRPr="00172C6A">
        <w:rPr>
          <w:rFonts w:cstheme="minorHAnsi"/>
        </w:rPr>
        <w:t xml:space="preserve">na CL e 2 </w:t>
      </w:r>
      <w:r w:rsidR="004D7F73" w:rsidRPr="00172C6A">
        <w:rPr>
          <w:rFonts w:cstheme="minorHAnsi"/>
        </w:rPr>
        <w:t>(1,8%)</w:t>
      </w:r>
      <w:r w:rsidR="004D7F73">
        <w:rPr>
          <w:rFonts w:cstheme="minorHAnsi"/>
        </w:rPr>
        <w:t xml:space="preserve"> na CA (</w:t>
      </w:r>
      <w:r w:rsidRPr="00172C6A">
        <w:rPr>
          <w:rFonts w:cstheme="minorHAnsi"/>
        </w:rPr>
        <w:t>p=0,6091</w:t>
      </w:r>
      <w:r w:rsidR="004D7F73">
        <w:rPr>
          <w:rFonts w:cstheme="minorHAnsi"/>
        </w:rPr>
        <w:t>)</w:t>
      </w:r>
      <w:r w:rsidRPr="00172C6A">
        <w:rPr>
          <w:rFonts w:cstheme="minorHAnsi"/>
        </w:rPr>
        <w:t>.</w:t>
      </w:r>
      <w:r w:rsidR="0089216B" w:rsidRPr="00172C6A">
        <w:rPr>
          <w:rFonts w:cstheme="minorHAnsi"/>
        </w:rPr>
        <w:t xml:space="preserve"> </w:t>
      </w:r>
      <w:r w:rsidRPr="00172C6A">
        <w:rPr>
          <w:rFonts w:cstheme="minorHAnsi"/>
        </w:rPr>
        <w:t xml:space="preserve">Destas 6 lesões, 3 foram diagnosticadas no </w:t>
      </w:r>
      <w:proofErr w:type="spellStart"/>
      <w:r w:rsidRPr="00172C6A">
        <w:rPr>
          <w:rFonts w:cstheme="minorHAnsi"/>
        </w:rPr>
        <w:t>per-operatório</w:t>
      </w:r>
      <w:proofErr w:type="spellEnd"/>
      <w:r w:rsidRPr="00172C6A">
        <w:rPr>
          <w:rFonts w:cstheme="minorHAnsi"/>
        </w:rPr>
        <w:t xml:space="preserve"> (2 CL e 1 CA) e 3 no pós-operatório imediato (2 CL e 1 CA).</w:t>
      </w:r>
    </w:p>
    <w:p w:rsidR="004131F0" w:rsidRPr="00D237D1" w:rsidRDefault="004131F0" w:rsidP="0096342B">
      <w:pPr>
        <w:spacing w:after="120" w:line="360" w:lineRule="auto"/>
        <w:jc w:val="both"/>
        <w:rPr>
          <w:rFonts w:cstheme="minorHAnsi"/>
        </w:rPr>
      </w:pPr>
      <w:r w:rsidRPr="00172C6A">
        <w:rPr>
          <w:rFonts w:cstheme="minorHAnsi"/>
          <w:u w:val="single"/>
        </w:rPr>
        <w:t>Conversões</w:t>
      </w:r>
      <w:r w:rsidR="0089216B" w:rsidRPr="00172C6A">
        <w:rPr>
          <w:rFonts w:cstheme="minorHAnsi"/>
        </w:rPr>
        <w:t xml:space="preserve">: </w:t>
      </w:r>
      <w:r w:rsidR="00BC3989">
        <w:rPr>
          <w:rFonts w:cstheme="minorHAnsi"/>
        </w:rPr>
        <w:t xml:space="preserve">Houve um total de </w:t>
      </w:r>
      <w:r w:rsidRPr="00172C6A">
        <w:rPr>
          <w:rFonts w:cstheme="minorHAnsi"/>
        </w:rPr>
        <w:t>44 conversões (10,6%)</w:t>
      </w:r>
      <w:r w:rsidR="00BC3989">
        <w:rPr>
          <w:rFonts w:cstheme="minorHAnsi"/>
        </w:rPr>
        <w:t>.</w:t>
      </w:r>
      <w:r w:rsidRPr="00172C6A">
        <w:rPr>
          <w:rFonts w:cstheme="minorHAnsi"/>
        </w:rPr>
        <w:t xml:space="preserve"> </w:t>
      </w:r>
      <w:r w:rsidR="00BC3989">
        <w:rPr>
          <w:rFonts w:cstheme="minorHAnsi"/>
        </w:rPr>
        <w:t xml:space="preserve">Nos indivíduos </w:t>
      </w:r>
      <w:r w:rsidRPr="00172C6A">
        <w:rPr>
          <w:rFonts w:cstheme="minorHAnsi"/>
        </w:rPr>
        <w:t>operados nos primeiro</w:t>
      </w:r>
      <w:r w:rsidR="001E2262" w:rsidRPr="00172C6A">
        <w:rPr>
          <w:rFonts w:cstheme="minorHAnsi"/>
        </w:rPr>
        <w:t>s</w:t>
      </w:r>
      <w:r w:rsidRPr="00172C6A">
        <w:rPr>
          <w:rFonts w:cstheme="minorHAnsi"/>
        </w:rPr>
        <w:t xml:space="preserve"> 4 dias </w:t>
      </w:r>
      <w:r w:rsidR="001E2262" w:rsidRPr="00172C6A">
        <w:rPr>
          <w:rFonts w:cstheme="minorHAnsi"/>
        </w:rPr>
        <w:t xml:space="preserve">a seguir </w:t>
      </w:r>
      <w:r w:rsidRPr="00172C6A">
        <w:rPr>
          <w:rFonts w:cstheme="minorHAnsi"/>
        </w:rPr>
        <w:t xml:space="preserve">ao diagnóstico </w:t>
      </w:r>
      <w:r w:rsidR="00BC3989">
        <w:rPr>
          <w:rFonts w:cstheme="minorHAnsi"/>
        </w:rPr>
        <w:t xml:space="preserve">essa taxa foi de </w:t>
      </w:r>
      <w:r w:rsidR="00BC3989" w:rsidRPr="00172C6A">
        <w:rPr>
          <w:rFonts w:cstheme="minorHAnsi"/>
        </w:rPr>
        <w:t>8,8%</w:t>
      </w:r>
      <w:r w:rsidR="00BC3989">
        <w:rPr>
          <w:rFonts w:cstheme="minorHAnsi"/>
        </w:rPr>
        <w:t xml:space="preserve"> </w:t>
      </w:r>
      <w:r w:rsidRPr="00172C6A">
        <w:rPr>
          <w:rFonts w:cstheme="minorHAnsi"/>
        </w:rPr>
        <w:t xml:space="preserve">e </w:t>
      </w:r>
      <w:r w:rsidR="00BC3989">
        <w:rPr>
          <w:rFonts w:cstheme="minorHAnsi"/>
        </w:rPr>
        <w:t xml:space="preserve">nos que foram operados </w:t>
      </w:r>
      <w:r w:rsidRPr="00172C6A">
        <w:rPr>
          <w:rFonts w:cstheme="minorHAnsi"/>
        </w:rPr>
        <w:t>após aquele período de tempo</w:t>
      </w:r>
      <w:r w:rsidR="00BC3989">
        <w:rPr>
          <w:rFonts w:cstheme="minorHAnsi"/>
        </w:rPr>
        <w:t>, essa taxa</w:t>
      </w:r>
      <w:r w:rsidRPr="00172C6A">
        <w:rPr>
          <w:rFonts w:cstheme="minorHAnsi"/>
        </w:rPr>
        <w:t xml:space="preserve"> </w:t>
      </w:r>
      <w:r w:rsidR="00BC3989">
        <w:rPr>
          <w:rFonts w:cstheme="minorHAnsi"/>
        </w:rPr>
        <w:t xml:space="preserve">foi de </w:t>
      </w:r>
      <w:r w:rsidR="00BC3989" w:rsidRPr="00172C6A">
        <w:rPr>
          <w:rFonts w:cstheme="minorHAnsi"/>
        </w:rPr>
        <w:t xml:space="preserve">16,5% </w:t>
      </w:r>
      <w:r w:rsidRPr="00172C6A">
        <w:rPr>
          <w:rFonts w:cstheme="minorHAnsi"/>
        </w:rPr>
        <w:t xml:space="preserve"> </w:t>
      </w:r>
      <w:r w:rsidR="00D237D1">
        <w:rPr>
          <w:rFonts w:cstheme="minorHAnsi"/>
        </w:rPr>
        <w:t>(</w:t>
      </w:r>
      <w:r w:rsidRPr="00D237D1">
        <w:rPr>
          <w:rFonts w:cstheme="minorHAnsi"/>
        </w:rPr>
        <w:t>p=0,1425</w:t>
      </w:r>
      <w:r w:rsidR="00D237D1">
        <w:rPr>
          <w:rFonts w:cstheme="minorHAnsi"/>
        </w:rPr>
        <w:t>)</w:t>
      </w:r>
      <w:r w:rsidRPr="00D237D1">
        <w:rPr>
          <w:rFonts w:cstheme="minorHAnsi"/>
        </w:rPr>
        <w:t>.</w:t>
      </w:r>
    </w:p>
    <w:p w:rsidR="004131F0" w:rsidRPr="00D773AB" w:rsidRDefault="004131F0" w:rsidP="0096342B">
      <w:pPr>
        <w:spacing w:after="120" w:line="360" w:lineRule="auto"/>
        <w:jc w:val="both"/>
        <w:rPr>
          <w:rFonts w:cstheme="minorHAnsi"/>
        </w:rPr>
      </w:pPr>
      <w:r w:rsidRPr="00172C6A">
        <w:rPr>
          <w:rFonts w:cstheme="minorHAnsi"/>
        </w:rPr>
        <w:t>As causas responsáveis foram: 10 colecistites gangrenosas, 25 indefinições de pedículo biliar</w:t>
      </w:r>
      <w:r w:rsidR="00185548" w:rsidRPr="00172C6A">
        <w:rPr>
          <w:rFonts w:cstheme="minorHAnsi"/>
        </w:rPr>
        <w:t xml:space="preserve"> (ocasionando pequenas hemorragias)</w:t>
      </w:r>
      <w:r w:rsidRPr="00172C6A">
        <w:rPr>
          <w:rFonts w:cstheme="minorHAnsi"/>
        </w:rPr>
        <w:t xml:space="preserve">, 2 lesões da VBP, 2 lacerações do canal cístico, 2 fístulas </w:t>
      </w:r>
      <w:proofErr w:type="spellStart"/>
      <w:r w:rsidRPr="00172C6A">
        <w:rPr>
          <w:rFonts w:cstheme="minorHAnsi"/>
        </w:rPr>
        <w:t>colecisto</w:t>
      </w:r>
      <w:proofErr w:type="spellEnd"/>
      <w:r w:rsidRPr="00172C6A">
        <w:rPr>
          <w:rFonts w:cstheme="minorHAnsi"/>
        </w:rPr>
        <w:t>-duodenais, 1 lesão iatrogénica do delgado, 1 esc</w:t>
      </w:r>
      <w:r w:rsidR="001F077B">
        <w:rPr>
          <w:rFonts w:cstheme="minorHAnsi"/>
        </w:rPr>
        <w:t>o</w:t>
      </w:r>
      <w:r w:rsidRPr="001F077B">
        <w:rPr>
          <w:rFonts w:cstheme="minorHAnsi"/>
        </w:rPr>
        <w:t>l</w:t>
      </w:r>
      <w:r w:rsidR="001F077B">
        <w:rPr>
          <w:rFonts w:cstheme="minorHAnsi"/>
        </w:rPr>
        <w:t>i</w:t>
      </w:r>
      <w:r w:rsidRPr="001F077B">
        <w:rPr>
          <w:rFonts w:cstheme="minorHAnsi"/>
        </w:rPr>
        <w:t xml:space="preserve">ose, 1 intolerância ao </w:t>
      </w:r>
      <w:r w:rsidR="00675CF6" w:rsidRPr="001F077B">
        <w:rPr>
          <w:rFonts w:cstheme="minorHAnsi"/>
        </w:rPr>
        <w:t>peritoneu</w:t>
      </w:r>
      <w:r w:rsidRPr="001F077B">
        <w:rPr>
          <w:rFonts w:cstheme="minorHAnsi"/>
        </w:rPr>
        <w:t>.</w:t>
      </w:r>
      <w:r w:rsidR="006162ED" w:rsidRPr="000B17A2">
        <w:rPr>
          <w:rFonts w:cstheme="minorHAnsi"/>
        </w:rPr>
        <w:t xml:space="preserve"> </w:t>
      </w:r>
      <w:r w:rsidR="00675CF6" w:rsidRPr="00313990">
        <w:rPr>
          <w:rFonts w:cstheme="minorHAnsi"/>
        </w:rPr>
        <w:t>A</w:t>
      </w:r>
      <w:r w:rsidRPr="00670A5A">
        <w:rPr>
          <w:rFonts w:cstheme="minorHAnsi"/>
        </w:rPr>
        <w:t xml:space="preserve"> incidência em relação ao </w:t>
      </w:r>
      <w:r w:rsidR="00BC3989">
        <w:rPr>
          <w:rFonts w:cstheme="minorHAnsi"/>
        </w:rPr>
        <w:t>género</w:t>
      </w:r>
      <w:r w:rsidRPr="00670A5A">
        <w:rPr>
          <w:rFonts w:cstheme="minorHAnsi"/>
        </w:rPr>
        <w:t xml:space="preserve"> foi de 8,8% nos </w:t>
      </w:r>
      <w:r w:rsidRPr="005C11F4">
        <w:rPr>
          <w:rFonts w:cstheme="minorHAnsi"/>
        </w:rPr>
        <w:t>homens e 12,5% nas mulheres</w:t>
      </w:r>
      <w:r w:rsidR="00BC3989" w:rsidRPr="005C11F4">
        <w:rPr>
          <w:rFonts w:cstheme="minorHAnsi"/>
        </w:rPr>
        <w:t xml:space="preserve"> (</w:t>
      </w:r>
      <w:r w:rsidRPr="005C11F4">
        <w:rPr>
          <w:rFonts w:cstheme="minorHAnsi"/>
        </w:rPr>
        <w:t>p=0,2661</w:t>
      </w:r>
      <w:r w:rsidR="00BC3989" w:rsidRPr="005C11F4">
        <w:rPr>
          <w:rFonts w:cstheme="minorHAnsi"/>
        </w:rPr>
        <w:t>).</w:t>
      </w:r>
      <w:r w:rsidRPr="005C11F4">
        <w:rPr>
          <w:rFonts w:cstheme="minorHAnsi"/>
        </w:rPr>
        <w:t xml:space="preserve"> </w:t>
      </w:r>
      <w:r w:rsidR="00BC3989" w:rsidRPr="005C11F4">
        <w:rPr>
          <w:rFonts w:cstheme="minorHAnsi"/>
        </w:rPr>
        <w:t>N</w:t>
      </w:r>
      <w:r w:rsidRPr="005C11F4">
        <w:rPr>
          <w:rFonts w:cstheme="minorHAnsi"/>
        </w:rPr>
        <w:t>o que respeita à idade</w:t>
      </w:r>
      <w:r w:rsidR="00E34265" w:rsidRPr="005C11F4">
        <w:rPr>
          <w:rFonts w:cstheme="minorHAnsi"/>
        </w:rPr>
        <w:t>,</w:t>
      </w:r>
      <w:r w:rsidRPr="005C11F4">
        <w:rPr>
          <w:rFonts w:cstheme="minorHAnsi"/>
        </w:rPr>
        <w:t xml:space="preserve"> </w:t>
      </w:r>
      <w:r w:rsidR="00BC3989" w:rsidRPr="005C11F4">
        <w:rPr>
          <w:rFonts w:cstheme="minorHAnsi"/>
        </w:rPr>
        <w:t>essa taxa foi de 16,5% nos indivíduos com mais de 65 anos</w:t>
      </w:r>
      <w:r w:rsidRPr="005C11F4">
        <w:rPr>
          <w:rFonts w:cstheme="minorHAnsi"/>
        </w:rPr>
        <w:t xml:space="preserve"> </w:t>
      </w:r>
      <w:r w:rsidR="00BC3989" w:rsidRPr="005C11F4">
        <w:rPr>
          <w:rFonts w:cstheme="minorHAnsi"/>
        </w:rPr>
        <w:t>e foi de 7,6% nos que têm 65 anos ou menos (</w:t>
      </w:r>
      <w:r w:rsidRPr="005C11F4">
        <w:rPr>
          <w:rFonts w:cstheme="minorHAnsi"/>
        </w:rPr>
        <w:t>p=0,106</w:t>
      </w:r>
      <w:r w:rsidR="00BC3989" w:rsidRPr="005C11F4">
        <w:rPr>
          <w:rFonts w:cstheme="minorHAnsi"/>
        </w:rPr>
        <w:t>)</w:t>
      </w:r>
      <w:r w:rsidRPr="005C11F4">
        <w:rPr>
          <w:rFonts w:cstheme="minorHAnsi"/>
        </w:rPr>
        <w:t>.</w:t>
      </w:r>
    </w:p>
    <w:p w:rsidR="004131F0" w:rsidRPr="00D773AB" w:rsidRDefault="004131F0" w:rsidP="0096342B">
      <w:pPr>
        <w:spacing w:after="120" w:line="360" w:lineRule="auto"/>
        <w:jc w:val="both"/>
        <w:rPr>
          <w:rFonts w:cstheme="minorHAnsi"/>
        </w:rPr>
      </w:pPr>
      <w:r w:rsidRPr="00D773AB">
        <w:rPr>
          <w:rFonts w:cstheme="minorHAnsi"/>
          <w:u w:val="single"/>
        </w:rPr>
        <w:t>Reintervenções</w:t>
      </w:r>
      <w:r w:rsidR="006162ED" w:rsidRPr="00D773AB">
        <w:rPr>
          <w:rFonts w:cstheme="minorHAnsi"/>
        </w:rPr>
        <w:t xml:space="preserve">: </w:t>
      </w:r>
      <w:r w:rsidR="00DB0EEF">
        <w:rPr>
          <w:rFonts w:cstheme="minorHAnsi"/>
        </w:rPr>
        <w:t>R</w:t>
      </w:r>
      <w:r w:rsidR="0089216B" w:rsidRPr="00D773AB">
        <w:rPr>
          <w:rFonts w:cstheme="minorHAnsi"/>
        </w:rPr>
        <w:t>ealizaram-se</w:t>
      </w:r>
      <w:r w:rsidRPr="00D773AB">
        <w:rPr>
          <w:rFonts w:cstheme="minorHAnsi"/>
        </w:rPr>
        <w:t xml:space="preserve"> 12 (2,9%) na CL e 6 (5,5%) na CA</w:t>
      </w:r>
      <w:r w:rsidR="006162ED" w:rsidRPr="00D773AB">
        <w:rPr>
          <w:rFonts w:cstheme="minorHAnsi"/>
        </w:rPr>
        <w:t xml:space="preserve"> </w:t>
      </w:r>
      <w:r w:rsidR="00D773AB">
        <w:rPr>
          <w:rFonts w:cstheme="minorHAnsi"/>
        </w:rPr>
        <w:t>(</w:t>
      </w:r>
      <w:r w:rsidRPr="00D773AB">
        <w:rPr>
          <w:rFonts w:cstheme="minorHAnsi"/>
        </w:rPr>
        <w:t>p=0,235</w:t>
      </w:r>
      <w:r w:rsidR="00D773AB">
        <w:rPr>
          <w:rFonts w:cstheme="minorHAnsi"/>
        </w:rPr>
        <w:t>)</w:t>
      </w:r>
      <w:r w:rsidRPr="00D773AB">
        <w:rPr>
          <w:rFonts w:cstheme="minorHAnsi"/>
        </w:rPr>
        <w:t>.</w:t>
      </w:r>
      <w:r w:rsidR="00D773AB">
        <w:rPr>
          <w:rFonts w:cstheme="minorHAnsi"/>
        </w:rPr>
        <w:t xml:space="preserve"> Na</w:t>
      </w:r>
      <w:r w:rsidRPr="00D773AB">
        <w:rPr>
          <w:rFonts w:cstheme="minorHAnsi"/>
        </w:rPr>
        <w:t xml:space="preserve"> CL, </w:t>
      </w:r>
      <w:r w:rsidR="00D773AB">
        <w:rPr>
          <w:rFonts w:cstheme="minorHAnsi"/>
        </w:rPr>
        <w:t xml:space="preserve">estas reintervenções </w:t>
      </w:r>
      <w:r w:rsidRPr="00D773AB">
        <w:rPr>
          <w:rFonts w:cstheme="minorHAnsi"/>
        </w:rPr>
        <w:t xml:space="preserve">foram ocasionadas por: </w:t>
      </w:r>
      <w:r w:rsidR="001E2262" w:rsidRPr="00D773AB">
        <w:rPr>
          <w:rFonts w:cstheme="minorHAnsi"/>
        </w:rPr>
        <w:t>2</w:t>
      </w:r>
      <w:r w:rsidRPr="00D773AB">
        <w:rPr>
          <w:rFonts w:cstheme="minorHAnsi"/>
        </w:rPr>
        <w:t xml:space="preserve"> </w:t>
      </w:r>
      <w:proofErr w:type="spellStart"/>
      <w:r w:rsidRPr="00D773AB">
        <w:rPr>
          <w:rFonts w:cstheme="minorHAnsi"/>
        </w:rPr>
        <w:t>hemoperitoneo</w:t>
      </w:r>
      <w:proofErr w:type="spellEnd"/>
      <w:r w:rsidRPr="00D773AB">
        <w:rPr>
          <w:rFonts w:cstheme="minorHAnsi"/>
        </w:rPr>
        <w:t xml:space="preserve"> (lesão iatrogénica do baço), </w:t>
      </w:r>
      <w:r w:rsidR="00DB0EEF">
        <w:rPr>
          <w:rFonts w:cstheme="minorHAnsi"/>
        </w:rPr>
        <w:t>3 fístulas biliares, 2 lesões VBP</w:t>
      </w:r>
      <w:r w:rsidRPr="00D773AB">
        <w:rPr>
          <w:rFonts w:cstheme="minorHAnsi"/>
        </w:rPr>
        <w:t xml:space="preserve">, 1 extração do dreno interiorizado, 1 </w:t>
      </w:r>
      <w:r w:rsidR="001E6480">
        <w:rPr>
          <w:rFonts w:cstheme="minorHAnsi"/>
        </w:rPr>
        <w:t>remoção</w:t>
      </w:r>
      <w:r w:rsidRPr="00D773AB">
        <w:rPr>
          <w:rFonts w:cstheme="minorHAnsi"/>
        </w:rPr>
        <w:t xml:space="preserve"> </w:t>
      </w:r>
      <w:r w:rsidR="001E6480">
        <w:rPr>
          <w:rFonts w:cstheme="minorHAnsi"/>
        </w:rPr>
        <w:t xml:space="preserve">de </w:t>
      </w:r>
      <w:r w:rsidRPr="00D773AB">
        <w:rPr>
          <w:rFonts w:cstheme="minorHAnsi"/>
        </w:rPr>
        <w:t>corpo estranho</w:t>
      </w:r>
      <w:r w:rsidR="001E2262" w:rsidRPr="00D773AB">
        <w:rPr>
          <w:rFonts w:cstheme="minorHAnsi"/>
        </w:rPr>
        <w:t>, 1 eventração</w:t>
      </w:r>
      <w:r w:rsidRPr="00D773AB">
        <w:rPr>
          <w:rFonts w:cstheme="minorHAnsi"/>
        </w:rPr>
        <w:t xml:space="preserve"> (consecutiva à técnica de Hassan)</w:t>
      </w:r>
      <w:r w:rsidR="001E2262" w:rsidRPr="00D773AB">
        <w:rPr>
          <w:rFonts w:cstheme="minorHAnsi"/>
        </w:rPr>
        <w:t xml:space="preserve"> e 2 abcessos abdominais</w:t>
      </w:r>
      <w:r w:rsidRPr="00D773AB">
        <w:rPr>
          <w:rFonts w:cstheme="minorHAnsi"/>
        </w:rPr>
        <w:t>.</w:t>
      </w:r>
      <w:r w:rsidR="006162ED" w:rsidRPr="00D773AB">
        <w:rPr>
          <w:rFonts w:cstheme="minorHAnsi"/>
        </w:rPr>
        <w:t xml:space="preserve"> </w:t>
      </w:r>
      <w:r w:rsidRPr="00D773AB">
        <w:rPr>
          <w:rFonts w:cstheme="minorHAnsi"/>
        </w:rPr>
        <w:t>Nas CA</w:t>
      </w:r>
      <w:r w:rsidR="001E2262" w:rsidRPr="00D773AB">
        <w:rPr>
          <w:rFonts w:cstheme="minorHAnsi"/>
        </w:rPr>
        <w:t>,</w:t>
      </w:r>
      <w:r w:rsidRPr="00D773AB">
        <w:rPr>
          <w:rFonts w:cstheme="minorHAnsi"/>
        </w:rPr>
        <w:t xml:space="preserve"> foram condicionadas por: 1 </w:t>
      </w:r>
      <w:proofErr w:type="spellStart"/>
      <w:r w:rsidRPr="00D773AB">
        <w:rPr>
          <w:rFonts w:cstheme="minorHAnsi"/>
        </w:rPr>
        <w:t>hemoperitoneo</w:t>
      </w:r>
      <w:proofErr w:type="spellEnd"/>
      <w:r w:rsidR="001E2262" w:rsidRPr="00D773AB">
        <w:rPr>
          <w:rFonts w:cstheme="minorHAnsi"/>
        </w:rPr>
        <w:t xml:space="preserve">, </w:t>
      </w:r>
      <w:r w:rsidRPr="00D773AB">
        <w:rPr>
          <w:rFonts w:cstheme="minorHAnsi"/>
        </w:rPr>
        <w:t xml:space="preserve">1 perfuração iatrogénica do </w:t>
      </w:r>
      <w:r w:rsidR="00DB0EEF">
        <w:rPr>
          <w:rFonts w:cstheme="minorHAnsi"/>
        </w:rPr>
        <w:t>colon, 2 eventrações, 1 lesão VB, 1 fístula biliar</w:t>
      </w:r>
      <w:r w:rsidRPr="00D773AB">
        <w:rPr>
          <w:rFonts w:cstheme="minorHAnsi"/>
        </w:rPr>
        <w:t xml:space="preserve"> com evisceração.</w:t>
      </w:r>
    </w:p>
    <w:p w:rsidR="004131F0" w:rsidRPr="00FD6754" w:rsidRDefault="006162ED" w:rsidP="0096342B">
      <w:pPr>
        <w:spacing w:after="120" w:line="360" w:lineRule="auto"/>
        <w:jc w:val="both"/>
        <w:rPr>
          <w:rFonts w:cstheme="minorHAnsi"/>
        </w:rPr>
      </w:pPr>
      <w:r w:rsidRPr="00FD6754">
        <w:rPr>
          <w:rFonts w:cstheme="minorHAnsi"/>
          <w:u w:val="single"/>
        </w:rPr>
        <w:t>Estadia hospitalar</w:t>
      </w:r>
      <w:r w:rsidRPr="00FD6754">
        <w:rPr>
          <w:rFonts w:cstheme="minorHAnsi"/>
        </w:rPr>
        <w:t>:</w:t>
      </w:r>
      <w:r w:rsidR="00DB0EEF" w:rsidRPr="00FD6754">
        <w:rPr>
          <w:rFonts w:cstheme="minorHAnsi"/>
        </w:rPr>
        <w:t xml:space="preserve"> F</w:t>
      </w:r>
      <w:r w:rsidR="004131F0" w:rsidRPr="00FD6754">
        <w:rPr>
          <w:rFonts w:cstheme="minorHAnsi"/>
        </w:rPr>
        <w:t xml:space="preserve">oi inferior ou igual a 4 dias em 171 (64,8%) </w:t>
      </w:r>
      <w:r w:rsidR="00D773AB" w:rsidRPr="00FD6754">
        <w:rPr>
          <w:rFonts w:cstheme="minorHAnsi"/>
        </w:rPr>
        <w:t xml:space="preserve">na CL </w:t>
      </w:r>
      <w:r w:rsidR="004131F0" w:rsidRPr="00FD6754">
        <w:rPr>
          <w:rFonts w:cstheme="minorHAnsi"/>
        </w:rPr>
        <w:t xml:space="preserve">e </w:t>
      </w:r>
      <w:r w:rsidR="00D773AB" w:rsidRPr="00FD6754">
        <w:rPr>
          <w:rFonts w:cstheme="minorHAnsi"/>
        </w:rPr>
        <w:t xml:space="preserve">em </w:t>
      </w:r>
      <w:r w:rsidR="00E104F3" w:rsidRPr="00FD6754">
        <w:rPr>
          <w:rFonts w:cstheme="minorHAnsi"/>
        </w:rPr>
        <w:t>20</w:t>
      </w:r>
      <w:r w:rsidR="00D773AB" w:rsidRPr="00FD6754">
        <w:rPr>
          <w:rFonts w:cstheme="minorHAnsi"/>
        </w:rPr>
        <w:t xml:space="preserve"> (18,5%) na</w:t>
      </w:r>
      <w:r w:rsidR="004131F0" w:rsidRPr="00FD6754">
        <w:rPr>
          <w:rFonts w:cstheme="minorHAnsi"/>
        </w:rPr>
        <w:t xml:space="preserve"> CA </w:t>
      </w:r>
      <w:r w:rsidR="00D773AB" w:rsidRPr="00FD6754">
        <w:rPr>
          <w:rFonts w:cstheme="minorHAnsi"/>
        </w:rPr>
        <w:t>(</w:t>
      </w:r>
      <w:r w:rsidR="001E2262" w:rsidRPr="00FD6754">
        <w:rPr>
          <w:rFonts w:cstheme="minorHAnsi"/>
        </w:rPr>
        <w:t>p&lt;0.001</w:t>
      </w:r>
      <w:r w:rsidR="00D773AB" w:rsidRPr="00FD6754">
        <w:rPr>
          <w:rFonts w:cstheme="minorHAnsi"/>
        </w:rPr>
        <w:t>)</w:t>
      </w:r>
      <w:r w:rsidR="004131F0" w:rsidRPr="00FD6754">
        <w:rPr>
          <w:rFonts w:cstheme="minorHAnsi"/>
        </w:rPr>
        <w:t>.</w:t>
      </w:r>
    </w:p>
    <w:p w:rsidR="004131F0" w:rsidRPr="00FD6754" w:rsidRDefault="00DB0EEF" w:rsidP="0096342B">
      <w:pPr>
        <w:spacing w:after="120" w:line="360" w:lineRule="auto"/>
        <w:jc w:val="both"/>
        <w:rPr>
          <w:rFonts w:cstheme="minorHAnsi"/>
        </w:rPr>
      </w:pPr>
      <w:r w:rsidRPr="00FD6754">
        <w:rPr>
          <w:rFonts w:cstheme="minorHAnsi"/>
        </w:rPr>
        <w:t>Os resultados da</w:t>
      </w:r>
      <w:r w:rsidR="004131F0" w:rsidRPr="00FD6754">
        <w:rPr>
          <w:rFonts w:cstheme="minorHAnsi"/>
        </w:rPr>
        <w:t xml:space="preserve"> análise comparativa dos diversos parâmetros da CL </w:t>
      </w:r>
      <w:r w:rsidR="004131F0" w:rsidRPr="00FD6754">
        <w:rPr>
          <w:rFonts w:cstheme="minorHAnsi"/>
          <w:i/>
        </w:rPr>
        <w:t>vs</w:t>
      </w:r>
      <w:r w:rsidR="004131F0" w:rsidRPr="00FD6754">
        <w:rPr>
          <w:rFonts w:cstheme="minorHAnsi"/>
        </w:rPr>
        <w:t xml:space="preserve"> CA </w:t>
      </w:r>
      <w:r w:rsidRPr="00FD6754">
        <w:rPr>
          <w:rFonts w:cstheme="minorHAnsi"/>
        </w:rPr>
        <w:t>apresentam-se na Tabela</w:t>
      </w:r>
      <w:r w:rsidR="006162ED" w:rsidRPr="00FD6754">
        <w:rPr>
          <w:rFonts w:cstheme="minorHAnsi"/>
        </w:rPr>
        <w:t xml:space="preserve"> 1</w:t>
      </w:r>
      <w:r w:rsidR="004131F0" w:rsidRPr="00FD6754">
        <w:rPr>
          <w:rFonts w:cstheme="minorHAnsi"/>
        </w:rPr>
        <w:t>.</w:t>
      </w:r>
    </w:p>
    <w:p w:rsidR="004131F0" w:rsidRPr="00FD6754" w:rsidRDefault="00E52BFE" w:rsidP="0096342B">
      <w:pPr>
        <w:spacing w:after="120" w:line="360" w:lineRule="auto"/>
        <w:jc w:val="both"/>
        <w:rPr>
          <w:rFonts w:cstheme="minorHAnsi"/>
        </w:rPr>
      </w:pPr>
      <w:r w:rsidRPr="00FD6754">
        <w:rPr>
          <w:rFonts w:cstheme="minorHAnsi"/>
        </w:rPr>
        <w:t>A CL foi seguida de menor</w:t>
      </w:r>
      <w:r w:rsidR="004131F0" w:rsidRPr="00FD6754">
        <w:rPr>
          <w:rFonts w:cstheme="minorHAnsi"/>
        </w:rPr>
        <w:t xml:space="preserve"> mortalidade, </w:t>
      </w:r>
      <w:r w:rsidRPr="00FD6754">
        <w:rPr>
          <w:rFonts w:cstheme="minorHAnsi"/>
        </w:rPr>
        <w:t xml:space="preserve">menos </w:t>
      </w:r>
      <w:r w:rsidR="004131F0" w:rsidRPr="00FD6754">
        <w:rPr>
          <w:rFonts w:cstheme="minorHAnsi"/>
        </w:rPr>
        <w:t xml:space="preserve">complicações </w:t>
      </w:r>
      <w:r w:rsidR="000B17A2" w:rsidRPr="00FD6754">
        <w:rPr>
          <w:rFonts w:cstheme="minorHAnsi"/>
        </w:rPr>
        <w:t>intraoperatórias</w:t>
      </w:r>
      <w:r w:rsidR="004131F0" w:rsidRPr="00FD6754">
        <w:rPr>
          <w:rFonts w:cstheme="minorHAnsi"/>
        </w:rPr>
        <w:t xml:space="preserve"> cirúrgicas e menos dias de internamento do que a CA.</w:t>
      </w:r>
      <w:r w:rsidR="006162ED" w:rsidRPr="00FD6754">
        <w:rPr>
          <w:rFonts w:cstheme="minorHAnsi"/>
        </w:rPr>
        <w:t xml:space="preserve"> </w:t>
      </w:r>
      <w:r w:rsidR="004131F0" w:rsidRPr="00FD6754">
        <w:rPr>
          <w:rFonts w:cstheme="minorHAnsi"/>
        </w:rPr>
        <w:t>A</w:t>
      </w:r>
      <w:r w:rsidR="00A35F6E" w:rsidRPr="00FD6754">
        <w:rPr>
          <w:rFonts w:cstheme="minorHAnsi"/>
        </w:rPr>
        <w:t xml:space="preserve">s </w:t>
      </w:r>
      <w:r w:rsidR="004131F0" w:rsidRPr="00FD6754">
        <w:rPr>
          <w:rFonts w:cstheme="minorHAnsi"/>
        </w:rPr>
        <w:t xml:space="preserve">reintervenções foram mais elevadas na CL, </w:t>
      </w:r>
      <w:r w:rsidRPr="00FD6754">
        <w:rPr>
          <w:rFonts w:cstheme="minorHAnsi"/>
        </w:rPr>
        <w:t xml:space="preserve">e </w:t>
      </w:r>
      <w:r w:rsidR="00A35F6E" w:rsidRPr="00FD6754">
        <w:rPr>
          <w:rFonts w:cstheme="minorHAnsi"/>
        </w:rPr>
        <w:t xml:space="preserve">a lesão biliar </w:t>
      </w:r>
      <w:r w:rsidRPr="00FD6754">
        <w:rPr>
          <w:rFonts w:cstheme="minorHAnsi"/>
        </w:rPr>
        <w:t xml:space="preserve">mais baixa </w:t>
      </w:r>
      <w:r w:rsidR="00FD6679">
        <w:rPr>
          <w:rFonts w:cstheme="minorHAnsi"/>
        </w:rPr>
        <w:t xml:space="preserve">na CL, não sendo, porém, </w:t>
      </w:r>
      <w:r w:rsidR="00A35F6E" w:rsidRPr="00FD6754">
        <w:rPr>
          <w:rFonts w:cstheme="minorHAnsi"/>
        </w:rPr>
        <w:t xml:space="preserve">estes valores estatisticamente </w:t>
      </w:r>
      <w:r w:rsidR="004131F0" w:rsidRPr="00FD6754">
        <w:rPr>
          <w:rFonts w:cstheme="minorHAnsi"/>
        </w:rPr>
        <w:t>signif</w:t>
      </w:r>
      <w:r w:rsidR="00A35F6E" w:rsidRPr="00FD6754">
        <w:rPr>
          <w:rFonts w:cstheme="minorHAnsi"/>
        </w:rPr>
        <w:t>icativos</w:t>
      </w:r>
      <w:r w:rsidR="004131F0" w:rsidRPr="00FD6754">
        <w:rPr>
          <w:rFonts w:cstheme="minorHAnsi"/>
        </w:rPr>
        <w:t>.</w:t>
      </w:r>
    </w:p>
    <w:p w:rsidR="00E6638F" w:rsidRPr="00172C6A" w:rsidRDefault="00E6638F" w:rsidP="0096342B">
      <w:pPr>
        <w:spacing w:after="120" w:line="360" w:lineRule="auto"/>
        <w:jc w:val="both"/>
        <w:rPr>
          <w:rFonts w:cstheme="minorHAnsi"/>
        </w:rPr>
      </w:pPr>
    </w:p>
    <w:p w:rsidR="005E0F2A" w:rsidRPr="006541E3" w:rsidRDefault="005E0F2A" w:rsidP="0096342B">
      <w:pPr>
        <w:spacing w:after="120" w:line="360" w:lineRule="auto"/>
        <w:jc w:val="both"/>
        <w:rPr>
          <w:rFonts w:cstheme="minorHAnsi"/>
          <w:b/>
        </w:rPr>
      </w:pPr>
      <w:r w:rsidRPr="006541E3">
        <w:rPr>
          <w:rFonts w:cstheme="minorHAnsi"/>
          <w:b/>
        </w:rPr>
        <w:t>DISCUSS</w:t>
      </w:r>
      <w:r w:rsidR="00F22010" w:rsidRPr="006541E3">
        <w:rPr>
          <w:rFonts w:cstheme="minorHAnsi"/>
          <w:b/>
        </w:rPr>
        <w:t>ÃO</w:t>
      </w:r>
    </w:p>
    <w:p w:rsidR="004131F0" w:rsidRPr="006541E3" w:rsidRDefault="004131F0" w:rsidP="0096342B">
      <w:pPr>
        <w:spacing w:after="120" w:line="360" w:lineRule="auto"/>
        <w:jc w:val="both"/>
        <w:rPr>
          <w:rFonts w:cstheme="minorHAnsi"/>
        </w:rPr>
      </w:pPr>
      <w:r w:rsidRPr="00FD6754">
        <w:rPr>
          <w:rFonts w:cstheme="minorHAnsi"/>
        </w:rPr>
        <w:t>A C</w:t>
      </w:r>
      <w:r w:rsidR="000B17A2" w:rsidRPr="00FD6754">
        <w:rPr>
          <w:rFonts w:cstheme="minorHAnsi"/>
        </w:rPr>
        <w:t xml:space="preserve">olecistectomia </w:t>
      </w:r>
      <w:r w:rsidRPr="00FD6754">
        <w:rPr>
          <w:rFonts w:cstheme="minorHAnsi"/>
        </w:rPr>
        <w:t>L</w:t>
      </w:r>
      <w:r w:rsidR="000B17A2" w:rsidRPr="00FD6754">
        <w:rPr>
          <w:rFonts w:cstheme="minorHAnsi"/>
        </w:rPr>
        <w:t>aparoscópica</w:t>
      </w:r>
      <w:r w:rsidR="00E50F31" w:rsidRPr="00FD6754">
        <w:rPr>
          <w:rFonts w:cstheme="minorHAnsi"/>
        </w:rPr>
        <w:t>, que</w:t>
      </w:r>
      <w:r w:rsidRPr="00FD6754">
        <w:rPr>
          <w:rFonts w:cstheme="minorHAnsi"/>
        </w:rPr>
        <w:t xml:space="preserve"> foi considerada inicialmente uma </w:t>
      </w:r>
      <w:r w:rsidR="000B17A2" w:rsidRPr="00FD6754">
        <w:rPr>
          <w:rFonts w:cstheme="minorHAnsi"/>
        </w:rPr>
        <w:t>contraindicação</w:t>
      </w:r>
      <w:r w:rsidRPr="00FD6754">
        <w:rPr>
          <w:rFonts w:cstheme="minorHAnsi"/>
        </w:rPr>
        <w:t xml:space="preserve"> na colecistite aguda, com</w:t>
      </w:r>
      <w:r w:rsidRPr="00172C6A">
        <w:rPr>
          <w:rFonts w:cstheme="minorHAnsi"/>
        </w:rPr>
        <w:t xml:space="preserve"> o decorrer do tempo veio a ser o “</w:t>
      </w:r>
      <w:proofErr w:type="spellStart"/>
      <w:r w:rsidRPr="000B17A2">
        <w:rPr>
          <w:rFonts w:cstheme="minorHAnsi"/>
        </w:rPr>
        <w:t>gold</w:t>
      </w:r>
      <w:proofErr w:type="spellEnd"/>
      <w:r w:rsidRPr="000B17A2">
        <w:rPr>
          <w:rFonts w:cstheme="minorHAnsi"/>
        </w:rPr>
        <w:t xml:space="preserve"> standard” do tratamento cirúrgico desta afeção (</w:t>
      </w:r>
      <w:r w:rsidR="00F92289" w:rsidRPr="000B17A2">
        <w:rPr>
          <w:rFonts w:cstheme="minorHAnsi"/>
        </w:rPr>
        <w:t>7</w:t>
      </w:r>
      <w:r w:rsidRPr="000B17A2">
        <w:rPr>
          <w:rFonts w:cstheme="minorHAnsi"/>
        </w:rPr>
        <w:t>).</w:t>
      </w:r>
      <w:r w:rsidR="005C11F4">
        <w:rPr>
          <w:rFonts w:cstheme="minorHAnsi"/>
        </w:rPr>
        <w:t xml:space="preserve"> </w:t>
      </w:r>
      <w:r w:rsidRPr="00172C6A">
        <w:rPr>
          <w:rFonts w:cstheme="minorHAnsi"/>
        </w:rPr>
        <w:t>Porém, ainda hoje, alguns autores em determinadas circunstâncias consideram lícito recorrer à exérese vesicular por via aberta.</w:t>
      </w:r>
      <w:r w:rsidR="005C11F4">
        <w:rPr>
          <w:rFonts w:cstheme="minorHAnsi"/>
        </w:rPr>
        <w:t xml:space="preserve"> </w:t>
      </w:r>
      <w:r w:rsidRPr="006541E3">
        <w:rPr>
          <w:rFonts w:cstheme="minorHAnsi"/>
        </w:rPr>
        <w:t xml:space="preserve">Assim, </w:t>
      </w:r>
      <w:proofErr w:type="spellStart"/>
      <w:r w:rsidRPr="006541E3">
        <w:rPr>
          <w:rFonts w:cstheme="minorHAnsi"/>
        </w:rPr>
        <w:t>Navez</w:t>
      </w:r>
      <w:proofErr w:type="spellEnd"/>
      <w:r w:rsidRPr="006541E3">
        <w:rPr>
          <w:rFonts w:cstheme="minorHAnsi"/>
        </w:rPr>
        <w:t xml:space="preserve"> (</w:t>
      </w:r>
      <w:r w:rsidR="00F92289" w:rsidRPr="006541E3">
        <w:rPr>
          <w:rFonts w:cstheme="minorHAnsi"/>
        </w:rPr>
        <w:t>8) refere: “</w:t>
      </w:r>
      <w:proofErr w:type="spellStart"/>
      <w:r w:rsidR="00F92289" w:rsidRPr="006541E3">
        <w:rPr>
          <w:rFonts w:cstheme="minorHAnsi"/>
        </w:rPr>
        <w:t>Although</w:t>
      </w:r>
      <w:proofErr w:type="spellEnd"/>
      <w:r w:rsidR="00F92289" w:rsidRPr="006541E3">
        <w:rPr>
          <w:rFonts w:cstheme="minorHAnsi"/>
        </w:rPr>
        <w:t xml:space="preserve"> </w:t>
      </w:r>
      <w:proofErr w:type="spellStart"/>
      <w:r w:rsidRPr="006541E3">
        <w:rPr>
          <w:rFonts w:cstheme="minorHAnsi"/>
        </w:rPr>
        <w:t>laparoscopic</w:t>
      </w:r>
      <w:proofErr w:type="spellEnd"/>
      <w:r w:rsidRPr="006541E3">
        <w:rPr>
          <w:rFonts w:cstheme="minorHAnsi"/>
        </w:rPr>
        <w:t xml:space="preserve"> </w:t>
      </w:r>
      <w:proofErr w:type="spellStart"/>
      <w:r w:rsidRPr="006541E3">
        <w:rPr>
          <w:rFonts w:cstheme="minorHAnsi"/>
        </w:rPr>
        <w:t>cholecystectomy</w:t>
      </w:r>
      <w:proofErr w:type="spellEnd"/>
      <w:r w:rsidRPr="006541E3">
        <w:rPr>
          <w:rFonts w:cstheme="minorHAnsi"/>
        </w:rPr>
        <w:t xml:space="preserve"> </w:t>
      </w:r>
      <w:proofErr w:type="spellStart"/>
      <w:r w:rsidRPr="006541E3">
        <w:rPr>
          <w:rFonts w:cstheme="minorHAnsi"/>
        </w:rPr>
        <w:t>is</w:t>
      </w:r>
      <w:proofErr w:type="spellEnd"/>
      <w:r w:rsidRPr="006541E3">
        <w:rPr>
          <w:rFonts w:cstheme="minorHAnsi"/>
        </w:rPr>
        <w:t xml:space="preserve"> </w:t>
      </w:r>
      <w:proofErr w:type="spellStart"/>
      <w:r w:rsidRPr="006541E3">
        <w:rPr>
          <w:rFonts w:cstheme="minorHAnsi"/>
        </w:rPr>
        <w:t>considered</w:t>
      </w:r>
      <w:proofErr w:type="spellEnd"/>
      <w:r w:rsidRPr="006541E3">
        <w:rPr>
          <w:rFonts w:cstheme="minorHAnsi"/>
        </w:rPr>
        <w:t xml:space="preserve"> a standard </w:t>
      </w:r>
      <w:proofErr w:type="spellStart"/>
      <w:r w:rsidRPr="006541E3">
        <w:rPr>
          <w:rFonts w:cstheme="minorHAnsi"/>
        </w:rPr>
        <w:t>treatment</w:t>
      </w:r>
      <w:proofErr w:type="spellEnd"/>
      <w:r w:rsidRPr="006541E3">
        <w:rPr>
          <w:rFonts w:cstheme="minorHAnsi"/>
        </w:rPr>
        <w:t xml:space="preserve"> for </w:t>
      </w:r>
      <w:proofErr w:type="spellStart"/>
      <w:r w:rsidRPr="006541E3">
        <w:rPr>
          <w:rFonts w:cstheme="minorHAnsi"/>
        </w:rPr>
        <w:t>acute</w:t>
      </w:r>
      <w:proofErr w:type="spellEnd"/>
      <w:r w:rsidRPr="006541E3">
        <w:rPr>
          <w:rFonts w:cstheme="minorHAnsi"/>
        </w:rPr>
        <w:t xml:space="preserve"> </w:t>
      </w:r>
      <w:proofErr w:type="spellStart"/>
      <w:r w:rsidRPr="006541E3">
        <w:rPr>
          <w:rFonts w:cstheme="minorHAnsi"/>
        </w:rPr>
        <w:t>cholecystitis</w:t>
      </w:r>
      <w:proofErr w:type="spellEnd"/>
      <w:r w:rsidRPr="006541E3">
        <w:rPr>
          <w:rFonts w:cstheme="minorHAnsi"/>
        </w:rPr>
        <w:t xml:space="preserve">, </w:t>
      </w:r>
      <w:proofErr w:type="spellStart"/>
      <w:r w:rsidRPr="006541E3">
        <w:rPr>
          <w:rFonts w:cstheme="minorHAnsi"/>
        </w:rPr>
        <w:t>an</w:t>
      </w:r>
      <w:proofErr w:type="spellEnd"/>
      <w:r w:rsidRPr="006541E3">
        <w:rPr>
          <w:rFonts w:cstheme="minorHAnsi"/>
        </w:rPr>
        <w:t xml:space="preserve"> open </w:t>
      </w:r>
      <w:proofErr w:type="spellStart"/>
      <w:r w:rsidRPr="006541E3">
        <w:rPr>
          <w:rFonts w:cstheme="minorHAnsi"/>
        </w:rPr>
        <w:t>approach</w:t>
      </w:r>
      <w:proofErr w:type="spellEnd"/>
      <w:r w:rsidRPr="006541E3">
        <w:rPr>
          <w:rFonts w:cstheme="minorHAnsi"/>
        </w:rPr>
        <w:t xml:space="preserve"> </w:t>
      </w:r>
      <w:proofErr w:type="spellStart"/>
      <w:r w:rsidRPr="006541E3">
        <w:rPr>
          <w:rFonts w:cstheme="minorHAnsi"/>
        </w:rPr>
        <w:t>is</w:t>
      </w:r>
      <w:proofErr w:type="spellEnd"/>
      <w:r w:rsidRPr="006541E3">
        <w:rPr>
          <w:rFonts w:cstheme="minorHAnsi"/>
        </w:rPr>
        <w:t xml:space="preserve"> </w:t>
      </w:r>
      <w:proofErr w:type="spellStart"/>
      <w:r w:rsidRPr="006541E3">
        <w:rPr>
          <w:rFonts w:cstheme="minorHAnsi"/>
        </w:rPr>
        <w:t>still</w:t>
      </w:r>
      <w:proofErr w:type="spellEnd"/>
      <w:r w:rsidRPr="006541E3">
        <w:rPr>
          <w:rFonts w:cstheme="minorHAnsi"/>
        </w:rPr>
        <w:t xml:space="preserve"> a </w:t>
      </w:r>
      <w:proofErr w:type="spellStart"/>
      <w:r w:rsidRPr="006541E3">
        <w:rPr>
          <w:rFonts w:cstheme="minorHAnsi"/>
        </w:rPr>
        <w:t>valid</w:t>
      </w:r>
      <w:proofErr w:type="spellEnd"/>
      <w:r w:rsidRPr="006541E3">
        <w:rPr>
          <w:rFonts w:cstheme="minorHAnsi"/>
        </w:rPr>
        <w:t xml:space="preserve"> </w:t>
      </w:r>
      <w:proofErr w:type="spellStart"/>
      <w:r w:rsidRPr="006541E3">
        <w:rPr>
          <w:rFonts w:cstheme="minorHAnsi"/>
        </w:rPr>
        <w:t>option</w:t>
      </w:r>
      <w:proofErr w:type="spellEnd"/>
      <w:r w:rsidRPr="006541E3">
        <w:rPr>
          <w:rFonts w:cstheme="minorHAnsi"/>
        </w:rPr>
        <w:t xml:space="preserve"> for more </w:t>
      </w:r>
      <w:proofErr w:type="spellStart"/>
      <w:r w:rsidRPr="006541E3">
        <w:rPr>
          <w:rFonts w:cstheme="minorHAnsi"/>
        </w:rPr>
        <w:t>advanced</w:t>
      </w:r>
      <w:proofErr w:type="spellEnd"/>
      <w:r w:rsidRPr="006541E3">
        <w:rPr>
          <w:rFonts w:cstheme="minorHAnsi"/>
        </w:rPr>
        <w:t xml:space="preserve"> </w:t>
      </w:r>
      <w:proofErr w:type="spellStart"/>
      <w:r w:rsidRPr="006541E3">
        <w:rPr>
          <w:rFonts w:cstheme="minorHAnsi"/>
        </w:rPr>
        <w:t>disease</w:t>
      </w:r>
      <w:proofErr w:type="spellEnd"/>
      <w:r w:rsidRPr="006541E3">
        <w:rPr>
          <w:rFonts w:cstheme="minorHAnsi"/>
        </w:rPr>
        <w:t>”.</w:t>
      </w:r>
    </w:p>
    <w:p w:rsidR="004131F0" w:rsidRPr="00172C6A" w:rsidRDefault="004131F0" w:rsidP="0096342B">
      <w:pPr>
        <w:spacing w:after="120" w:line="360" w:lineRule="auto"/>
        <w:jc w:val="both"/>
        <w:rPr>
          <w:rFonts w:cstheme="minorHAnsi"/>
        </w:rPr>
      </w:pPr>
      <w:r w:rsidRPr="00172C6A">
        <w:rPr>
          <w:rFonts w:cstheme="minorHAnsi"/>
        </w:rPr>
        <w:t xml:space="preserve">Dada a controvérsia do assunto, julgamos de interesse contribuir para o esclarecimento desta questão, tanto mais que não há </w:t>
      </w:r>
      <w:r w:rsidR="00F92289" w:rsidRPr="00172C6A">
        <w:rPr>
          <w:rFonts w:cstheme="minorHAnsi"/>
        </w:rPr>
        <w:t xml:space="preserve">muitos </w:t>
      </w:r>
      <w:r w:rsidRPr="00172C6A">
        <w:rPr>
          <w:rFonts w:cstheme="minorHAnsi"/>
        </w:rPr>
        <w:t>estudos compara</w:t>
      </w:r>
      <w:r w:rsidR="00F92289" w:rsidRPr="00172C6A">
        <w:rPr>
          <w:rFonts w:cstheme="minorHAnsi"/>
        </w:rPr>
        <w:t xml:space="preserve">tivos </w:t>
      </w:r>
      <w:r w:rsidR="001E2262" w:rsidRPr="00172C6A">
        <w:rPr>
          <w:rFonts w:cstheme="minorHAnsi"/>
        </w:rPr>
        <w:t xml:space="preserve">com </w:t>
      </w:r>
      <w:r w:rsidR="00F92289" w:rsidRPr="00172C6A">
        <w:rPr>
          <w:rFonts w:cstheme="minorHAnsi"/>
        </w:rPr>
        <w:t xml:space="preserve">estas </w:t>
      </w:r>
      <w:r w:rsidRPr="00172C6A">
        <w:rPr>
          <w:rFonts w:cstheme="minorHAnsi"/>
        </w:rPr>
        <w:t>duas técnicas na afeção em causa.</w:t>
      </w:r>
    </w:p>
    <w:p w:rsidR="004131F0" w:rsidRPr="00172C6A" w:rsidRDefault="004131F0" w:rsidP="0096342B">
      <w:pPr>
        <w:spacing w:after="120" w:line="360" w:lineRule="auto"/>
        <w:jc w:val="both"/>
        <w:rPr>
          <w:rFonts w:cstheme="minorHAnsi"/>
        </w:rPr>
      </w:pPr>
      <w:r w:rsidRPr="00172C6A">
        <w:rPr>
          <w:rFonts w:cstheme="minorHAnsi"/>
        </w:rPr>
        <w:t xml:space="preserve">Em todas as séries recentemente publicadas verifica-se o predomínio da CL </w:t>
      </w:r>
      <w:r w:rsidRPr="00172C6A">
        <w:rPr>
          <w:rFonts w:cstheme="minorHAnsi"/>
          <w:i/>
        </w:rPr>
        <w:t>vs</w:t>
      </w:r>
      <w:r w:rsidRPr="00172C6A">
        <w:rPr>
          <w:rFonts w:cstheme="minorHAnsi"/>
        </w:rPr>
        <w:t xml:space="preserve"> CA</w:t>
      </w:r>
      <w:r w:rsidR="009B5641" w:rsidRPr="00172C6A">
        <w:rPr>
          <w:rFonts w:cstheme="minorHAnsi"/>
        </w:rPr>
        <w:t xml:space="preserve">: </w:t>
      </w:r>
      <w:r w:rsidR="001C26FC">
        <w:rPr>
          <w:rFonts w:cstheme="minorHAnsi"/>
        </w:rPr>
        <w:t>88,8%</w:t>
      </w:r>
      <w:r w:rsidRPr="00172C6A">
        <w:rPr>
          <w:rFonts w:cstheme="minorHAnsi"/>
        </w:rPr>
        <w:t xml:space="preserve"> </w:t>
      </w:r>
      <w:r w:rsidRPr="00172C6A">
        <w:rPr>
          <w:rFonts w:cstheme="minorHAnsi"/>
          <w:i/>
        </w:rPr>
        <w:t>vs</w:t>
      </w:r>
      <w:r w:rsidRPr="00172C6A">
        <w:rPr>
          <w:rFonts w:cstheme="minorHAnsi"/>
        </w:rPr>
        <w:t xml:space="preserve"> 11,2% (</w:t>
      </w:r>
      <w:r w:rsidR="00F92289" w:rsidRPr="00172C6A">
        <w:rPr>
          <w:rFonts w:cstheme="minorHAnsi"/>
        </w:rPr>
        <w:t>9</w:t>
      </w:r>
      <w:r w:rsidR="001C26FC">
        <w:rPr>
          <w:rFonts w:cstheme="minorHAnsi"/>
        </w:rPr>
        <w:t>); 85%</w:t>
      </w:r>
      <w:r w:rsidRPr="00172C6A">
        <w:rPr>
          <w:rFonts w:cstheme="minorHAnsi"/>
        </w:rPr>
        <w:t xml:space="preserve"> </w:t>
      </w:r>
      <w:r w:rsidRPr="00172C6A">
        <w:rPr>
          <w:rFonts w:cstheme="minorHAnsi"/>
          <w:i/>
        </w:rPr>
        <w:t>vs</w:t>
      </w:r>
      <w:r w:rsidR="001C26FC">
        <w:rPr>
          <w:rFonts w:cstheme="minorHAnsi"/>
        </w:rPr>
        <w:t xml:space="preserve"> 15% </w:t>
      </w:r>
      <w:r w:rsidRPr="00172C6A">
        <w:rPr>
          <w:rFonts w:cstheme="minorHAnsi"/>
        </w:rPr>
        <w:t>(</w:t>
      </w:r>
      <w:r w:rsidR="00F92289" w:rsidRPr="00172C6A">
        <w:rPr>
          <w:rFonts w:cstheme="minorHAnsi"/>
        </w:rPr>
        <w:t>10</w:t>
      </w:r>
      <w:r w:rsidR="009B5641" w:rsidRPr="00172C6A">
        <w:rPr>
          <w:rFonts w:cstheme="minorHAnsi"/>
        </w:rPr>
        <w:t xml:space="preserve">); </w:t>
      </w:r>
      <w:r w:rsidR="001C26FC">
        <w:rPr>
          <w:rFonts w:cstheme="minorHAnsi"/>
        </w:rPr>
        <w:t xml:space="preserve">e </w:t>
      </w:r>
      <w:r w:rsidR="009B5641" w:rsidRPr="00172C6A">
        <w:rPr>
          <w:rFonts w:cstheme="minorHAnsi"/>
        </w:rPr>
        <w:t xml:space="preserve">57% </w:t>
      </w:r>
      <w:r w:rsidRPr="00172C6A">
        <w:rPr>
          <w:rFonts w:cstheme="minorHAnsi"/>
          <w:i/>
        </w:rPr>
        <w:t>vs</w:t>
      </w:r>
      <w:r w:rsidRPr="00172C6A">
        <w:rPr>
          <w:rFonts w:cstheme="minorHAnsi"/>
        </w:rPr>
        <w:t xml:space="preserve"> 14,6% (</w:t>
      </w:r>
      <w:r w:rsidR="00F92289" w:rsidRPr="00172C6A">
        <w:rPr>
          <w:rFonts w:cstheme="minorHAnsi"/>
        </w:rPr>
        <w:t>11</w:t>
      </w:r>
      <w:r w:rsidRPr="00172C6A">
        <w:rPr>
          <w:rFonts w:cstheme="minorHAnsi"/>
        </w:rPr>
        <w:t>)</w:t>
      </w:r>
      <w:r w:rsidR="001E2262" w:rsidRPr="00172C6A">
        <w:rPr>
          <w:rFonts w:cstheme="minorHAnsi"/>
        </w:rPr>
        <w:t>, sendo igualmente, desde há muito</w:t>
      </w:r>
      <w:r w:rsidR="00E50F31">
        <w:rPr>
          <w:rFonts w:cstheme="minorHAnsi"/>
        </w:rPr>
        <w:t>,</w:t>
      </w:r>
      <w:r w:rsidR="001E2262" w:rsidRPr="00172C6A">
        <w:rPr>
          <w:rFonts w:cstheme="minorHAnsi"/>
        </w:rPr>
        <w:t xml:space="preserve"> a intervenção mais utilizada no nosso Serviço.</w:t>
      </w:r>
    </w:p>
    <w:p w:rsidR="004131F0" w:rsidRPr="00172C6A" w:rsidRDefault="004131F0" w:rsidP="0096342B">
      <w:pPr>
        <w:spacing w:after="120" w:line="360" w:lineRule="auto"/>
        <w:jc w:val="both"/>
        <w:rPr>
          <w:rFonts w:cstheme="minorHAnsi"/>
        </w:rPr>
      </w:pPr>
      <w:r w:rsidRPr="00172C6A">
        <w:rPr>
          <w:rFonts w:cstheme="minorHAnsi"/>
        </w:rPr>
        <w:t>Em relação à nossa última publicação</w:t>
      </w:r>
      <w:r w:rsidR="0003012B" w:rsidRPr="00172C6A">
        <w:rPr>
          <w:rFonts w:cstheme="minorHAnsi"/>
        </w:rPr>
        <w:t xml:space="preserve"> </w:t>
      </w:r>
      <w:r w:rsidRPr="00172C6A">
        <w:rPr>
          <w:rFonts w:cstheme="minorHAnsi"/>
        </w:rPr>
        <w:t>sobre este assunto</w:t>
      </w:r>
      <w:r w:rsidR="0003012B" w:rsidRPr="00172C6A">
        <w:rPr>
          <w:rFonts w:cstheme="minorHAnsi"/>
        </w:rPr>
        <w:t xml:space="preserve"> (7)</w:t>
      </w:r>
      <w:r w:rsidR="009B5641" w:rsidRPr="00172C6A">
        <w:rPr>
          <w:rFonts w:cstheme="minorHAnsi"/>
        </w:rPr>
        <w:t>,</w:t>
      </w:r>
      <w:r w:rsidRPr="00172C6A">
        <w:rPr>
          <w:rFonts w:cstheme="minorHAnsi"/>
        </w:rPr>
        <w:t xml:space="preserve"> </w:t>
      </w:r>
      <w:r w:rsidR="00F92289" w:rsidRPr="00172C6A">
        <w:rPr>
          <w:rFonts w:cstheme="minorHAnsi"/>
        </w:rPr>
        <w:t xml:space="preserve">verificou-se um aumento </w:t>
      </w:r>
      <w:r w:rsidR="002C5130" w:rsidRPr="00172C6A">
        <w:rPr>
          <w:rFonts w:cstheme="minorHAnsi"/>
        </w:rPr>
        <w:t>da CL (</w:t>
      </w:r>
      <w:r w:rsidR="009E7102">
        <w:rPr>
          <w:rFonts w:cstheme="minorHAnsi"/>
        </w:rPr>
        <w:t>67</w:t>
      </w:r>
      <w:r w:rsidR="00D670FE">
        <w:rPr>
          <w:rFonts w:cstheme="minorHAnsi"/>
        </w:rPr>
        <w:t>,</w:t>
      </w:r>
      <w:r w:rsidR="009E7102">
        <w:rPr>
          <w:rFonts w:cstheme="minorHAnsi"/>
        </w:rPr>
        <w:t>1</w:t>
      </w:r>
      <w:r w:rsidR="002C5130" w:rsidRPr="00172C6A">
        <w:rPr>
          <w:rFonts w:cstheme="minorHAnsi"/>
        </w:rPr>
        <w:t>%</w:t>
      </w:r>
      <w:r w:rsidRPr="00172C6A">
        <w:rPr>
          <w:rFonts w:cstheme="minorHAnsi"/>
        </w:rPr>
        <w:t xml:space="preserve"> </w:t>
      </w:r>
      <w:r w:rsidRPr="00172C6A">
        <w:rPr>
          <w:rFonts w:cstheme="minorHAnsi"/>
          <w:i/>
        </w:rPr>
        <w:t>vs</w:t>
      </w:r>
      <w:r w:rsidR="00D670FE">
        <w:rPr>
          <w:rFonts w:cstheme="minorHAnsi"/>
        </w:rPr>
        <w:t xml:space="preserve"> 84,8</w:t>
      </w:r>
      <w:r w:rsidRPr="00172C6A">
        <w:rPr>
          <w:rFonts w:cstheme="minorHAnsi"/>
        </w:rPr>
        <w:t>%</w:t>
      </w:r>
      <w:r w:rsidR="00FD6754">
        <w:rPr>
          <w:rFonts w:cstheme="minorHAnsi"/>
        </w:rPr>
        <w:t>;</w:t>
      </w:r>
      <w:r w:rsidR="006657AD">
        <w:rPr>
          <w:rFonts w:cstheme="minorHAnsi"/>
        </w:rPr>
        <w:t xml:space="preserve"> </w:t>
      </w:r>
      <w:r w:rsidR="006657AD" w:rsidRPr="009E7102">
        <w:rPr>
          <w:rFonts w:cstheme="minorHAnsi"/>
        </w:rPr>
        <w:t>p</w:t>
      </w:r>
      <w:r w:rsidR="009E7102">
        <w:rPr>
          <w:rFonts w:cstheme="minorHAnsi"/>
        </w:rPr>
        <w:t>&lt;</w:t>
      </w:r>
      <w:r w:rsidR="00EE3E57" w:rsidRPr="009E7102">
        <w:rPr>
          <w:rFonts w:cstheme="minorHAnsi"/>
        </w:rPr>
        <w:t>0,0</w:t>
      </w:r>
      <w:r w:rsidR="006657AD" w:rsidRPr="009E7102">
        <w:rPr>
          <w:rFonts w:cstheme="minorHAnsi"/>
        </w:rPr>
        <w:t>0</w:t>
      </w:r>
      <w:r w:rsidR="009E7102">
        <w:rPr>
          <w:rFonts w:cstheme="minorHAnsi"/>
        </w:rPr>
        <w:t>01</w:t>
      </w:r>
      <w:r w:rsidR="002C5130" w:rsidRPr="00172C6A">
        <w:rPr>
          <w:rFonts w:cstheme="minorHAnsi"/>
        </w:rPr>
        <w:t>)</w:t>
      </w:r>
      <w:r w:rsidRPr="00172C6A">
        <w:rPr>
          <w:rFonts w:cstheme="minorHAnsi"/>
        </w:rPr>
        <w:t xml:space="preserve"> e </w:t>
      </w:r>
      <w:r w:rsidR="009E7102">
        <w:rPr>
          <w:rFonts w:cstheme="minorHAnsi"/>
        </w:rPr>
        <w:t xml:space="preserve">uma </w:t>
      </w:r>
      <w:r w:rsidRPr="00172C6A">
        <w:rPr>
          <w:rFonts w:cstheme="minorHAnsi"/>
        </w:rPr>
        <w:t xml:space="preserve">diminuição da CA </w:t>
      </w:r>
      <w:r w:rsidR="002C5130" w:rsidRPr="00172C6A">
        <w:rPr>
          <w:rFonts w:cstheme="minorHAnsi"/>
        </w:rPr>
        <w:t>(</w:t>
      </w:r>
      <w:r w:rsidR="009E7102">
        <w:rPr>
          <w:rFonts w:cstheme="minorHAnsi"/>
        </w:rPr>
        <w:t>25</w:t>
      </w:r>
      <w:r w:rsidRPr="00172C6A">
        <w:rPr>
          <w:rFonts w:cstheme="minorHAnsi"/>
        </w:rPr>
        <w:t>,</w:t>
      </w:r>
      <w:r w:rsidR="009E7102">
        <w:rPr>
          <w:rFonts w:cstheme="minorHAnsi"/>
        </w:rPr>
        <w:t>7</w:t>
      </w:r>
      <w:r w:rsidRPr="00172C6A">
        <w:rPr>
          <w:rFonts w:cstheme="minorHAnsi"/>
        </w:rPr>
        <w:t xml:space="preserve">% </w:t>
      </w:r>
      <w:r w:rsidRPr="00172C6A">
        <w:rPr>
          <w:rFonts w:cstheme="minorHAnsi"/>
          <w:i/>
        </w:rPr>
        <w:t>vs</w:t>
      </w:r>
      <w:r w:rsidR="007D6340" w:rsidRPr="00172C6A">
        <w:rPr>
          <w:rFonts w:cstheme="minorHAnsi"/>
        </w:rPr>
        <w:t xml:space="preserve"> 1</w:t>
      </w:r>
      <w:r w:rsidR="009E7102">
        <w:rPr>
          <w:rFonts w:cstheme="minorHAnsi"/>
        </w:rPr>
        <w:t>5</w:t>
      </w:r>
      <w:r w:rsidR="007D6340" w:rsidRPr="00172C6A">
        <w:rPr>
          <w:rFonts w:cstheme="minorHAnsi"/>
        </w:rPr>
        <w:t>,</w:t>
      </w:r>
      <w:r w:rsidR="009E7102">
        <w:rPr>
          <w:rFonts w:cstheme="minorHAnsi"/>
        </w:rPr>
        <w:t>2</w:t>
      </w:r>
      <w:r w:rsidR="007D6340" w:rsidRPr="00172C6A">
        <w:rPr>
          <w:rFonts w:cstheme="minorHAnsi"/>
        </w:rPr>
        <w:t>%</w:t>
      </w:r>
      <w:r w:rsidR="00FD6754">
        <w:rPr>
          <w:rFonts w:cstheme="minorHAnsi"/>
        </w:rPr>
        <w:t>;</w:t>
      </w:r>
      <w:r w:rsidR="00EE3E57">
        <w:rPr>
          <w:rFonts w:cstheme="minorHAnsi"/>
        </w:rPr>
        <w:t xml:space="preserve"> </w:t>
      </w:r>
      <w:r w:rsidR="009E7102" w:rsidRPr="009E7102">
        <w:rPr>
          <w:rFonts w:cstheme="minorHAnsi"/>
        </w:rPr>
        <w:t>p=</w:t>
      </w:r>
      <w:r w:rsidR="005E5892">
        <w:rPr>
          <w:rFonts w:cstheme="minorHAnsi"/>
        </w:rPr>
        <w:t>0,0034</w:t>
      </w:r>
      <w:r w:rsidR="002C5130" w:rsidRPr="00172C6A">
        <w:rPr>
          <w:rFonts w:cstheme="minorHAnsi"/>
        </w:rPr>
        <w:t>)</w:t>
      </w:r>
      <w:r w:rsidR="007D6340" w:rsidRPr="00172C6A">
        <w:rPr>
          <w:rFonts w:cstheme="minorHAnsi"/>
        </w:rPr>
        <w:t>, em função da crescente diferenciação dos nossos cirurgiões mais jovens em técnicas mini-invasivas.</w:t>
      </w:r>
    </w:p>
    <w:p w:rsidR="004131F0" w:rsidRPr="00172C6A" w:rsidRDefault="004131F0" w:rsidP="0096342B">
      <w:pPr>
        <w:spacing w:after="120" w:line="360" w:lineRule="auto"/>
        <w:jc w:val="both"/>
        <w:rPr>
          <w:rFonts w:cstheme="minorHAnsi"/>
        </w:rPr>
      </w:pPr>
      <w:r w:rsidRPr="00172C6A">
        <w:rPr>
          <w:rFonts w:cstheme="minorHAnsi"/>
        </w:rPr>
        <w:t xml:space="preserve">A maior parte das séries </w:t>
      </w:r>
      <w:r w:rsidR="00F92760" w:rsidRPr="00172C6A">
        <w:rPr>
          <w:rFonts w:cstheme="minorHAnsi"/>
        </w:rPr>
        <w:t>referidas</w:t>
      </w:r>
      <w:r w:rsidRPr="00172C6A">
        <w:rPr>
          <w:rFonts w:cstheme="minorHAnsi"/>
        </w:rPr>
        <w:t xml:space="preserve"> correspond</w:t>
      </w:r>
      <w:r w:rsidR="00F92289" w:rsidRPr="00172C6A">
        <w:rPr>
          <w:rFonts w:cstheme="minorHAnsi"/>
        </w:rPr>
        <w:t>em a estudos multicêntricos (8,</w:t>
      </w:r>
      <w:r w:rsidR="00E50F31">
        <w:rPr>
          <w:rFonts w:cstheme="minorHAnsi"/>
        </w:rPr>
        <w:t xml:space="preserve"> </w:t>
      </w:r>
      <w:r w:rsidR="00F92289" w:rsidRPr="00172C6A">
        <w:rPr>
          <w:rFonts w:cstheme="minorHAnsi"/>
        </w:rPr>
        <w:t>1</w:t>
      </w:r>
      <w:r w:rsidR="009B5641" w:rsidRPr="00172C6A">
        <w:rPr>
          <w:rFonts w:cstheme="minorHAnsi"/>
        </w:rPr>
        <w:t>2</w:t>
      </w:r>
      <w:r w:rsidRPr="00172C6A">
        <w:rPr>
          <w:rFonts w:cstheme="minorHAnsi"/>
        </w:rPr>
        <w:t>), incluindo cir</w:t>
      </w:r>
      <w:r w:rsidR="00E47F7D" w:rsidRPr="00172C6A">
        <w:rPr>
          <w:rFonts w:cstheme="minorHAnsi"/>
        </w:rPr>
        <w:t>urgias realizadas por diversos c</w:t>
      </w:r>
      <w:r w:rsidRPr="00172C6A">
        <w:rPr>
          <w:rFonts w:cstheme="minorHAnsi"/>
        </w:rPr>
        <w:t>entros cirúrgicos.</w:t>
      </w:r>
      <w:r w:rsidR="007C534C">
        <w:rPr>
          <w:rFonts w:cstheme="minorHAnsi"/>
        </w:rPr>
        <w:t xml:space="preserve"> </w:t>
      </w:r>
      <w:r w:rsidRPr="00172C6A">
        <w:rPr>
          <w:rFonts w:cstheme="minorHAnsi"/>
        </w:rPr>
        <w:t xml:space="preserve">A nossa presente investigação tem a vantagem de constituir uma série homogénea, com cirurgiões do mesmo Serviço e técnicas </w:t>
      </w:r>
      <w:r w:rsidR="002C5130" w:rsidRPr="00172C6A">
        <w:rPr>
          <w:rFonts w:cstheme="minorHAnsi"/>
        </w:rPr>
        <w:t>estandardizadas</w:t>
      </w:r>
      <w:r w:rsidRPr="00172C6A">
        <w:rPr>
          <w:rFonts w:cstheme="minorHAnsi"/>
        </w:rPr>
        <w:t>.</w:t>
      </w:r>
    </w:p>
    <w:p w:rsidR="004131F0" w:rsidRPr="00172C6A" w:rsidRDefault="004131F0" w:rsidP="0096342B">
      <w:pPr>
        <w:spacing w:after="120" w:line="360" w:lineRule="auto"/>
        <w:jc w:val="both"/>
        <w:rPr>
          <w:rFonts w:cstheme="minorHAnsi"/>
        </w:rPr>
      </w:pPr>
      <w:r w:rsidRPr="00172C6A">
        <w:rPr>
          <w:rFonts w:cstheme="minorHAnsi"/>
        </w:rPr>
        <w:t xml:space="preserve">A análise global dos nossos resultados confirma a supremacia da CL </w:t>
      </w:r>
      <w:r w:rsidRPr="00172C6A">
        <w:rPr>
          <w:rFonts w:cstheme="minorHAnsi"/>
          <w:i/>
        </w:rPr>
        <w:t>vs</w:t>
      </w:r>
      <w:r w:rsidR="007C534C">
        <w:rPr>
          <w:rFonts w:cstheme="minorHAnsi"/>
        </w:rPr>
        <w:t xml:space="preserve"> CA no</w:t>
      </w:r>
      <w:r w:rsidRPr="00172C6A">
        <w:rPr>
          <w:rFonts w:cstheme="minorHAnsi"/>
        </w:rPr>
        <w:t xml:space="preserve"> </w:t>
      </w:r>
      <w:r w:rsidR="007C534C">
        <w:rPr>
          <w:rFonts w:cstheme="minorHAnsi"/>
        </w:rPr>
        <w:t>que diz respeito à</w:t>
      </w:r>
      <w:r w:rsidRPr="00172C6A">
        <w:rPr>
          <w:rFonts w:cstheme="minorHAnsi"/>
        </w:rPr>
        <w:t xml:space="preserve"> mortalidade, </w:t>
      </w:r>
      <w:r w:rsidR="007C534C">
        <w:rPr>
          <w:rFonts w:cstheme="minorHAnsi"/>
        </w:rPr>
        <w:t xml:space="preserve">às </w:t>
      </w:r>
      <w:r w:rsidRPr="00172C6A">
        <w:rPr>
          <w:rFonts w:cstheme="minorHAnsi"/>
        </w:rPr>
        <w:t>complicações cirúrgicas</w:t>
      </w:r>
      <w:r w:rsidR="00D237D1">
        <w:rPr>
          <w:rFonts w:cstheme="minorHAnsi"/>
        </w:rPr>
        <w:t xml:space="preserve"> e</w:t>
      </w:r>
      <w:r w:rsidRPr="00D237D1">
        <w:rPr>
          <w:rFonts w:cstheme="minorHAnsi"/>
        </w:rPr>
        <w:t xml:space="preserve"> </w:t>
      </w:r>
      <w:r w:rsidR="007C534C">
        <w:rPr>
          <w:rFonts w:cstheme="minorHAnsi"/>
        </w:rPr>
        <w:t xml:space="preserve">à </w:t>
      </w:r>
      <w:r w:rsidRPr="00D237D1">
        <w:rPr>
          <w:rFonts w:cstheme="minorHAnsi"/>
        </w:rPr>
        <w:t>estadia hospitalar.</w:t>
      </w:r>
      <w:r w:rsidR="007C534C">
        <w:rPr>
          <w:rFonts w:cstheme="minorHAnsi"/>
        </w:rPr>
        <w:t xml:space="preserve"> </w:t>
      </w:r>
      <w:r w:rsidRPr="00172C6A">
        <w:rPr>
          <w:rFonts w:cstheme="minorHAnsi"/>
        </w:rPr>
        <w:t>Além disso</w:t>
      </w:r>
      <w:r w:rsidR="00E47F7D" w:rsidRPr="00172C6A">
        <w:rPr>
          <w:rFonts w:cstheme="minorHAnsi"/>
        </w:rPr>
        <w:t>,</w:t>
      </w:r>
      <w:r w:rsidRPr="00172C6A">
        <w:rPr>
          <w:rFonts w:cstheme="minorHAnsi"/>
        </w:rPr>
        <w:t xml:space="preserve"> a CL não proporcionou maior lesão da via biliar principal do que a CA.</w:t>
      </w:r>
      <w:r w:rsidR="00F92289" w:rsidRPr="00172C6A">
        <w:rPr>
          <w:rFonts w:cstheme="minorHAnsi"/>
        </w:rPr>
        <w:t xml:space="preserve"> </w:t>
      </w:r>
      <w:r w:rsidRPr="00172C6A">
        <w:rPr>
          <w:rFonts w:cstheme="minorHAnsi"/>
        </w:rPr>
        <w:t xml:space="preserve">A incidência desta complicação foi de 0,8% na CL e 1,8% na CA, o que corresponde ao referido na literatura: 0,33% </w:t>
      </w:r>
      <w:r w:rsidRPr="00172C6A">
        <w:rPr>
          <w:rFonts w:cstheme="minorHAnsi"/>
          <w:i/>
        </w:rPr>
        <w:t>vs</w:t>
      </w:r>
      <w:r w:rsidRPr="00172C6A">
        <w:rPr>
          <w:rFonts w:cstheme="minorHAnsi"/>
        </w:rPr>
        <w:t xml:space="preserve"> 0,5%</w:t>
      </w:r>
      <w:r w:rsidR="00E47F7D" w:rsidRPr="00172C6A">
        <w:rPr>
          <w:rFonts w:cstheme="minorHAnsi"/>
        </w:rPr>
        <w:t xml:space="preserve"> </w:t>
      </w:r>
      <w:r w:rsidRPr="00172C6A">
        <w:rPr>
          <w:rFonts w:cstheme="minorHAnsi"/>
        </w:rPr>
        <w:t>(</w:t>
      </w:r>
      <w:r w:rsidR="00E47F7D" w:rsidRPr="00172C6A">
        <w:rPr>
          <w:rFonts w:cstheme="minorHAnsi"/>
        </w:rPr>
        <w:t>13</w:t>
      </w:r>
      <w:r w:rsidRPr="00172C6A">
        <w:rPr>
          <w:rFonts w:cstheme="minorHAnsi"/>
        </w:rPr>
        <w:t xml:space="preserve">); 1,19% </w:t>
      </w:r>
      <w:r w:rsidRPr="00172C6A">
        <w:rPr>
          <w:rFonts w:cstheme="minorHAnsi"/>
          <w:i/>
        </w:rPr>
        <w:t>vs</w:t>
      </w:r>
      <w:r w:rsidRPr="00172C6A">
        <w:rPr>
          <w:rFonts w:cstheme="minorHAnsi"/>
        </w:rPr>
        <w:t xml:space="preserve"> 2,7% (</w:t>
      </w:r>
      <w:r w:rsidR="00F92289" w:rsidRPr="00172C6A">
        <w:rPr>
          <w:rFonts w:cstheme="minorHAnsi"/>
        </w:rPr>
        <w:t>10</w:t>
      </w:r>
      <w:r w:rsidRPr="00172C6A">
        <w:rPr>
          <w:rFonts w:cstheme="minorHAnsi"/>
        </w:rPr>
        <w:t xml:space="preserve">); 1,1% </w:t>
      </w:r>
      <w:r w:rsidRPr="00172C6A">
        <w:rPr>
          <w:rFonts w:cstheme="minorHAnsi"/>
          <w:i/>
        </w:rPr>
        <w:t>vs</w:t>
      </w:r>
      <w:r w:rsidR="00F92289" w:rsidRPr="00172C6A">
        <w:rPr>
          <w:rFonts w:cstheme="minorHAnsi"/>
        </w:rPr>
        <w:t xml:space="preserve"> 2,7% (8</w:t>
      </w:r>
      <w:r w:rsidRPr="00172C6A">
        <w:rPr>
          <w:rFonts w:cstheme="minorHAnsi"/>
        </w:rPr>
        <w:t xml:space="preserve">); 0,82% </w:t>
      </w:r>
      <w:r w:rsidRPr="00172C6A">
        <w:rPr>
          <w:rFonts w:cstheme="minorHAnsi"/>
          <w:i/>
        </w:rPr>
        <w:t>vs</w:t>
      </w:r>
      <w:r w:rsidRPr="00172C6A">
        <w:rPr>
          <w:rFonts w:cstheme="minorHAnsi"/>
        </w:rPr>
        <w:t xml:space="preserve"> 1,24% (1</w:t>
      </w:r>
      <w:r w:rsidR="00E47F7D" w:rsidRPr="00172C6A">
        <w:rPr>
          <w:rFonts w:cstheme="minorHAnsi"/>
        </w:rPr>
        <w:t>4</w:t>
      </w:r>
      <w:r w:rsidRPr="00172C6A">
        <w:rPr>
          <w:rFonts w:cstheme="minorHAnsi"/>
        </w:rPr>
        <w:t>).</w:t>
      </w:r>
    </w:p>
    <w:p w:rsidR="004131F0" w:rsidRPr="000B17A2" w:rsidRDefault="004131F0" w:rsidP="0096342B">
      <w:pPr>
        <w:spacing w:after="120" w:line="360" w:lineRule="auto"/>
        <w:jc w:val="both"/>
        <w:rPr>
          <w:rFonts w:cstheme="minorHAnsi"/>
        </w:rPr>
      </w:pPr>
      <w:r w:rsidRPr="00172C6A">
        <w:rPr>
          <w:rFonts w:cstheme="minorHAnsi"/>
        </w:rPr>
        <w:t>Das nossa</w:t>
      </w:r>
      <w:r w:rsidR="007C534C">
        <w:rPr>
          <w:rFonts w:cstheme="minorHAnsi"/>
        </w:rPr>
        <w:t>s</w:t>
      </w:r>
      <w:r w:rsidRPr="00172C6A">
        <w:rPr>
          <w:rFonts w:cstheme="minorHAnsi"/>
        </w:rPr>
        <w:t xml:space="preserve"> 6 lesões biliares, três foram reconhecidas durante o ato cirúrgico (2 CL </w:t>
      </w:r>
      <w:r w:rsidR="00D237D1">
        <w:rPr>
          <w:rFonts w:cstheme="minorHAnsi"/>
        </w:rPr>
        <w:t>e</w:t>
      </w:r>
      <w:r w:rsidRPr="00D237D1">
        <w:rPr>
          <w:rFonts w:cstheme="minorHAnsi"/>
        </w:rPr>
        <w:t xml:space="preserve"> 1 CA) e 3 no pós-operatório (2 CL e 1</w:t>
      </w:r>
      <w:r w:rsidR="00D237D1">
        <w:rPr>
          <w:rFonts w:cstheme="minorHAnsi"/>
        </w:rPr>
        <w:t xml:space="preserve"> </w:t>
      </w:r>
      <w:r w:rsidRPr="00D237D1">
        <w:rPr>
          <w:rFonts w:cstheme="minorHAnsi"/>
        </w:rPr>
        <w:t>CA).</w:t>
      </w:r>
      <w:r w:rsidR="00E50F31">
        <w:rPr>
          <w:rFonts w:cstheme="minorHAnsi"/>
        </w:rPr>
        <w:t xml:space="preserve"> </w:t>
      </w:r>
      <w:r w:rsidR="00E47F7D" w:rsidRPr="000B17A2">
        <w:rPr>
          <w:rFonts w:cstheme="minorHAnsi"/>
        </w:rPr>
        <w:t>Destas últimas 3, em 2 (</w:t>
      </w:r>
      <w:r w:rsidRPr="000B17A2">
        <w:rPr>
          <w:rFonts w:cstheme="minorHAnsi"/>
        </w:rPr>
        <w:t xml:space="preserve">1 CL e 1 CA) não foi possível realizar </w:t>
      </w:r>
      <w:r w:rsidR="000B17A2">
        <w:rPr>
          <w:rFonts w:cstheme="minorHAnsi"/>
        </w:rPr>
        <w:t xml:space="preserve">a </w:t>
      </w:r>
      <w:proofErr w:type="spellStart"/>
      <w:r w:rsidR="000B17A2">
        <w:rPr>
          <w:rFonts w:cstheme="minorHAnsi"/>
        </w:rPr>
        <w:t>colengiografia</w:t>
      </w:r>
      <w:proofErr w:type="spellEnd"/>
      <w:r w:rsidR="000B17A2">
        <w:rPr>
          <w:rFonts w:cstheme="minorHAnsi"/>
        </w:rPr>
        <w:t xml:space="preserve"> </w:t>
      </w:r>
      <w:proofErr w:type="spellStart"/>
      <w:r w:rsidRPr="000B17A2">
        <w:rPr>
          <w:rFonts w:cstheme="minorHAnsi"/>
        </w:rPr>
        <w:t>per-operatória</w:t>
      </w:r>
      <w:proofErr w:type="spellEnd"/>
      <w:r w:rsidRPr="000B17A2">
        <w:rPr>
          <w:rFonts w:cstheme="minorHAnsi"/>
        </w:rPr>
        <w:t xml:space="preserve"> por intensos fenómenos inflamatórios inerentes à junção</w:t>
      </w:r>
      <w:r w:rsidR="007C534C">
        <w:rPr>
          <w:rFonts w:cstheme="minorHAnsi"/>
        </w:rPr>
        <w:t xml:space="preserve"> </w:t>
      </w:r>
      <w:proofErr w:type="spellStart"/>
      <w:r w:rsidR="007C534C">
        <w:rPr>
          <w:rFonts w:cstheme="minorHAnsi"/>
        </w:rPr>
        <w:t>colecisto</w:t>
      </w:r>
      <w:proofErr w:type="spellEnd"/>
      <w:r w:rsidR="007C534C">
        <w:rPr>
          <w:rFonts w:cstheme="minorHAnsi"/>
        </w:rPr>
        <w:t>-cística; noutro caso</w:t>
      </w:r>
      <w:r w:rsidRPr="000B17A2">
        <w:rPr>
          <w:rFonts w:cstheme="minorHAnsi"/>
        </w:rPr>
        <w:t xml:space="preserve"> (CL)</w:t>
      </w:r>
      <w:r w:rsidR="007C534C">
        <w:rPr>
          <w:rFonts w:cstheme="minorHAnsi"/>
        </w:rPr>
        <w:t>,</w:t>
      </w:r>
      <w:r w:rsidRPr="000B17A2">
        <w:rPr>
          <w:rFonts w:cstheme="minorHAnsi"/>
        </w:rPr>
        <w:t xml:space="preserve"> a lesão verificou-se durante o ato cirúrgico, apesar de ser efetuada a </w:t>
      </w:r>
      <w:proofErr w:type="spellStart"/>
      <w:r w:rsidRPr="000B17A2">
        <w:rPr>
          <w:rFonts w:cstheme="minorHAnsi"/>
        </w:rPr>
        <w:t>colangiografia</w:t>
      </w:r>
      <w:proofErr w:type="spellEnd"/>
      <w:r w:rsidRPr="000B17A2">
        <w:rPr>
          <w:rFonts w:cstheme="minorHAnsi"/>
        </w:rPr>
        <w:t>, o que confirm</w:t>
      </w:r>
      <w:r w:rsidR="00F92760" w:rsidRPr="000B17A2">
        <w:rPr>
          <w:rFonts w:cstheme="minorHAnsi"/>
        </w:rPr>
        <w:t>a</w:t>
      </w:r>
      <w:r w:rsidRPr="000B17A2">
        <w:rPr>
          <w:rFonts w:cstheme="minorHAnsi"/>
        </w:rPr>
        <w:t xml:space="preserve"> que a execução deste exame não salvaguarda tal complicação.</w:t>
      </w:r>
    </w:p>
    <w:p w:rsidR="004131F0" w:rsidRPr="00233503" w:rsidRDefault="004131F0" w:rsidP="0096342B">
      <w:pPr>
        <w:spacing w:after="120" w:line="360" w:lineRule="auto"/>
        <w:jc w:val="both"/>
        <w:rPr>
          <w:rFonts w:cstheme="minorHAnsi"/>
        </w:rPr>
      </w:pPr>
      <w:r w:rsidRPr="00162ABF">
        <w:rPr>
          <w:rFonts w:cstheme="minorHAnsi"/>
        </w:rPr>
        <w:t>Aliás</w:t>
      </w:r>
      <w:r w:rsidR="007C534C">
        <w:rPr>
          <w:rFonts w:cstheme="minorHAnsi"/>
        </w:rPr>
        <w:t>,</w:t>
      </w:r>
      <w:r w:rsidRPr="00162ABF">
        <w:rPr>
          <w:rFonts w:cstheme="minorHAnsi"/>
        </w:rPr>
        <w:t xml:space="preserve"> não há unanimidade sobre o valor </w:t>
      </w:r>
      <w:r w:rsidR="00162ABF">
        <w:rPr>
          <w:rFonts w:cstheme="minorHAnsi"/>
        </w:rPr>
        <w:t>daquele exame no decurso da colecistectomia</w:t>
      </w:r>
      <w:r w:rsidRPr="00162ABF">
        <w:rPr>
          <w:rFonts w:cstheme="minorHAnsi"/>
        </w:rPr>
        <w:t>.</w:t>
      </w:r>
      <w:r w:rsidR="007C534C">
        <w:rPr>
          <w:rFonts w:cstheme="minorHAnsi"/>
        </w:rPr>
        <w:t xml:space="preserve"> </w:t>
      </w:r>
      <w:r w:rsidRPr="00162ABF">
        <w:rPr>
          <w:rFonts w:cstheme="minorHAnsi"/>
        </w:rPr>
        <w:t>Alguns consideram-n</w:t>
      </w:r>
      <w:r w:rsidR="00162ABF">
        <w:rPr>
          <w:rFonts w:cstheme="minorHAnsi"/>
        </w:rPr>
        <w:t>o</w:t>
      </w:r>
      <w:r w:rsidRPr="00162ABF">
        <w:rPr>
          <w:rFonts w:cstheme="minorHAnsi"/>
        </w:rPr>
        <w:t xml:space="preserve"> imprescindível (</w:t>
      </w:r>
      <w:r w:rsidR="00F92289" w:rsidRPr="00313990">
        <w:rPr>
          <w:rFonts w:cstheme="minorHAnsi"/>
        </w:rPr>
        <w:t>1</w:t>
      </w:r>
      <w:r w:rsidR="00E47F7D" w:rsidRPr="00233503">
        <w:rPr>
          <w:rFonts w:cstheme="minorHAnsi"/>
        </w:rPr>
        <w:t>5</w:t>
      </w:r>
      <w:r w:rsidRPr="00233503">
        <w:rPr>
          <w:rFonts w:cstheme="minorHAnsi"/>
        </w:rPr>
        <w:t xml:space="preserve">), enquanto outros apenas </w:t>
      </w:r>
      <w:r w:rsidR="00FD6679">
        <w:rPr>
          <w:rFonts w:cstheme="minorHAnsi"/>
        </w:rPr>
        <w:t xml:space="preserve">o </w:t>
      </w:r>
      <w:r w:rsidRPr="00233503">
        <w:rPr>
          <w:rFonts w:cstheme="minorHAnsi"/>
        </w:rPr>
        <w:t>realizam de modo seletivo (</w:t>
      </w:r>
      <w:r w:rsidR="00F92289" w:rsidRPr="00233503">
        <w:rPr>
          <w:rFonts w:cstheme="minorHAnsi"/>
        </w:rPr>
        <w:t>1</w:t>
      </w:r>
      <w:r w:rsidR="00E47F7D" w:rsidRPr="00233503">
        <w:rPr>
          <w:rFonts w:cstheme="minorHAnsi"/>
        </w:rPr>
        <w:t>6</w:t>
      </w:r>
      <w:r w:rsidRPr="00233503">
        <w:rPr>
          <w:rFonts w:cstheme="minorHAnsi"/>
        </w:rPr>
        <w:t>).</w:t>
      </w:r>
    </w:p>
    <w:p w:rsidR="004131F0" w:rsidRPr="00172C6A" w:rsidRDefault="00E47F7D" w:rsidP="0096342B">
      <w:pPr>
        <w:spacing w:after="120" w:line="360" w:lineRule="auto"/>
        <w:jc w:val="both"/>
        <w:rPr>
          <w:rFonts w:cstheme="minorHAnsi"/>
        </w:rPr>
      </w:pPr>
      <w:r w:rsidRPr="00172C6A">
        <w:rPr>
          <w:rFonts w:cstheme="minorHAnsi"/>
        </w:rPr>
        <w:t xml:space="preserve">Pela nossa parte, </w:t>
      </w:r>
      <w:r w:rsidR="004131F0" w:rsidRPr="00172C6A">
        <w:rPr>
          <w:rFonts w:cstheme="minorHAnsi"/>
        </w:rPr>
        <w:t xml:space="preserve">recorremos a </w:t>
      </w:r>
      <w:r w:rsidR="00FD6679">
        <w:rPr>
          <w:rFonts w:cstheme="minorHAnsi"/>
        </w:rPr>
        <w:t>ele</w:t>
      </w:r>
      <w:r w:rsidR="004131F0" w:rsidRPr="00172C6A">
        <w:rPr>
          <w:rFonts w:cstheme="minorHAnsi"/>
        </w:rPr>
        <w:t xml:space="preserve"> sempre que se torna conveniente a definição do pedículo biliar, embora as alterações inflamatórias por vezes aí existentes nem sempre permitam a sua realização.</w:t>
      </w:r>
    </w:p>
    <w:p w:rsidR="004131F0" w:rsidRPr="00172C6A" w:rsidRDefault="004131F0" w:rsidP="0096342B">
      <w:pPr>
        <w:spacing w:after="120" w:line="360" w:lineRule="auto"/>
        <w:jc w:val="both"/>
        <w:rPr>
          <w:rFonts w:cstheme="minorHAnsi"/>
        </w:rPr>
      </w:pPr>
      <w:r w:rsidRPr="00172C6A">
        <w:rPr>
          <w:rFonts w:cstheme="minorHAnsi"/>
        </w:rPr>
        <w:t>Torna-se importante referir que o sucessivo adestramento técnico dos diversos cirurgiões em cirurgia laparoscópica tem vindo a diminuir consideravelmente esta complicação.</w:t>
      </w:r>
    </w:p>
    <w:p w:rsidR="004131F0" w:rsidRPr="00172C6A" w:rsidRDefault="004131F0" w:rsidP="0096342B">
      <w:pPr>
        <w:spacing w:after="120" w:line="360" w:lineRule="auto"/>
        <w:jc w:val="both"/>
        <w:rPr>
          <w:rFonts w:cstheme="minorHAnsi"/>
        </w:rPr>
      </w:pPr>
      <w:r w:rsidRPr="00172C6A">
        <w:rPr>
          <w:rFonts w:cstheme="minorHAnsi"/>
        </w:rPr>
        <w:t>Registamos uma conversão de 10,3%</w:t>
      </w:r>
      <w:r w:rsidR="007C534C">
        <w:rPr>
          <w:rFonts w:cstheme="minorHAnsi"/>
        </w:rPr>
        <w:t xml:space="preserve">, valor </w:t>
      </w:r>
      <w:r w:rsidRPr="00172C6A">
        <w:rPr>
          <w:rFonts w:cstheme="minorHAnsi"/>
        </w:rPr>
        <w:t>semelhante ou mesmo inferior ao diver</w:t>
      </w:r>
      <w:r w:rsidR="00F92289" w:rsidRPr="00172C6A">
        <w:rPr>
          <w:rFonts w:cstheme="minorHAnsi"/>
        </w:rPr>
        <w:t>samente relatado: 22% e 46,2%</w:t>
      </w:r>
      <w:r w:rsidR="00EB682E" w:rsidRPr="00172C6A">
        <w:rPr>
          <w:rFonts w:cstheme="minorHAnsi"/>
        </w:rPr>
        <w:t xml:space="preserve"> (formas graves)</w:t>
      </w:r>
      <w:r w:rsidR="00F92289" w:rsidRPr="00172C6A">
        <w:rPr>
          <w:rFonts w:cstheme="minorHAnsi"/>
        </w:rPr>
        <w:t xml:space="preserve"> (17</w:t>
      </w:r>
      <w:r w:rsidRPr="00172C6A">
        <w:rPr>
          <w:rFonts w:cstheme="minorHAnsi"/>
        </w:rPr>
        <w:t>)</w:t>
      </w:r>
      <w:r w:rsidR="007C534C">
        <w:rPr>
          <w:rFonts w:cstheme="minorHAnsi"/>
        </w:rPr>
        <w:t>;</w:t>
      </w:r>
      <w:r w:rsidRPr="00172C6A">
        <w:rPr>
          <w:rFonts w:cstheme="minorHAnsi"/>
        </w:rPr>
        <w:t xml:space="preserve"> 10,7% e 32 %</w:t>
      </w:r>
      <w:r w:rsidR="00EB682E" w:rsidRPr="00172C6A">
        <w:rPr>
          <w:rFonts w:cstheme="minorHAnsi"/>
        </w:rPr>
        <w:t xml:space="preserve"> (casos graves)</w:t>
      </w:r>
      <w:r w:rsidRPr="00172C6A">
        <w:rPr>
          <w:rFonts w:cstheme="minorHAnsi"/>
        </w:rPr>
        <w:t xml:space="preserve"> (</w:t>
      </w:r>
      <w:r w:rsidR="00F92289" w:rsidRPr="00172C6A">
        <w:rPr>
          <w:rFonts w:cstheme="minorHAnsi"/>
        </w:rPr>
        <w:t>8</w:t>
      </w:r>
      <w:r w:rsidRPr="00172C6A">
        <w:rPr>
          <w:rFonts w:cstheme="minorHAnsi"/>
        </w:rPr>
        <w:t>) e</w:t>
      </w:r>
      <w:r w:rsidR="007C534C">
        <w:rPr>
          <w:rFonts w:cstheme="minorHAnsi"/>
        </w:rPr>
        <w:t xml:space="preserve"> </w:t>
      </w:r>
      <w:r w:rsidRPr="00172C6A">
        <w:rPr>
          <w:rFonts w:cstheme="minorHAnsi"/>
        </w:rPr>
        <w:t>10%, na generalidade</w:t>
      </w:r>
      <w:r w:rsidR="00EB682E" w:rsidRPr="00172C6A">
        <w:rPr>
          <w:rFonts w:cstheme="minorHAnsi"/>
        </w:rPr>
        <w:t xml:space="preserve"> </w:t>
      </w:r>
      <w:r w:rsidRPr="00172C6A">
        <w:rPr>
          <w:rFonts w:cstheme="minorHAnsi"/>
        </w:rPr>
        <w:t>(1</w:t>
      </w:r>
      <w:r w:rsidR="00F92289" w:rsidRPr="00172C6A">
        <w:rPr>
          <w:rFonts w:cstheme="minorHAnsi"/>
        </w:rPr>
        <w:t>8</w:t>
      </w:r>
      <w:r w:rsidRPr="00172C6A">
        <w:rPr>
          <w:rFonts w:cstheme="minorHAnsi"/>
        </w:rPr>
        <w:t>).</w:t>
      </w:r>
    </w:p>
    <w:p w:rsidR="004131F0" w:rsidRPr="00172C6A" w:rsidRDefault="007C534C" w:rsidP="0096342B">
      <w:pPr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>Entre os fa</w:t>
      </w:r>
      <w:r w:rsidR="004131F0" w:rsidRPr="00172C6A">
        <w:rPr>
          <w:rFonts w:cstheme="minorHAnsi"/>
        </w:rPr>
        <w:t>to</w:t>
      </w:r>
      <w:r w:rsidR="002C5130" w:rsidRPr="00172C6A">
        <w:rPr>
          <w:rFonts w:cstheme="minorHAnsi"/>
        </w:rPr>
        <w:t>re</w:t>
      </w:r>
      <w:r w:rsidR="004131F0" w:rsidRPr="00172C6A">
        <w:rPr>
          <w:rFonts w:cstheme="minorHAnsi"/>
        </w:rPr>
        <w:t xml:space="preserve">s </w:t>
      </w:r>
      <w:r>
        <w:rPr>
          <w:rFonts w:cstheme="minorHAnsi"/>
        </w:rPr>
        <w:t>suscep</w:t>
      </w:r>
      <w:r w:rsidR="00F92289" w:rsidRPr="00172C6A">
        <w:rPr>
          <w:rFonts w:cstheme="minorHAnsi"/>
        </w:rPr>
        <w:t>tíveis</w:t>
      </w:r>
      <w:r w:rsidR="004131F0" w:rsidRPr="00172C6A">
        <w:rPr>
          <w:rFonts w:cstheme="minorHAnsi"/>
        </w:rPr>
        <w:t xml:space="preserve"> de influenciar tal incidência, </w:t>
      </w:r>
      <w:r w:rsidR="00F92289" w:rsidRPr="00172C6A">
        <w:rPr>
          <w:rFonts w:cstheme="minorHAnsi"/>
        </w:rPr>
        <w:t>têm</w:t>
      </w:r>
      <w:r w:rsidR="004131F0" w:rsidRPr="00172C6A">
        <w:rPr>
          <w:rFonts w:cstheme="minorHAnsi"/>
        </w:rPr>
        <w:t xml:space="preserve"> sido referidos o </w:t>
      </w:r>
      <w:r>
        <w:rPr>
          <w:rFonts w:cstheme="minorHAnsi"/>
        </w:rPr>
        <w:t>género</w:t>
      </w:r>
      <w:r w:rsidR="004131F0" w:rsidRPr="00172C6A">
        <w:rPr>
          <w:rFonts w:cstheme="minorHAnsi"/>
        </w:rPr>
        <w:t>, a idade, o tempo decorrido da cirurgia após o diagnóstico, e ainda severidade das formas histológicas.</w:t>
      </w:r>
    </w:p>
    <w:p w:rsidR="004131F0" w:rsidRPr="00172C6A" w:rsidRDefault="004131F0" w:rsidP="0096342B">
      <w:pPr>
        <w:spacing w:after="120" w:line="360" w:lineRule="auto"/>
        <w:jc w:val="both"/>
        <w:rPr>
          <w:rFonts w:cstheme="minorHAnsi"/>
        </w:rPr>
      </w:pPr>
      <w:r w:rsidRPr="00172C6A">
        <w:rPr>
          <w:rFonts w:cstheme="minorHAnsi"/>
        </w:rPr>
        <w:t>Na nossa série</w:t>
      </w:r>
      <w:r w:rsidR="002A7465" w:rsidRPr="00172C6A">
        <w:rPr>
          <w:rFonts w:cstheme="minorHAnsi"/>
        </w:rPr>
        <w:t>,</w:t>
      </w:r>
      <w:r w:rsidRPr="00172C6A">
        <w:rPr>
          <w:rFonts w:cstheme="minorHAnsi"/>
        </w:rPr>
        <w:t xml:space="preserve"> </w:t>
      </w:r>
      <w:r w:rsidR="00A831F0" w:rsidRPr="00172C6A">
        <w:rPr>
          <w:rFonts w:cstheme="minorHAnsi"/>
        </w:rPr>
        <w:t>não</w:t>
      </w:r>
      <w:r w:rsidRPr="00172C6A">
        <w:rPr>
          <w:rFonts w:cstheme="minorHAnsi"/>
        </w:rPr>
        <w:t xml:space="preserve"> houve resultados significativos </w:t>
      </w:r>
      <w:r w:rsidR="002A7465" w:rsidRPr="00172C6A">
        <w:rPr>
          <w:rFonts w:cstheme="minorHAnsi"/>
        </w:rPr>
        <w:t>em relação àqueles parâmetros</w:t>
      </w:r>
      <w:r w:rsidRPr="00172C6A">
        <w:rPr>
          <w:rFonts w:cstheme="minorHAnsi"/>
        </w:rPr>
        <w:t xml:space="preserve">, relativamente </w:t>
      </w:r>
      <w:r w:rsidR="00A831F0" w:rsidRPr="00172C6A">
        <w:rPr>
          <w:rFonts w:cstheme="minorHAnsi"/>
        </w:rPr>
        <w:t xml:space="preserve">ao </w:t>
      </w:r>
      <w:r w:rsidR="007C534C">
        <w:rPr>
          <w:rFonts w:cstheme="minorHAnsi"/>
        </w:rPr>
        <w:t>género</w:t>
      </w:r>
      <w:r w:rsidR="00A831F0" w:rsidRPr="00172C6A">
        <w:rPr>
          <w:rFonts w:cstheme="minorHAnsi"/>
        </w:rPr>
        <w:t xml:space="preserve"> e à idade</w:t>
      </w:r>
      <w:r w:rsidRPr="00172C6A">
        <w:rPr>
          <w:rFonts w:cstheme="minorHAnsi"/>
        </w:rPr>
        <w:t>.</w:t>
      </w:r>
    </w:p>
    <w:p w:rsidR="004131F0" w:rsidRPr="00172C6A" w:rsidRDefault="004131F0" w:rsidP="0096342B">
      <w:pPr>
        <w:spacing w:after="120" w:line="360" w:lineRule="auto"/>
        <w:jc w:val="both"/>
        <w:rPr>
          <w:rFonts w:cstheme="minorHAnsi"/>
        </w:rPr>
      </w:pPr>
      <w:r w:rsidRPr="00172C6A">
        <w:rPr>
          <w:rFonts w:cstheme="minorHAnsi"/>
        </w:rPr>
        <w:t>O tempo decorrido entre a cirurgia e o diagnóstico inicial (considerando-se o limite de 4 dias para a denominação de cirurgia precoce), tem sido valorizado diferentemente, de acordo com vários autores.</w:t>
      </w:r>
      <w:r w:rsidR="00F92289" w:rsidRPr="00172C6A">
        <w:rPr>
          <w:rFonts w:cstheme="minorHAnsi"/>
        </w:rPr>
        <w:t xml:space="preserve"> </w:t>
      </w:r>
      <w:r w:rsidRPr="00172C6A">
        <w:rPr>
          <w:rFonts w:cstheme="minorHAnsi"/>
        </w:rPr>
        <w:t>A CL precoce proporcionaria menor c</w:t>
      </w:r>
      <w:r w:rsidR="00F92289" w:rsidRPr="00172C6A">
        <w:rPr>
          <w:rFonts w:cstheme="minorHAnsi"/>
        </w:rPr>
        <w:t>onversão em várias publicações (19,</w:t>
      </w:r>
      <w:r w:rsidR="007C534C">
        <w:rPr>
          <w:rFonts w:cstheme="minorHAnsi"/>
        </w:rPr>
        <w:t xml:space="preserve"> </w:t>
      </w:r>
      <w:r w:rsidR="00F92289" w:rsidRPr="00172C6A">
        <w:rPr>
          <w:rFonts w:cstheme="minorHAnsi"/>
        </w:rPr>
        <w:t>20</w:t>
      </w:r>
      <w:r w:rsidR="00A831F0" w:rsidRPr="00172C6A">
        <w:rPr>
          <w:rFonts w:cstheme="minorHAnsi"/>
        </w:rPr>
        <w:t>,</w:t>
      </w:r>
      <w:r w:rsidR="007C534C">
        <w:rPr>
          <w:rFonts w:cstheme="minorHAnsi"/>
        </w:rPr>
        <w:t xml:space="preserve"> </w:t>
      </w:r>
      <w:r w:rsidR="00A831F0" w:rsidRPr="00172C6A">
        <w:rPr>
          <w:rFonts w:cstheme="minorHAnsi"/>
        </w:rPr>
        <w:t>21</w:t>
      </w:r>
      <w:r w:rsidRPr="00172C6A">
        <w:rPr>
          <w:rFonts w:cstheme="minorHAnsi"/>
        </w:rPr>
        <w:t>)</w:t>
      </w:r>
      <w:r w:rsidR="007C534C">
        <w:rPr>
          <w:rFonts w:cstheme="minorHAnsi"/>
        </w:rPr>
        <w:t>.</w:t>
      </w:r>
      <w:r w:rsidRPr="00172C6A">
        <w:rPr>
          <w:rFonts w:cstheme="minorHAnsi"/>
        </w:rPr>
        <w:t xml:space="preserve"> </w:t>
      </w:r>
      <w:r w:rsidR="007C534C">
        <w:rPr>
          <w:rFonts w:cstheme="minorHAnsi"/>
        </w:rPr>
        <w:t>O</w:t>
      </w:r>
      <w:r w:rsidRPr="00172C6A">
        <w:rPr>
          <w:rFonts w:cstheme="minorHAnsi"/>
        </w:rPr>
        <w:t>utros referem opinião contrária</w:t>
      </w:r>
      <w:r w:rsidR="000D2D24">
        <w:rPr>
          <w:rFonts w:cstheme="minorHAnsi"/>
        </w:rPr>
        <w:t>,</w:t>
      </w:r>
      <w:r w:rsidRPr="00172C6A">
        <w:rPr>
          <w:rFonts w:cstheme="minorHAnsi"/>
        </w:rPr>
        <w:t xml:space="preserve"> não atribuindo qualquer diferença na cirurgia</w:t>
      </w:r>
      <w:r w:rsidR="00F92289" w:rsidRPr="00172C6A">
        <w:rPr>
          <w:rFonts w:cstheme="minorHAnsi"/>
        </w:rPr>
        <w:t xml:space="preserve"> precoce comparada com a tardia</w:t>
      </w:r>
      <w:r w:rsidR="000D2D24">
        <w:rPr>
          <w:rFonts w:cstheme="minorHAnsi"/>
        </w:rPr>
        <w:t xml:space="preserve"> </w:t>
      </w:r>
      <w:r w:rsidR="000D2D24" w:rsidRPr="00172C6A">
        <w:rPr>
          <w:rFonts w:cstheme="minorHAnsi"/>
        </w:rPr>
        <w:t>(11)</w:t>
      </w:r>
      <w:r w:rsidR="00F92289" w:rsidRPr="00172C6A">
        <w:rPr>
          <w:rFonts w:cstheme="minorHAnsi"/>
        </w:rPr>
        <w:t>.</w:t>
      </w:r>
    </w:p>
    <w:p w:rsidR="004131F0" w:rsidRPr="00172C6A" w:rsidRDefault="004131F0" w:rsidP="0096342B">
      <w:pPr>
        <w:spacing w:after="120" w:line="360" w:lineRule="auto"/>
        <w:jc w:val="both"/>
        <w:rPr>
          <w:rFonts w:cstheme="minorHAnsi"/>
        </w:rPr>
      </w:pPr>
      <w:r w:rsidRPr="00172C6A">
        <w:rPr>
          <w:rFonts w:cstheme="minorHAnsi"/>
        </w:rPr>
        <w:t xml:space="preserve">Na </w:t>
      </w:r>
      <w:r w:rsidR="00A831F0" w:rsidRPr="00172C6A">
        <w:rPr>
          <w:rFonts w:cstheme="minorHAnsi"/>
        </w:rPr>
        <w:t>presente investigação</w:t>
      </w:r>
      <w:r w:rsidR="000D2D24">
        <w:rPr>
          <w:rFonts w:cstheme="minorHAnsi"/>
        </w:rPr>
        <w:t>,</w:t>
      </w:r>
      <w:r w:rsidRPr="00172C6A">
        <w:rPr>
          <w:rFonts w:cstheme="minorHAnsi"/>
        </w:rPr>
        <w:t xml:space="preserve"> a conversão correspondente à CL precoce foi de 8,3% e </w:t>
      </w:r>
      <w:r w:rsidR="000D2D24">
        <w:rPr>
          <w:rFonts w:cstheme="minorHAnsi"/>
        </w:rPr>
        <w:t xml:space="preserve">de </w:t>
      </w:r>
      <w:r w:rsidRPr="00172C6A">
        <w:rPr>
          <w:rFonts w:cstheme="minorHAnsi"/>
        </w:rPr>
        <w:t>16% n</w:t>
      </w:r>
      <w:r w:rsidR="00691EFC" w:rsidRPr="00172C6A">
        <w:rPr>
          <w:rFonts w:cstheme="minorHAnsi"/>
        </w:rPr>
        <w:t xml:space="preserve">a tardia (após 4 dias), embora </w:t>
      </w:r>
      <w:r w:rsidRPr="00172C6A">
        <w:rPr>
          <w:rFonts w:cstheme="minorHAnsi"/>
        </w:rPr>
        <w:t>sem significado estatístico.</w:t>
      </w:r>
    </w:p>
    <w:p w:rsidR="004131F0" w:rsidRPr="00172C6A" w:rsidRDefault="004131F0" w:rsidP="0096342B">
      <w:pPr>
        <w:spacing w:after="120" w:line="360" w:lineRule="auto"/>
        <w:jc w:val="both"/>
        <w:rPr>
          <w:rFonts w:cstheme="minorHAnsi"/>
        </w:rPr>
      </w:pPr>
      <w:r w:rsidRPr="00172C6A">
        <w:rPr>
          <w:rFonts w:cstheme="minorHAnsi"/>
        </w:rPr>
        <w:t xml:space="preserve">As causas de conversão foram condicionadas por complicações cirúrgicas (hemorragias, lesões biliares, lacerações entéricas, indefinição do pedículo biliar, intolerância ao </w:t>
      </w:r>
      <w:proofErr w:type="spellStart"/>
      <w:r w:rsidRPr="00172C6A">
        <w:rPr>
          <w:rFonts w:cstheme="minorHAnsi"/>
        </w:rPr>
        <w:t>hemoperitoneo</w:t>
      </w:r>
      <w:proofErr w:type="spellEnd"/>
      <w:r w:rsidRPr="00172C6A">
        <w:rPr>
          <w:rFonts w:cstheme="minorHAnsi"/>
        </w:rPr>
        <w:t xml:space="preserve"> e perfurações vesiculares em colecistites gangrenosas.</w:t>
      </w:r>
      <w:r w:rsidR="000D2D24">
        <w:rPr>
          <w:rFonts w:cstheme="minorHAnsi"/>
        </w:rPr>
        <w:t xml:space="preserve"> </w:t>
      </w:r>
      <w:r w:rsidRPr="00172C6A">
        <w:rPr>
          <w:rFonts w:cstheme="minorHAnsi"/>
        </w:rPr>
        <w:t>Mediante tais complicações</w:t>
      </w:r>
      <w:r w:rsidR="00A831F0" w:rsidRPr="00172C6A">
        <w:rPr>
          <w:rFonts w:cstheme="minorHAnsi"/>
        </w:rPr>
        <w:t>,</w:t>
      </w:r>
      <w:r w:rsidRPr="00172C6A">
        <w:rPr>
          <w:rFonts w:cstheme="minorHAnsi"/>
        </w:rPr>
        <w:t xml:space="preserve"> é imperativo converter, o que não deve ser considerado como sinal de inexperiência, mas sim de bom senso.</w:t>
      </w:r>
    </w:p>
    <w:p w:rsidR="004131F0" w:rsidRPr="00617121" w:rsidRDefault="004131F0" w:rsidP="0096342B">
      <w:pPr>
        <w:spacing w:after="120" w:line="360" w:lineRule="auto"/>
        <w:jc w:val="both"/>
        <w:rPr>
          <w:rFonts w:cstheme="minorHAnsi"/>
        </w:rPr>
      </w:pPr>
      <w:r w:rsidRPr="00172C6A">
        <w:rPr>
          <w:rFonts w:cstheme="minorHAnsi"/>
        </w:rPr>
        <w:t>A mortalidade</w:t>
      </w:r>
      <w:r w:rsidRPr="00233503">
        <w:rPr>
          <w:rFonts w:cstheme="minorHAnsi"/>
        </w:rPr>
        <w:t xml:space="preserve"> por nós referida correspondeu a 7 casos</w:t>
      </w:r>
      <w:r w:rsidR="00233503">
        <w:rPr>
          <w:rFonts w:cstheme="minorHAnsi"/>
        </w:rPr>
        <w:t xml:space="preserve">: </w:t>
      </w:r>
      <w:r w:rsidRPr="00233503">
        <w:rPr>
          <w:rFonts w:cstheme="minorHAnsi"/>
        </w:rPr>
        <w:t xml:space="preserve">3 </w:t>
      </w:r>
      <w:r w:rsidR="000D2D24">
        <w:rPr>
          <w:rFonts w:cstheme="minorHAnsi"/>
        </w:rPr>
        <w:t>(0,</w:t>
      </w:r>
      <w:r w:rsidR="005E5892">
        <w:rPr>
          <w:rFonts w:cstheme="minorHAnsi"/>
        </w:rPr>
        <w:t>7</w:t>
      </w:r>
      <w:r w:rsidR="000D2D24">
        <w:rPr>
          <w:rFonts w:cstheme="minorHAnsi"/>
        </w:rPr>
        <w:t xml:space="preserve">%) </w:t>
      </w:r>
      <w:r w:rsidR="00233503">
        <w:rPr>
          <w:rFonts w:cstheme="minorHAnsi"/>
        </w:rPr>
        <w:t xml:space="preserve">em </w:t>
      </w:r>
      <w:r w:rsidRPr="00233503">
        <w:rPr>
          <w:rFonts w:cstheme="minorHAnsi"/>
        </w:rPr>
        <w:t xml:space="preserve">CL e 4 </w:t>
      </w:r>
      <w:r w:rsidR="00233503">
        <w:rPr>
          <w:rFonts w:cstheme="minorHAnsi"/>
        </w:rPr>
        <w:t xml:space="preserve">(4,6%) em </w:t>
      </w:r>
      <w:r w:rsidRPr="00233503">
        <w:rPr>
          <w:rFonts w:cstheme="minorHAnsi"/>
        </w:rPr>
        <w:t xml:space="preserve">CA, </w:t>
      </w:r>
      <w:r w:rsidR="00233503">
        <w:rPr>
          <w:rFonts w:cstheme="minorHAnsi"/>
        </w:rPr>
        <w:t>constituindo valores aproximados aos citados noutros trabalhos</w:t>
      </w:r>
      <w:r w:rsidRPr="00233503">
        <w:rPr>
          <w:rFonts w:cstheme="minorHAnsi"/>
        </w:rPr>
        <w:t xml:space="preserve">: 0,7% </w:t>
      </w:r>
      <w:r w:rsidRPr="00233503">
        <w:rPr>
          <w:rFonts w:cstheme="minorHAnsi"/>
          <w:i/>
        </w:rPr>
        <w:t>vs</w:t>
      </w:r>
      <w:r w:rsidRPr="00233503">
        <w:rPr>
          <w:rFonts w:cstheme="minorHAnsi"/>
        </w:rPr>
        <w:t xml:space="preserve"> 1% (</w:t>
      </w:r>
      <w:r w:rsidR="00F92289" w:rsidRPr="00233503">
        <w:rPr>
          <w:rFonts w:cstheme="minorHAnsi"/>
        </w:rPr>
        <w:t>10</w:t>
      </w:r>
      <w:r w:rsidRPr="00233503">
        <w:rPr>
          <w:rFonts w:cstheme="minorHAnsi"/>
        </w:rPr>
        <w:t>)</w:t>
      </w:r>
      <w:r w:rsidR="00233503">
        <w:rPr>
          <w:rFonts w:cstheme="minorHAnsi"/>
        </w:rPr>
        <w:t>;</w:t>
      </w:r>
      <w:r w:rsidRPr="00233503">
        <w:rPr>
          <w:rFonts w:cstheme="minorHAnsi"/>
        </w:rPr>
        <w:t xml:space="preserve"> </w:t>
      </w:r>
      <w:r w:rsidR="00233503">
        <w:rPr>
          <w:rFonts w:cstheme="minorHAnsi"/>
        </w:rPr>
        <w:t xml:space="preserve">e </w:t>
      </w:r>
      <w:r w:rsidRPr="00233503">
        <w:rPr>
          <w:rFonts w:cstheme="minorHAnsi"/>
        </w:rPr>
        <w:t xml:space="preserve">0,5% </w:t>
      </w:r>
      <w:r w:rsidRPr="00233503">
        <w:rPr>
          <w:rFonts w:cstheme="minorHAnsi"/>
          <w:i/>
        </w:rPr>
        <w:t>vs</w:t>
      </w:r>
      <w:r w:rsidRPr="00233503">
        <w:rPr>
          <w:rFonts w:cstheme="minorHAnsi"/>
        </w:rPr>
        <w:t xml:space="preserve"> 5,4% (</w:t>
      </w:r>
      <w:r w:rsidR="00F92289" w:rsidRPr="00233503">
        <w:rPr>
          <w:rFonts w:cstheme="minorHAnsi"/>
        </w:rPr>
        <w:t>8</w:t>
      </w:r>
      <w:r w:rsidRPr="00233503">
        <w:rPr>
          <w:rFonts w:cstheme="minorHAnsi"/>
        </w:rPr>
        <w:t>).</w:t>
      </w:r>
      <w:r w:rsidR="00617121">
        <w:rPr>
          <w:rFonts w:cstheme="minorHAnsi"/>
        </w:rPr>
        <w:t xml:space="preserve"> </w:t>
      </w:r>
      <w:r w:rsidRPr="00617121">
        <w:rPr>
          <w:rFonts w:cstheme="minorHAnsi"/>
        </w:rPr>
        <w:t>De registar que naqueles 7 óbitos</w:t>
      </w:r>
      <w:r w:rsidR="00A831F0" w:rsidRPr="00617121">
        <w:rPr>
          <w:rFonts w:cstheme="minorHAnsi"/>
        </w:rPr>
        <w:t>,</w:t>
      </w:r>
      <w:r w:rsidRPr="00617121">
        <w:rPr>
          <w:rFonts w:cstheme="minorHAnsi"/>
        </w:rPr>
        <w:t xml:space="preserve"> 2 foram ocasionados por complicações inerentes a lesão do canal biliar, em doentes com colecistites gangrenosas e com idade muito avançada.</w:t>
      </w:r>
    </w:p>
    <w:p w:rsidR="004131F0" w:rsidRPr="00617121" w:rsidRDefault="004131F0" w:rsidP="0096342B">
      <w:pPr>
        <w:spacing w:after="120" w:line="360" w:lineRule="auto"/>
        <w:jc w:val="both"/>
        <w:rPr>
          <w:rFonts w:cstheme="minorHAnsi"/>
        </w:rPr>
      </w:pPr>
      <w:r w:rsidRPr="00617121">
        <w:rPr>
          <w:rFonts w:cstheme="minorHAnsi"/>
        </w:rPr>
        <w:t>A estadia hospitalar foi inferior na CL do que na CA</w:t>
      </w:r>
      <w:r w:rsidR="00617121">
        <w:rPr>
          <w:rFonts w:cstheme="minorHAnsi"/>
        </w:rPr>
        <w:t>,</w:t>
      </w:r>
      <w:r w:rsidRPr="00617121">
        <w:rPr>
          <w:rFonts w:cstheme="minorHAnsi"/>
        </w:rPr>
        <w:t xml:space="preserve"> como aliás seria de esperar</w:t>
      </w:r>
      <w:r w:rsidR="00617121">
        <w:rPr>
          <w:rFonts w:cstheme="minorHAnsi"/>
        </w:rPr>
        <w:t>. Na CL</w:t>
      </w:r>
      <w:r w:rsidRPr="00617121">
        <w:rPr>
          <w:rFonts w:cstheme="minorHAnsi"/>
        </w:rPr>
        <w:t xml:space="preserve"> 64,8% </w:t>
      </w:r>
      <w:r w:rsidR="00617121">
        <w:rPr>
          <w:rFonts w:cstheme="minorHAnsi"/>
        </w:rPr>
        <w:t xml:space="preserve">dos indivíduos tiveram uma estadia hospitalar </w:t>
      </w:r>
      <w:r w:rsidRPr="00617121">
        <w:rPr>
          <w:rFonts w:cstheme="minorHAnsi"/>
        </w:rPr>
        <w:t>inferior</w:t>
      </w:r>
      <w:r w:rsidR="00A831F0" w:rsidRPr="00617121">
        <w:rPr>
          <w:rFonts w:cstheme="minorHAnsi"/>
        </w:rPr>
        <w:t xml:space="preserve"> a 4 dias</w:t>
      </w:r>
      <w:r w:rsidR="00617121">
        <w:rPr>
          <w:rFonts w:cstheme="minorHAnsi"/>
        </w:rPr>
        <w:t>, enquanto na CA essa taxa foi de</w:t>
      </w:r>
      <w:r w:rsidR="00A831F0" w:rsidRPr="00617121">
        <w:rPr>
          <w:rFonts w:cstheme="minorHAnsi"/>
        </w:rPr>
        <w:t xml:space="preserve"> 18,5% </w:t>
      </w:r>
      <w:r w:rsidR="00617121">
        <w:rPr>
          <w:rFonts w:cstheme="minorHAnsi"/>
        </w:rPr>
        <w:t>(</w:t>
      </w:r>
      <w:r w:rsidRPr="00617121">
        <w:rPr>
          <w:rFonts w:cstheme="minorHAnsi"/>
        </w:rPr>
        <w:t>p&lt;0,0001</w:t>
      </w:r>
      <w:r w:rsidR="00617121">
        <w:rPr>
          <w:rFonts w:cstheme="minorHAnsi"/>
        </w:rPr>
        <w:t>)</w:t>
      </w:r>
      <w:r w:rsidRPr="00617121">
        <w:rPr>
          <w:rFonts w:cstheme="minorHAnsi"/>
        </w:rPr>
        <w:t>.</w:t>
      </w:r>
    </w:p>
    <w:p w:rsidR="004131F0" w:rsidRPr="00172C6A" w:rsidRDefault="004131F0" w:rsidP="0096342B">
      <w:pPr>
        <w:spacing w:after="120" w:line="360" w:lineRule="auto"/>
        <w:jc w:val="both"/>
        <w:rPr>
          <w:rFonts w:cstheme="minorHAnsi"/>
        </w:rPr>
      </w:pPr>
      <w:r w:rsidRPr="00172C6A">
        <w:rPr>
          <w:rFonts w:cstheme="minorHAnsi"/>
        </w:rPr>
        <w:t>A reflexão das considerações acima referidas permitem-nos confirmar enormes vantagens da CL sobre a CA, no tratamento da colecistite aguda.</w:t>
      </w:r>
    </w:p>
    <w:p w:rsidR="004131F0" w:rsidRPr="00D773AB" w:rsidRDefault="004131F0" w:rsidP="0096342B">
      <w:pPr>
        <w:spacing w:after="120" w:line="360" w:lineRule="auto"/>
        <w:jc w:val="both"/>
        <w:rPr>
          <w:rFonts w:cstheme="minorHAnsi"/>
        </w:rPr>
      </w:pPr>
      <w:r w:rsidRPr="00172C6A">
        <w:rPr>
          <w:rFonts w:cstheme="minorHAnsi"/>
        </w:rPr>
        <w:t>Em todas as séries o número da</w:t>
      </w:r>
      <w:r w:rsidR="00EC7CF4" w:rsidRPr="00172C6A">
        <w:rPr>
          <w:rFonts w:cstheme="minorHAnsi"/>
        </w:rPr>
        <w:t>s colecistectomias abertas</w:t>
      </w:r>
      <w:r w:rsidRPr="00172C6A">
        <w:rPr>
          <w:rFonts w:cstheme="minorHAnsi"/>
        </w:rPr>
        <w:t xml:space="preserve"> no tratamento daquela afeção é pouco sign</w:t>
      </w:r>
      <w:r w:rsidR="009312C6" w:rsidRPr="00172C6A">
        <w:rPr>
          <w:rFonts w:cstheme="minorHAnsi"/>
        </w:rPr>
        <w:t xml:space="preserve">ificativo. Porém, em determinados casos </w:t>
      </w:r>
      <w:r w:rsidR="00777EE9" w:rsidRPr="00172C6A">
        <w:rPr>
          <w:rFonts w:cstheme="minorHAnsi"/>
        </w:rPr>
        <w:t>ela</w:t>
      </w:r>
      <w:r w:rsidRPr="00172C6A">
        <w:rPr>
          <w:rFonts w:cstheme="minorHAnsi"/>
        </w:rPr>
        <w:t xml:space="preserve"> ainda tem as suas indicações, conforme foi </w:t>
      </w:r>
      <w:r w:rsidR="00D773AB">
        <w:rPr>
          <w:rFonts w:cstheme="minorHAnsi"/>
        </w:rPr>
        <w:t xml:space="preserve">referido </w:t>
      </w:r>
      <w:r w:rsidRPr="00D773AB">
        <w:rPr>
          <w:rFonts w:cstheme="minorHAnsi"/>
        </w:rPr>
        <w:t xml:space="preserve">recentemente por </w:t>
      </w:r>
      <w:proofErr w:type="spellStart"/>
      <w:r w:rsidR="00383197">
        <w:rPr>
          <w:rFonts w:cstheme="minorHAnsi"/>
        </w:rPr>
        <w:t>Degrate</w:t>
      </w:r>
      <w:proofErr w:type="spellEnd"/>
      <w:r w:rsidRPr="00D773AB">
        <w:rPr>
          <w:rFonts w:cstheme="minorHAnsi"/>
        </w:rPr>
        <w:t xml:space="preserve"> </w:t>
      </w:r>
      <w:r w:rsidRPr="005E5892">
        <w:rPr>
          <w:rFonts w:cstheme="minorHAnsi"/>
        </w:rPr>
        <w:t>(</w:t>
      </w:r>
      <w:r w:rsidR="009312C6" w:rsidRPr="005E5892">
        <w:rPr>
          <w:rFonts w:cstheme="minorHAnsi"/>
        </w:rPr>
        <w:t>1</w:t>
      </w:r>
      <w:r w:rsidR="00383197">
        <w:rPr>
          <w:rFonts w:cstheme="minorHAnsi"/>
        </w:rPr>
        <w:t>1</w:t>
      </w:r>
      <w:r w:rsidRPr="005E5892">
        <w:rPr>
          <w:rFonts w:cstheme="minorHAnsi"/>
        </w:rPr>
        <w:t xml:space="preserve">). </w:t>
      </w:r>
      <w:r w:rsidR="00777EE9" w:rsidRPr="005E5892">
        <w:rPr>
          <w:rFonts w:cstheme="minorHAnsi"/>
        </w:rPr>
        <w:t>Assim, em 316 colecistites agudas, aquele autor refere</w:t>
      </w:r>
      <w:r w:rsidRPr="005E5892">
        <w:rPr>
          <w:rFonts w:cstheme="minorHAnsi"/>
        </w:rPr>
        <w:t xml:space="preserve"> </w:t>
      </w:r>
      <w:r w:rsidR="00777EE9" w:rsidRPr="005E5892">
        <w:rPr>
          <w:rFonts w:cstheme="minorHAnsi"/>
        </w:rPr>
        <w:t>ter recorrido à cirurgia aberta em 14,6% dos casos</w:t>
      </w:r>
      <w:r w:rsidR="00383197">
        <w:rPr>
          <w:rFonts w:cstheme="minorHAnsi"/>
        </w:rPr>
        <w:t>: por peritonite, cirurgia prévia</w:t>
      </w:r>
      <w:r w:rsidRPr="005E5892">
        <w:rPr>
          <w:rFonts w:cstheme="minorHAnsi"/>
        </w:rPr>
        <w:t>, abcesso</w:t>
      </w:r>
      <w:r w:rsidR="009312C6" w:rsidRPr="005E5892">
        <w:rPr>
          <w:rFonts w:cstheme="minorHAnsi"/>
        </w:rPr>
        <w:t>s</w:t>
      </w:r>
      <w:r w:rsidRPr="005E5892">
        <w:rPr>
          <w:rFonts w:cstheme="minorHAnsi"/>
        </w:rPr>
        <w:t xml:space="preserve"> hepáticos concomitantes</w:t>
      </w:r>
      <w:r w:rsidR="00383197">
        <w:rPr>
          <w:rFonts w:cstheme="minorHAnsi"/>
        </w:rPr>
        <w:t xml:space="preserve"> e comorbilidades</w:t>
      </w:r>
      <w:r w:rsidRPr="005E5892">
        <w:rPr>
          <w:rFonts w:cstheme="minorHAnsi"/>
        </w:rPr>
        <w:t>.</w:t>
      </w:r>
    </w:p>
    <w:p w:rsidR="00777EE9" w:rsidRPr="00172C6A" w:rsidRDefault="00777EE9" w:rsidP="0096342B">
      <w:pPr>
        <w:spacing w:after="120" w:line="360" w:lineRule="auto"/>
        <w:jc w:val="both"/>
        <w:rPr>
          <w:rFonts w:cstheme="minorHAnsi"/>
        </w:rPr>
      </w:pPr>
    </w:p>
    <w:p w:rsidR="00777EE9" w:rsidRPr="00172C6A" w:rsidRDefault="00777EE9" w:rsidP="00777EE9">
      <w:pPr>
        <w:spacing w:after="120" w:line="360" w:lineRule="auto"/>
        <w:jc w:val="both"/>
        <w:rPr>
          <w:rFonts w:cstheme="minorHAnsi"/>
          <w:b/>
        </w:rPr>
      </w:pPr>
      <w:r w:rsidRPr="00172C6A">
        <w:rPr>
          <w:rFonts w:cstheme="minorHAnsi"/>
          <w:b/>
        </w:rPr>
        <w:t>CONCLUSÃO</w:t>
      </w:r>
    </w:p>
    <w:p w:rsidR="004131F0" w:rsidRPr="00172C6A" w:rsidRDefault="004131F0" w:rsidP="0096342B">
      <w:pPr>
        <w:spacing w:after="120" w:line="360" w:lineRule="auto"/>
        <w:jc w:val="both"/>
        <w:rPr>
          <w:rFonts w:cstheme="minorHAnsi"/>
        </w:rPr>
      </w:pPr>
      <w:r w:rsidRPr="00172C6A">
        <w:rPr>
          <w:rFonts w:cstheme="minorHAnsi"/>
        </w:rPr>
        <w:t>Em conclusão</w:t>
      </w:r>
      <w:r w:rsidR="00726E05" w:rsidRPr="00172C6A">
        <w:rPr>
          <w:rFonts w:cstheme="minorHAnsi"/>
        </w:rPr>
        <w:t>,</w:t>
      </w:r>
      <w:r w:rsidRPr="00172C6A">
        <w:rPr>
          <w:rFonts w:cstheme="minorHAnsi"/>
        </w:rPr>
        <w:t xml:space="preserve"> julgamos poder afirmar</w:t>
      </w:r>
      <w:r w:rsidR="000D2D24">
        <w:rPr>
          <w:rFonts w:cstheme="minorHAnsi"/>
        </w:rPr>
        <w:t xml:space="preserve"> que o</w:t>
      </w:r>
      <w:r w:rsidRPr="00172C6A">
        <w:rPr>
          <w:rFonts w:cstheme="minorHAnsi"/>
        </w:rPr>
        <w:t xml:space="preserve"> tratamento cirúrgico da colecistite aguda deve ser objeto de várias opções inerentes a determinados parâmetros: tipo histológico (colecistite supurada, gangrenosa, enfisematosa), alterações sistémicas multiorgânicas, patologia hepática </w:t>
      </w:r>
      <w:r w:rsidR="009312C6" w:rsidRPr="00172C6A">
        <w:rPr>
          <w:rFonts w:cstheme="minorHAnsi"/>
        </w:rPr>
        <w:t xml:space="preserve">infeciosa </w:t>
      </w:r>
      <w:r w:rsidRPr="00172C6A">
        <w:rPr>
          <w:rFonts w:cstheme="minorHAnsi"/>
        </w:rPr>
        <w:t>associada, instalação do Bloco Operatório em laparoscopia e imagiologia, múltiplas intervenções no andar superior do abdómen e, muito especialmente, experiência do cirurgião em cirurgia laparoscópica (</w:t>
      </w:r>
      <w:r w:rsidR="00221215" w:rsidRPr="00172C6A">
        <w:rPr>
          <w:rFonts w:cstheme="minorHAnsi"/>
        </w:rPr>
        <w:t>5,</w:t>
      </w:r>
      <w:r w:rsidR="00505B64" w:rsidRPr="00172C6A">
        <w:rPr>
          <w:rFonts w:cstheme="minorHAnsi"/>
        </w:rPr>
        <w:t xml:space="preserve"> </w:t>
      </w:r>
      <w:r w:rsidR="00221215" w:rsidRPr="00172C6A">
        <w:rPr>
          <w:rFonts w:cstheme="minorHAnsi"/>
        </w:rPr>
        <w:t>2</w:t>
      </w:r>
      <w:r w:rsidR="00B656D6" w:rsidRPr="00172C6A">
        <w:rPr>
          <w:rFonts w:cstheme="minorHAnsi"/>
        </w:rPr>
        <w:t>2</w:t>
      </w:r>
      <w:r w:rsidR="009312C6" w:rsidRPr="00172C6A">
        <w:rPr>
          <w:rFonts w:cstheme="minorHAnsi"/>
        </w:rPr>
        <w:t>, 23</w:t>
      </w:r>
      <w:r w:rsidRPr="00172C6A">
        <w:rPr>
          <w:rFonts w:cstheme="minorHAnsi"/>
        </w:rPr>
        <w:t>).</w:t>
      </w:r>
    </w:p>
    <w:p w:rsidR="00505B64" w:rsidRPr="00172C6A" w:rsidRDefault="004131F0" w:rsidP="0096342B">
      <w:pPr>
        <w:spacing w:after="120" w:line="360" w:lineRule="auto"/>
        <w:jc w:val="both"/>
        <w:rPr>
          <w:rFonts w:cstheme="minorHAnsi"/>
        </w:rPr>
      </w:pPr>
      <w:r w:rsidRPr="00172C6A">
        <w:rPr>
          <w:rFonts w:cstheme="minorHAnsi"/>
        </w:rPr>
        <w:t>Devidamente ponderada</w:t>
      </w:r>
      <w:r w:rsidR="00726E05" w:rsidRPr="00172C6A">
        <w:rPr>
          <w:rFonts w:cstheme="minorHAnsi"/>
        </w:rPr>
        <w:t>, a colecistectomia laparoscópica deve ser a primeira escolha</w:t>
      </w:r>
      <w:r w:rsidR="000D2D24">
        <w:rPr>
          <w:rFonts w:cstheme="minorHAnsi"/>
        </w:rPr>
        <w:t>. N</w:t>
      </w:r>
      <w:r w:rsidRPr="00172C6A">
        <w:rPr>
          <w:rFonts w:cstheme="minorHAnsi"/>
        </w:rPr>
        <w:t>outras s</w:t>
      </w:r>
      <w:r w:rsidR="00726E05" w:rsidRPr="00172C6A">
        <w:rPr>
          <w:rFonts w:cstheme="minorHAnsi"/>
        </w:rPr>
        <w:t>ituações, já acima assinaladas</w:t>
      </w:r>
      <w:r w:rsidR="009312C6" w:rsidRPr="00172C6A">
        <w:rPr>
          <w:rFonts w:cstheme="minorHAnsi"/>
        </w:rPr>
        <w:t>,</w:t>
      </w:r>
      <w:r w:rsidRPr="00172C6A">
        <w:rPr>
          <w:rFonts w:cstheme="minorHAnsi"/>
        </w:rPr>
        <w:t xml:space="preserve"> a </w:t>
      </w:r>
      <w:r w:rsidR="00726E05" w:rsidRPr="00172C6A">
        <w:rPr>
          <w:rFonts w:cstheme="minorHAnsi"/>
        </w:rPr>
        <w:t xml:space="preserve">cirurgia aberta </w:t>
      </w:r>
      <w:r w:rsidR="009312C6" w:rsidRPr="00172C6A">
        <w:rPr>
          <w:rFonts w:cstheme="minorHAnsi"/>
        </w:rPr>
        <w:t>poderá</w:t>
      </w:r>
      <w:r w:rsidRPr="00172C6A">
        <w:rPr>
          <w:rFonts w:cstheme="minorHAnsi"/>
        </w:rPr>
        <w:t xml:space="preserve"> ter o seu lugar.</w:t>
      </w:r>
    </w:p>
    <w:p w:rsidR="004131F0" w:rsidRPr="00172C6A" w:rsidRDefault="004131F0" w:rsidP="0096342B">
      <w:pPr>
        <w:spacing w:after="120" w:line="360" w:lineRule="auto"/>
        <w:jc w:val="both"/>
        <w:rPr>
          <w:rFonts w:cstheme="minorHAnsi"/>
        </w:rPr>
      </w:pPr>
      <w:r w:rsidRPr="00172C6A">
        <w:rPr>
          <w:rFonts w:cstheme="minorHAnsi"/>
        </w:rPr>
        <w:t xml:space="preserve">Mediante </w:t>
      </w:r>
      <w:r w:rsidR="009312C6" w:rsidRPr="00172C6A">
        <w:rPr>
          <w:rFonts w:cstheme="minorHAnsi"/>
        </w:rPr>
        <w:t xml:space="preserve">casos </w:t>
      </w:r>
      <w:r w:rsidRPr="00172C6A">
        <w:rPr>
          <w:rFonts w:cstheme="minorHAnsi"/>
        </w:rPr>
        <w:t xml:space="preserve">de extrema gravidade inerente ao estado geral do doente, a </w:t>
      </w:r>
      <w:proofErr w:type="spellStart"/>
      <w:r w:rsidRPr="00172C6A">
        <w:rPr>
          <w:rFonts w:cstheme="minorHAnsi"/>
        </w:rPr>
        <w:t>colecistostomia</w:t>
      </w:r>
      <w:proofErr w:type="spellEnd"/>
      <w:r w:rsidRPr="00172C6A">
        <w:rPr>
          <w:rFonts w:cstheme="minorHAnsi"/>
        </w:rPr>
        <w:t xml:space="preserve"> percutânea, sob orientação ecográfica, seguida algum tempo depois da exérese vesicular, ganha cada vez maior número de adeptos (</w:t>
      </w:r>
      <w:r w:rsidR="00B656D6" w:rsidRPr="00172C6A">
        <w:rPr>
          <w:rFonts w:cstheme="minorHAnsi"/>
        </w:rPr>
        <w:t>24</w:t>
      </w:r>
      <w:r w:rsidR="009312C6" w:rsidRPr="00172C6A">
        <w:rPr>
          <w:rFonts w:cstheme="minorHAnsi"/>
        </w:rPr>
        <w:t>, 25</w:t>
      </w:r>
      <w:r w:rsidRPr="00172C6A">
        <w:rPr>
          <w:rFonts w:cstheme="minorHAnsi"/>
        </w:rPr>
        <w:t>).</w:t>
      </w:r>
    </w:p>
    <w:p w:rsidR="004131F0" w:rsidRPr="00D237D1" w:rsidRDefault="004131F0" w:rsidP="0096342B">
      <w:pPr>
        <w:spacing w:after="120" w:line="360" w:lineRule="auto"/>
        <w:jc w:val="both"/>
        <w:rPr>
          <w:rFonts w:cstheme="minorHAnsi"/>
        </w:rPr>
      </w:pPr>
      <w:r w:rsidRPr="00172C6A">
        <w:rPr>
          <w:rFonts w:cstheme="minorHAnsi"/>
        </w:rPr>
        <w:t xml:space="preserve">Mas qualquer que seja a técnica escolhida é imperativo recordar, como preconiza </w:t>
      </w:r>
      <w:proofErr w:type="spellStart"/>
      <w:r w:rsidRPr="00172C6A">
        <w:rPr>
          <w:rFonts w:cstheme="minorHAnsi"/>
        </w:rPr>
        <w:t>Navez</w:t>
      </w:r>
      <w:proofErr w:type="spellEnd"/>
      <w:r w:rsidRPr="00172C6A">
        <w:rPr>
          <w:rFonts w:cstheme="minorHAnsi"/>
        </w:rPr>
        <w:t xml:space="preserve"> (</w:t>
      </w:r>
      <w:r w:rsidR="00B21321" w:rsidRPr="00172C6A">
        <w:rPr>
          <w:rFonts w:cstheme="minorHAnsi"/>
        </w:rPr>
        <w:t>8</w:t>
      </w:r>
      <w:r w:rsidRPr="00172C6A">
        <w:rPr>
          <w:rFonts w:cstheme="minorHAnsi"/>
        </w:rPr>
        <w:t>)</w:t>
      </w:r>
      <w:r w:rsidR="00D237D1">
        <w:rPr>
          <w:rFonts w:cstheme="minorHAnsi"/>
          <w:i/>
        </w:rPr>
        <w:t xml:space="preserve">, </w:t>
      </w:r>
      <w:r w:rsidRPr="00D237D1">
        <w:rPr>
          <w:rFonts w:cstheme="minorHAnsi"/>
          <w:i/>
        </w:rPr>
        <w:t>“</w:t>
      </w:r>
      <w:proofErr w:type="spellStart"/>
      <w:r w:rsidRPr="00D237D1">
        <w:rPr>
          <w:rFonts w:cstheme="minorHAnsi"/>
          <w:i/>
        </w:rPr>
        <w:t>The</w:t>
      </w:r>
      <w:proofErr w:type="spellEnd"/>
      <w:r w:rsidRPr="00D237D1">
        <w:rPr>
          <w:rFonts w:cstheme="minorHAnsi"/>
          <w:i/>
        </w:rPr>
        <w:t xml:space="preserve"> </w:t>
      </w:r>
      <w:proofErr w:type="spellStart"/>
      <w:r w:rsidRPr="00D237D1">
        <w:rPr>
          <w:rFonts w:cstheme="minorHAnsi"/>
          <w:i/>
        </w:rPr>
        <w:t>first</w:t>
      </w:r>
      <w:proofErr w:type="spellEnd"/>
      <w:r w:rsidRPr="00D237D1">
        <w:rPr>
          <w:rFonts w:cstheme="minorHAnsi"/>
          <w:i/>
        </w:rPr>
        <w:t xml:space="preserve"> </w:t>
      </w:r>
      <w:proofErr w:type="spellStart"/>
      <w:r w:rsidRPr="00D237D1">
        <w:rPr>
          <w:rFonts w:cstheme="minorHAnsi"/>
          <w:i/>
        </w:rPr>
        <w:t>option</w:t>
      </w:r>
      <w:proofErr w:type="spellEnd"/>
      <w:r w:rsidRPr="00D237D1">
        <w:rPr>
          <w:rFonts w:cstheme="minorHAnsi"/>
          <w:i/>
        </w:rPr>
        <w:t xml:space="preserve"> </w:t>
      </w:r>
      <w:proofErr w:type="spellStart"/>
      <w:r w:rsidRPr="00D237D1">
        <w:rPr>
          <w:rFonts w:cstheme="minorHAnsi"/>
          <w:i/>
        </w:rPr>
        <w:t>is</w:t>
      </w:r>
      <w:proofErr w:type="spellEnd"/>
      <w:r w:rsidRPr="00D237D1">
        <w:rPr>
          <w:rFonts w:cstheme="minorHAnsi"/>
          <w:i/>
        </w:rPr>
        <w:t xml:space="preserve"> </w:t>
      </w:r>
      <w:proofErr w:type="spellStart"/>
      <w:r w:rsidRPr="00D237D1">
        <w:rPr>
          <w:rFonts w:cstheme="minorHAnsi"/>
          <w:i/>
        </w:rPr>
        <w:t>the</w:t>
      </w:r>
      <w:proofErr w:type="spellEnd"/>
      <w:r w:rsidRPr="00D237D1">
        <w:rPr>
          <w:rFonts w:cstheme="minorHAnsi"/>
          <w:i/>
        </w:rPr>
        <w:t xml:space="preserve"> </w:t>
      </w:r>
      <w:proofErr w:type="spellStart"/>
      <w:r w:rsidRPr="00D237D1">
        <w:rPr>
          <w:rFonts w:cstheme="minorHAnsi"/>
          <w:i/>
        </w:rPr>
        <w:t>safety</w:t>
      </w:r>
      <w:proofErr w:type="spellEnd"/>
      <w:r w:rsidRPr="00D237D1">
        <w:rPr>
          <w:rFonts w:cstheme="minorHAnsi"/>
          <w:i/>
        </w:rPr>
        <w:t xml:space="preserve"> </w:t>
      </w:r>
      <w:proofErr w:type="spellStart"/>
      <w:r w:rsidRPr="00D237D1">
        <w:rPr>
          <w:rFonts w:cstheme="minorHAnsi"/>
          <w:i/>
        </w:rPr>
        <w:t>of</w:t>
      </w:r>
      <w:proofErr w:type="spellEnd"/>
      <w:r w:rsidRPr="00D237D1">
        <w:rPr>
          <w:rFonts w:cstheme="minorHAnsi"/>
          <w:i/>
        </w:rPr>
        <w:t xml:space="preserve"> </w:t>
      </w:r>
      <w:proofErr w:type="spellStart"/>
      <w:r w:rsidRPr="00D237D1">
        <w:rPr>
          <w:rFonts w:cstheme="minorHAnsi"/>
          <w:i/>
        </w:rPr>
        <w:t>the</w:t>
      </w:r>
      <w:proofErr w:type="spellEnd"/>
      <w:r w:rsidRPr="00D237D1">
        <w:rPr>
          <w:rFonts w:cstheme="minorHAnsi"/>
          <w:i/>
        </w:rPr>
        <w:t xml:space="preserve"> </w:t>
      </w:r>
      <w:proofErr w:type="spellStart"/>
      <w:r w:rsidRPr="00D237D1">
        <w:rPr>
          <w:rFonts w:cstheme="minorHAnsi"/>
          <w:i/>
        </w:rPr>
        <w:t>patients</w:t>
      </w:r>
      <w:proofErr w:type="spellEnd"/>
      <w:r w:rsidRPr="00D237D1">
        <w:rPr>
          <w:rFonts w:cstheme="minorHAnsi"/>
          <w:i/>
        </w:rPr>
        <w:t>”</w:t>
      </w:r>
      <w:r w:rsidR="00D237D1" w:rsidRPr="000D2D24">
        <w:rPr>
          <w:rFonts w:cstheme="minorHAnsi"/>
        </w:rPr>
        <w:t>.</w:t>
      </w:r>
    </w:p>
    <w:p w:rsidR="00D51D84" w:rsidRPr="00D237D1" w:rsidRDefault="00D51D84" w:rsidP="0096342B">
      <w:pPr>
        <w:spacing w:after="120" w:line="360" w:lineRule="auto"/>
        <w:jc w:val="both"/>
        <w:rPr>
          <w:rFonts w:cstheme="minorHAnsi"/>
        </w:rPr>
      </w:pPr>
    </w:p>
    <w:p w:rsidR="001147F9" w:rsidRPr="005C11F4" w:rsidRDefault="004131F0" w:rsidP="0096342B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5C11F4">
        <w:rPr>
          <w:rFonts w:cstheme="minorHAnsi"/>
          <w:sz w:val="20"/>
          <w:szCs w:val="20"/>
        </w:rPr>
        <w:t>Conflitos de interesse</w:t>
      </w:r>
      <w:r w:rsidR="00B21321" w:rsidRPr="005C11F4">
        <w:rPr>
          <w:rFonts w:cstheme="minorHAnsi"/>
          <w:sz w:val="20"/>
          <w:szCs w:val="20"/>
        </w:rPr>
        <w:t xml:space="preserve">: </w:t>
      </w:r>
      <w:r w:rsidRPr="005C11F4">
        <w:rPr>
          <w:rFonts w:cstheme="minorHAnsi"/>
          <w:sz w:val="20"/>
          <w:szCs w:val="20"/>
        </w:rPr>
        <w:t xml:space="preserve">Os autores declaram que não houve conflito </w:t>
      </w:r>
      <w:r w:rsidR="00B21321" w:rsidRPr="005C11F4">
        <w:rPr>
          <w:rFonts w:cstheme="minorHAnsi"/>
          <w:sz w:val="20"/>
          <w:szCs w:val="20"/>
        </w:rPr>
        <w:t>de interesse nesta investigação (</w:t>
      </w:r>
      <w:r w:rsidRPr="005C11F4">
        <w:rPr>
          <w:rFonts w:cstheme="minorHAnsi"/>
          <w:sz w:val="20"/>
          <w:szCs w:val="20"/>
        </w:rPr>
        <w:t xml:space="preserve">Parte deste estudo foi apresentado em </w:t>
      </w:r>
      <w:r w:rsidR="00FC664C" w:rsidRPr="005C11F4">
        <w:rPr>
          <w:rFonts w:cstheme="minorHAnsi"/>
          <w:sz w:val="20"/>
          <w:szCs w:val="20"/>
        </w:rPr>
        <w:t>0</w:t>
      </w:r>
      <w:r w:rsidRPr="005C11F4">
        <w:rPr>
          <w:rFonts w:cstheme="minorHAnsi"/>
          <w:sz w:val="20"/>
          <w:szCs w:val="20"/>
        </w:rPr>
        <w:t>7.fev.2014 na</w:t>
      </w:r>
      <w:r w:rsidR="00FC664C" w:rsidRPr="005C11F4">
        <w:rPr>
          <w:rFonts w:cstheme="minorHAnsi"/>
          <w:sz w:val="20"/>
          <w:szCs w:val="20"/>
        </w:rPr>
        <w:t xml:space="preserve"> 13</w:t>
      </w:r>
      <w:r w:rsidR="005C11F4" w:rsidRPr="005C11F4">
        <w:rPr>
          <w:rFonts w:cstheme="minorHAnsi"/>
          <w:sz w:val="20"/>
          <w:szCs w:val="20"/>
        </w:rPr>
        <w:t>.</w:t>
      </w:r>
      <w:r w:rsidR="00FC664C" w:rsidRPr="005C11F4">
        <w:rPr>
          <w:rFonts w:cstheme="minorHAnsi"/>
          <w:sz w:val="20"/>
          <w:szCs w:val="20"/>
        </w:rPr>
        <w:t xml:space="preserve">ª Reunião Internacional de Cirurgia do Centro Académico de Medicina </w:t>
      </w:r>
      <w:r w:rsidRPr="005C11F4">
        <w:rPr>
          <w:rFonts w:cstheme="minorHAnsi"/>
          <w:sz w:val="20"/>
          <w:szCs w:val="20"/>
        </w:rPr>
        <w:t>da Faculdade de Medicina d</w:t>
      </w:r>
      <w:r w:rsidR="00FC664C" w:rsidRPr="005C11F4">
        <w:rPr>
          <w:rFonts w:cstheme="minorHAnsi"/>
          <w:sz w:val="20"/>
          <w:szCs w:val="20"/>
        </w:rPr>
        <w:t>a Universidade d</w:t>
      </w:r>
      <w:r w:rsidRPr="005C11F4">
        <w:rPr>
          <w:rFonts w:cstheme="minorHAnsi"/>
          <w:sz w:val="20"/>
          <w:szCs w:val="20"/>
        </w:rPr>
        <w:t>e Lisboa</w:t>
      </w:r>
      <w:r w:rsidR="00B21321" w:rsidRPr="005C11F4">
        <w:rPr>
          <w:rFonts w:cstheme="minorHAnsi"/>
          <w:sz w:val="20"/>
          <w:szCs w:val="20"/>
        </w:rPr>
        <w:t>)</w:t>
      </w:r>
      <w:r w:rsidR="005C11F4" w:rsidRPr="005C11F4">
        <w:rPr>
          <w:rFonts w:cstheme="minorHAnsi"/>
          <w:sz w:val="20"/>
          <w:szCs w:val="20"/>
        </w:rPr>
        <w:t>.</w:t>
      </w:r>
    </w:p>
    <w:p w:rsidR="00D51D84" w:rsidRPr="00172C6A" w:rsidRDefault="00D51D84" w:rsidP="0096342B">
      <w:pPr>
        <w:spacing w:after="120" w:line="360" w:lineRule="auto"/>
        <w:jc w:val="both"/>
        <w:rPr>
          <w:rFonts w:cstheme="minorHAnsi"/>
        </w:rPr>
      </w:pPr>
    </w:p>
    <w:p w:rsidR="001147F9" w:rsidRPr="00172C6A" w:rsidRDefault="00C47237" w:rsidP="001147F9">
      <w:pPr>
        <w:spacing w:after="12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Tabela</w:t>
      </w:r>
      <w:r w:rsidR="001147F9" w:rsidRPr="00172C6A">
        <w:rPr>
          <w:rFonts w:cstheme="minorHAnsi"/>
          <w:b/>
        </w:rPr>
        <w:t xml:space="preserve"> 1</w:t>
      </w:r>
    </w:p>
    <w:tbl>
      <w:tblPr>
        <w:tblStyle w:val="Tabelacomgrelha"/>
        <w:tblW w:w="353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0"/>
        <w:gridCol w:w="629"/>
        <w:gridCol w:w="598"/>
        <w:gridCol w:w="850"/>
        <w:gridCol w:w="571"/>
        <w:gridCol w:w="1099"/>
      </w:tblGrid>
      <w:tr w:rsidR="00780123" w:rsidRPr="00780123" w:rsidTr="007D6782">
        <w:trPr>
          <w:trHeight w:val="20"/>
          <w:jc w:val="center"/>
        </w:trPr>
        <w:tc>
          <w:tcPr>
            <w:tcW w:w="3690" w:type="dxa"/>
            <w:hideMark/>
          </w:tcPr>
          <w:p w:rsidR="00780123" w:rsidRPr="00780123" w:rsidRDefault="00780123" w:rsidP="00C472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hideMark/>
          </w:tcPr>
          <w:p w:rsidR="00780123" w:rsidRPr="00780123" w:rsidRDefault="00780123" w:rsidP="0078012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80123">
              <w:rPr>
                <w:rFonts w:cstheme="minorHAnsi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  <w:hideMark/>
          </w:tcPr>
          <w:p w:rsidR="00780123" w:rsidRPr="00780123" w:rsidRDefault="00780123" w:rsidP="0078012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80123">
              <w:rPr>
                <w:rFonts w:cstheme="minorHAnsi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1099" w:type="dxa"/>
            <w:hideMark/>
          </w:tcPr>
          <w:p w:rsidR="00780123" w:rsidRPr="00780123" w:rsidRDefault="00780123" w:rsidP="007801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D6782" w:rsidRPr="00780123" w:rsidTr="007D6782">
        <w:trPr>
          <w:trHeight w:val="20"/>
          <w:jc w:val="center"/>
        </w:trPr>
        <w:tc>
          <w:tcPr>
            <w:tcW w:w="3690" w:type="dxa"/>
            <w:tcBorders>
              <w:bottom w:val="single" w:sz="4" w:space="0" w:color="auto"/>
            </w:tcBorders>
          </w:tcPr>
          <w:p w:rsidR="000D2D24" w:rsidRPr="00780123" w:rsidRDefault="000D2D24" w:rsidP="00C4723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0D2D24" w:rsidRPr="00780123" w:rsidRDefault="000D2D24" w:rsidP="0078012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80123">
              <w:rPr>
                <w:rFonts w:cstheme="min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0D2D24" w:rsidRPr="00780123" w:rsidRDefault="000D2D24" w:rsidP="0078012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80123">
              <w:rPr>
                <w:rFonts w:cstheme="min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2D24" w:rsidRPr="00780123" w:rsidRDefault="000D2D24" w:rsidP="0078012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80123">
              <w:rPr>
                <w:rFonts w:cstheme="min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0D2D24" w:rsidRPr="00780123" w:rsidRDefault="000D2D24" w:rsidP="0078012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80123">
              <w:rPr>
                <w:rFonts w:cstheme="min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0D2D24" w:rsidRPr="00FC2583" w:rsidRDefault="00780123" w:rsidP="00780123">
            <w:pPr>
              <w:jc w:val="center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FC2583">
              <w:rPr>
                <w:rFonts w:cstheme="minorHAnsi"/>
                <w:b/>
                <w:bCs/>
                <w:i/>
                <w:sz w:val="20"/>
                <w:szCs w:val="20"/>
              </w:rPr>
              <w:t>p</w:t>
            </w:r>
            <w:r w:rsidR="00FC2583" w:rsidRPr="00FC2583">
              <w:rPr>
                <w:rFonts w:cstheme="minorHAnsi"/>
                <w:b/>
                <w:bCs/>
                <w:i/>
                <w:sz w:val="20"/>
                <w:szCs w:val="20"/>
              </w:rPr>
              <w:t>-</w:t>
            </w:r>
            <w:proofErr w:type="spellStart"/>
            <w:r w:rsidR="00FC2583" w:rsidRPr="00FC2583">
              <w:rPr>
                <w:rFonts w:cstheme="minorHAnsi"/>
                <w:b/>
                <w:bCs/>
                <w:i/>
                <w:sz w:val="20"/>
                <w:szCs w:val="20"/>
              </w:rPr>
              <w:t>value</w:t>
            </w:r>
            <w:proofErr w:type="spellEnd"/>
          </w:p>
        </w:tc>
      </w:tr>
      <w:tr w:rsidR="007D6782" w:rsidRPr="00780123" w:rsidTr="007D6782">
        <w:trPr>
          <w:trHeight w:val="20"/>
          <w:jc w:val="center"/>
        </w:trPr>
        <w:tc>
          <w:tcPr>
            <w:tcW w:w="3690" w:type="dxa"/>
            <w:tcBorders>
              <w:top w:val="single" w:sz="4" w:space="0" w:color="auto"/>
            </w:tcBorders>
            <w:hideMark/>
          </w:tcPr>
          <w:p w:rsidR="000D2D24" w:rsidRPr="00780123" w:rsidRDefault="000D2D24" w:rsidP="00C47237">
            <w:pPr>
              <w:rPr>
                <w:rFonts w:cstheme="minorHAnsi"/>
                <w:sz w:val="20"/>
                <w:szCs w:val="20"/>
              </w:rPr>
            </w:pPr>
            <w:r w:rsidRPr="00780123">
              <w:rPr>
                <w:rFonts w:cstheme="minorHAnsi"/>
                <w:b/>
                <w:bCs/>
                <w:sz w:val="20"/>
                <w:szCs w:val="20"/>
              </w:rPr>
              <w:t>Complicações intraoperatórias</w:t>
            </w:r>
          </w:p>
        </w:tc>
        <w:tc>
          <w:tcPr>
            <w:tcW w:w="629" w:type="dxa"/>
            <w:tcBorders>
              <w:top w:val="single" w:sz="4" w:space="0" w:color="auto"/>
            </w:tcBorders>
            <w:hideMark/>
          </w:tcPr>
          <w:p w:rsidR="000D2D24" w:rsidRPr="00780123" w:rsidRDefault="000D2D24" w:rsidP="000D2D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0123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0D2D24" w:rsidRPr="00780123" w:rsidRDefault="007D6782" w:rsidP="000D2D2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0D2D24" w:rsidRPr="00780123" w:rsidRDefault="000D2D24" w:rsidP="000D2D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0123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0D2D24" w:rsidRPr="00780123" w:rsidRDefault="000D2D24" w:rsidP="00780123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0123">
              <w:rPr>
                <w:rFonts w:cstheme="minorHAnsi"/>
                <w:sz w:val="20"/>
                <w:szCs w:val="20"/>
              </w:rPr>
              <w:t>12,9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hideMark/>
          </w:tcPr>
          <w:p w:rsidR="000D2D24" w:rsidRPr="00780123" w:rsidRDefault="000D2D24" w:rsidP="007801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123">
              <w:rPr>
                <w:rFonts w:cstheme="minorHAnsi"/>
                <w:sz w:val="20"/>
                <w:szCs w:val="20"/>
              </w:rPr>
              <w:t>0,0006</w:t>
            </w:r>
            <w:r w:rsidRPr="00780123">
              <w:rPr>
                <w:rFonts w:cstheme="minorHAnsi"/>
                <w:sz w:val="20"/>
                <w:szCs w:val="20"/>
                <w:vertAlign w:val="superscript"/>
              </w:rPr>
              <w:t>**</w:t>
            </w:r>
          </w:p>
        </w:tc>
      </w:tr>
      <w:tr w:rsidR="007D6782" w:rsidRPr="00780123" w:rsidTr="007D6782">
        <w:trPr>
          <w:trHeight w:val="20"/>
          <w:jc w:val="center"/>
        </w:trPr>
        <w:tc>
          <w:tcPr>
            <w:tcW w:w="3690" w:type="dxa"/>
            <w:hideMark/>
          </w:tcPr>
          <w:p w:rsidR="000D2D24" w:rsidRPr="00780123" w:rsidRDefault="000D2D24" w:rsidP="00C47237">
            <w:pPr>
              <w:rPr>
                <w:rFonts w:cstheme="minorHAnsi"/>
                <w:sz w:val="20"/>
                <w:szCs w:val="20"/>
              </w:rPr>
            </w:pPr>
            <w:r w:rsidRPr="00780123">
              <w:rPr>
                <w:rFonts w:cstheme="minorHAnsi"/>
                <w:b/>
                <w:bCs/>
                <w:sz w:val="20"/>
                <w:szCs w:val="20"/>
              </w:rPr>
              <w:t>Complicações pós-operatórias: globais</w:t>
            </w:r>
          </w:p>
        </w:tc>
        <w:tc>
          <w:tcPr>
            <w:tcW w:w="629" w:type="dxa"/>
            <w:hideMark/>
          </w:tcPr>
          <w:p w:rsidR="000D2D24" w:rsidRPr="00780123" w:rsidRDefault="000D2D24" w:rsidP="000D2D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0123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598" w:type="dxa"/>
          </w:tcPr>
          <w:p w:rsidR="000D2D24" w:rsidRPr="00780123" w:rsidRDefault="007D6782" w:rsidP="000D2D2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12,1</w:t>
            </w:r>
          </w:p>
        </w:tc>
        <w:tc>
          <w:tcPr>
            <w:tcW w:w="850" w:type="dxa"/>
            <w:hideMark/>
          </w:tcPr>
          <w:p w:rsidR="000D2D24" w:rsidRPr="00780123" w:rsidRDefault="000D2D24" w:rsidP="000D2D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0123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571" w:type="dxa"/>
          </w:tcPr>
          <w:p w:rsidR="000D2D24" w:rsidRPr="00780123" w:rsidRDefault="000D2D24" w:rsidP="00780123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0123">
              <w:rPr>
                <w:rFonts w:cstheme="minorHAnsi"/>
                <w:sz w:val="20"/>
                <w:szCs w:val="20"/>
              </w:rPr>
              <w:t>23,1</w:t>
            </w:r>
          </w:p>
        </w:tc>
        <w:tc>
          <w:tcPr>
            <w:tcW w:w="1099" w:type="dxa"/>
            <w:hideMark/>
          </w:tcPr>
          <w:p w:rsidR="000D2D24" w:rsidRPr="00780123" w:rsidRDefault="000D2D24" w:rsidP="007801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123">
              <w:rPr>
                <w:rFonts w:cstheme="minorHAnsi"/>
                <w:sz w:val="20"/>
                <w:szCs w:val="20"/>
              </w:rPr>
              <w:t>0,0055</w:t>
            </w:r>
            <w:r w:rsidRPr="00780123">
              <w:rPr>
                <w:rFonts w:cstheme="minorHAnsi"/>
                <w:sz w:val="20"/>
                <w:szCs w:val="20"/>
                <w:vertAlign w:val="superscript"/>
              </w:rPr>
              <w:t>**</w:t>
            </w:r>
          </w:p>
        </w:tc>
      </w:tr>
      <w:tr w:rsidR="007D6782" w:rsidRPr="00780123" w:rsidTr="007D6782">
        <w:trPr>
          <w:trHeight w:val="20"/>
          <w:jc w:val="center"/>
        </w:trPr>
        <w:tc>
          <w:tcPr>
            <w:tcW w:w="3690" w:type="dxa"/>
            <w:hideMark/>
          </w:tcPr>
          <w:p w:rsidR="000D2D24" w:rsidRPr="00780123" w:rsidRDefault="000D2D24" w:rsidP="00C47237">
            <w:pPr>
              <w:rPr>
                <w:rFonts w:cstheme="minorHAnsi"/>
                <w:sz w:val="20"/>
                <w:szCs w:val="20"/>
              </w:rPr>
            </w:pPr>
            <w:r w:rsidRPr="00780123">
              <w:rPr>
                <w:rFonts w:cstheme="minorHAnsi"/>
                <w:b/>
                <w:bCs/>
                <w:sz w:val="20"/>
                <w:szCs w:val="20"/>
              </w:rPr>
              <w:t>Complicações pós-operatórias: cirúrgicas</w:t>
            </w:r>
          </w:p>
        </w:tc>
        <w:tc>
          <w:tcPr>
            <w:tcW w:w="629" w:type="dxa"/>
            <w:hideMark/>
          </w:tcPr>
          <w:p w:rsidR="000D2D24" w:rsidRPr="00780123" w:rsidRDefault="000D2D24" w:rsidP="000D2D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0123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598" w:type="dxa"/>
          </w:tcPr>
          <w:p w:rsidR="000D2D24" w:rsidRPr="00780123" w:rsidRDefault="007D6782" w:rsidP="000D2D2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7,7</w:t>
            </w:r>
          </w:p>
        </w:tc>
        <w:tc>
          <w:tcPr>
            <w:tcW w:w="850" w:type="dxa"/>
            <w:hideMark/>
          </w:tcPr>
          <w:p w:rsidR="000D2D24" w:rsidRPr="00780123" w:rsidRDefault="000D2D24" w:rsidP="000D2D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0123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571" w:type="dxa"/>
          </w:tcPr>
          <w:p w:rsidR="000D2D24" w:rsidRPr="00780123" w:rsidRDefault="000D2D24" w:rsidP="00780123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0123">
              <w:rPr>
                <w:rFonts w:cstheme="minorHAnsi"/>
                <w:sz w:val="20"/>
                <w:szCs w:val="20"/>
              </w:rPr>
              <w:t>17,5</w:t>
            </w:r>
          </w:p>
        </w:tc>
        <w:tc>
          <w:tcPr>
            <w:tcW w:w="1099" w:type="dxa"/>
            <w:hideMark/>
          </w:tcPr>
          <w:p w:rsidR="000D2D24" w:rsidRPr="00780123" w:rsidRDefault="000D2D24" w:rsidP="007801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123">
              <w:rPr>
                <w:rFonts w:cstheme="minorHAnsi"/>
                <w:sz w:val="20"/>
                <w:szCs w:val="20"/>
              </w:rPr>
              <w:t>0,0055</w:t>
            </w:r>
            <w:r w:rsidRPr="00780123">
              <w:rPr>
                <w:rFonts w:cstheme="minorHAnsi"/>
                <w:sz w:val="20"/>
                <w:szCs w:val="20"/>
                <w:vertAlign w:val="superscript"/>
              </w:rPr>
              <w:t>**</w:t>
            </w:r>
          </w:p>
        </w:tc>
      </w:tr>
      <w:tr w:rsidR="007D6782" w:rsidRPr="00780123" w:rsidTr="007D6782">
        <w:trPr>
          <w:trHeight w:val="20"/>
          <w:jc w:val="center"/>
        </w:trPr>
        <w:tc>
          <w:tcPr>
            <w:tcW w:w="3690" w:type="dxa"/>
            <w:hideMark/>
          </w:tcPr>
          <w:p w:rsidR="000D2D24" w:rsidRPr="00780123" w:rsidRDefault="000D2D24" w:rsidP="00C47237">
            <w:pPr>
              <w:rPr>
                <w:rFonts w:cstheme="minorHAnsi"/>
                <w:sz w:val="20"/>
                <w:szCs w:val="20"/>
              </w:rPr>
            </w:pPr>
            <w:r w:rsidRPr="00780123">
              <w:rPr>
                <w:rFonts w:cstheme="minorHAnsi"/>
                <w:b/>
                <w:bCs/>
                <w:sz w:val="20"/>
                <w:szCs w:val="20"/>
              </w:rPr>
              <w:t>Complicações pós-operatórias médicas</w:t>
            </w:r>
          </w:p>
        </w:tc>
        <w:tc>
          <w:tcPr>
            <w:tcW w:w="629" w:type="dxa"/>
            <w:hideMark/>
          </w:tcPr>
          <w:p w:rsidR="000D2D24" w:rsidRPr="00780123" w:rsidRDefault="000D2D24" w:rsidP="000D2D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0123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598" w:type="dxa"/>
          </w:tcPr>
          <w:p w:rsidR="000D2D24" w:rsidRPr="00780123" w:rsidRDefault="007D6782" w:rsidP="000D2D2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4,3</w:t>
            </w:r>
          </w:p>
        </w:tc>
        <w:tc>
          <w:tcPr>
            <w:tcW w:w="850" w:type="dxa"/>
            <w:hideMark/>
          </w:tcPr>
          <w:p w:rsidR="000D2D24" w:rsidRPr="00780123" w:rsidRDefault="000D2D24" w:rsidP="000D2D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012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71" w:type="dxa"/>
          </w:tcPr>
          <w:p w:rsidR="000D2D24" w:rsidRPr="00780123" w:rsidRDefault="000D2D24" w:rsidP="00780123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0123">
              <w:rPr>
                <w:rFonts w:cstheme="minorHAnsi"/>
                <w:sz w:val="20"/>
                <w:szCs w:val="20"/>
              </w:rPr>
              <w:t>5,5</w:t>
            </w:r>
          </w:p>
        </w:tc>
        <w:tc>
          <w:tcPr>
            <w:tcW w:w="1099" w:type="dxa"/>
            <w:hideMark/>
          </w:tcPr>
          <w:p w:rsidR="000D2D24" w:rsidRPr="00780123" w:rsidRDefault="000D2D24" w:rsidP="007801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123">
              <w:rPr>
                <w:rFonts w:cstheme="minorHAnsi"/>
                <w:sz w:val="20"/>
                <w:szCs w:val="20"/>
              </w:rPr>
              <w:t>0,6077</w:t>
            </w:r>
          </w:p>
        </w:tc>
      </w:tr>
      <w:tr w:rsidR="007D6782" w:rsidRPr="00780123" w:rsidTr="007D6782">
        <w:trPr>
          <w:trHeight w:val="20"/>
          <w:jc w:val="center"/>
        </w:trPr>
        <w:tc>
          <w:tcPr>
            <w:tcW w:w="3690" w:type="dxa"/>
            <w:hideMark/>
          </w:tcPr>
          <w:p w:rsidR="000D2D24" w:rsidRPr="00780123" w:rsidRDefault="000D2D24" w:rsidP="00C47237">
            <w:pPr>
              <w:rPr>
                <w:rFonts w:cstheme="minorHAnsi"/>
                <w:sz w:val="20"/>
                <w:szCs w:val="20"/>
              </w:rPr>
            </w:pPr>
            <w:r w:rsidRPr="00780123">
              <w:rPr>
                <w:rFonts w:cstheme="minorHAnsi"/>
                <w:b/>
                <w:bCs/>
                <w:sz w:val="20"/>
                <w:szCs w:val="20"/>
              </w:rPr>
              <w:t xml:space="preserve">Reintervenções </w:t>
            </w:r>
          </w:p>
        </w:tc>
        <w:tc>
          <w:tcPr>
            <w:tcW w:w="629" w:type="dxa"/>
            <w:hideMark/>
          </w:tcPr>
          <w:p w:rsidR="000D2D24" w:rsidRPr="00780123" w:rsidRDefault="000D2D24" w:rsidP="000D2D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0123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598" w:type="dxa"/>
          </w:tcPr>
          <w:p w:rsidR="000D2D24" w:rsidRPr="00780123" w:rsidRDefault="007D6782" w:rsidP="000D2D2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2,9</w:t>
            </w:r>
          </w:p>
        </w:tc>
        <w:tc>
          <w:tcPr>
            <w:tcW w:w="850" w:type="dxa"/>
            <w:hideMark/>
          </w:tcPr>
          <w:p w:rsidR="000D2D24" w:rsidRPr="00780123" w:rsidRDefault="000D2D24" w:rsidP="000D2D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012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71" w:type="dxa"/>
          </w:tcPr>
          <w:p w:rsidR="000D2D24" w:rsidRPr="00780123" w:rsidRDefault="000D2D24" w:rsidP="00780123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0123">
              <w:rPr>
                <w:rFonts w:cstheme="minorHAnsi"/>
                <w:sz w:val="20"/>
                <w:szCs w:val="20"/>
              </w:rPr>
              <w:t>5,5</w:t>
            </w:r>
          </w:p>
        </w:tc>
        <w:tc>
          <w:tcPr>
            <w:tcW w:w="1099" w:type="dxa"/>
            <w:hideMark/>
          </w:tcPr>
          <w:p w:rsidR="000D2D24" w:rsidRPr="00780123" w:rsidRDefault="000D2D24" w:rsidP="007801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123">
              <w:rPr>
                <w:rFonts w:cstheme="minorHAnsi"/>
                <w:sz w:val="20"/>
                <w:szCs w:val="20"/>
              </w:rPr>
              <w:t>0,2315</w:t>
            </w:r>
          </w:p>
        </w:tc>
      </w:tr>
      <w:tr w:rsidR="007D6782" w:rsidRPr="00780123" w:rsidTr="007D6782">
        <w:trPr>
          <w:trHeight w:val="20"/>
          <w:jc w:val="center"/>
        </w:trPr>
        <w:tc>
          <w:tcPr>
            <w:tcW w:w="3690" w:type="dxa"/>
            <w:hideMark/>
          </w:tcPr>
          <w:p w:rsidR="000D2D24" w:rsidRPr="00780123" w:rsidRDefault="000D2D24" w:rsidP="00C47237">
            <w:pPr>
              <w:rPr>
                <w:rFonts w:cstheme="minorHAnsi"/>
                <w:sz w:val="20"/>
                <w:szCs w:val="20"/>
              </w:rPr>
            </w:pPr>
            <w:r w:rsidRPr="00780123">
              <w:rPr>
                <w:rFonts w:cstheme="minorHAnsi"/>
                <w:b/>
                <w:bCs/>
                <w:sz w:val="20"/>
                <w:szCs w:val="20"/>
              </w:rPr>
              <w:t>Lesão VBP</w:t>
            </w:r>
          </w:p>
        </w:tc>
        <w:tc>
          <w:tcPr>
            <w:tcW w:w="629" w:type="dxa"/>
            <w:hideMark/>
          </w:tcPr>
          <w:p w:rsidR="000D2D24" w:rsidRPr="00780123" w:rsidRDefault="000D2D24" w:rsidP="000D2D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012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98" w:type="dxa"/>
          </w:tcPr>
          <w:p w:rsidR="000D2D24" w:rsidRPr="00780123" w:rsidRDefault="007D6782" w:rsidP="000D2D2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0,9</w:t>
            </w:r>
          </w:p>
        </w:tc>
        <w:tc>
          <w:tcPr>
            <w:tcW w:w="850" w:type="dxa"/>
            <w:hideMark/>
          </w:tcPr>
          <w:p w:rsidR="000D2D24" w:rsidRPr="00780123" w:rsidRDefault="000D2D24" w:rsidP="000D2D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012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0D2D24" w:rsidRPr="00780123" w:rsidRDefault="000D2D24" w:rsidP="00780123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0123">
              <w:rPr>
                <w:rFonts w:cstheme="minorHAnsi"/>
                <w:sz w:val="20"/>
                <w:szCs w:val="20"/>
              </w:rPr>
              <w:t>1,8</w:t>
            </w:r>
          </w:p>
        </w:tc>
        <w:tc>
          <w:tcPr>
            <w:tcW w:w="1099" w:type="dxa"/>
            <w:hideMark/>
          </w:tcPr>
          <w:p w:rsidR="000D2D24" w:rsidRPr="00780123" w:rsidRDefault="000D2D24" w:rsidP="007801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123">
              <w:rPr>
                <w:rFonts w:cstheme="minorHAnsi"/>
                <w:sz w:val="20"/>
                <w:szCs w:val="20"/>
              </w:rPr>
              <w:t>0,6091</w:t>
            </w:r>
          </w:p>
        </w:tc>
      </w:tr>
      <w:tr w:rsidR="007D6782" w:rsidRPr="00780123" w:rsidTr="007D6782">
        <w:trPr>
          <w:trHeight w:val="20"/>
          <w:jc w:val="center"/>
        </w:trPr>
        <w:tc>
          <w:tcPr>
            <w:tcW w:w="3690" w:type="dxa"/>
            <w:hideMark/>
          </w:tcPr>
          <w:p w:rsidR="000D2D24" w:rsidRPr="00780123" w:rsidRDefault="000D2D24" w:rsidP="00C47237">
            <w:pPr>
              <w:rPr>
                <w:rFonts w:cstheme="minorHAnsi"/>
                <w:sz w:val="20"/>
                <w:szCs w:val="20"/>
              </w:rPr>
            </w:pPr>
            <w:r w:rsidRPr="00780123">
              <w:rPr>
                <w:rFonts w:cstheme="minorHAnsi"/>
                <w:b/>
                <w:bCs/>
                <w:sz w:val="20"/>
                <w:szCs w:val="20"/>
              </w:rPr>
              <w:t>Mortalidade</w:t>
            </w:r>
          </w:p>
        </w:tc>
        <w:tc>
          <w:tcPr>
            <w:tcW w:w="629" w:type="dxa"/>
            <w:hideMark/>
          </w:tcPr>
          <w:p w:rsidR="000D2D24" w:rsidRPr="00780123" w:rsidRDefault="000D2D24" w:rsidP="000D2D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012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98" w:type="dxa"/>
          </w:tcPr>
          <w:p w:rsidR="000D2D24" w:rsidRPr="00780123" w:rsidRDefault="007D6782" w:rsidP="000D2D2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</w:t>
            </w:r>
          </w:p>
        </w:tc>
        <w:tc>
          <w:tcPr>
            <w:tcW w:w="850" w:type="dxa"/>
            <w:hideMark/>
          </w:tcPr>
          <w:p w:rsidR="000D2D24" w:rsidRPr="00780123" w:rsidRDefault="000D2D24" w:rsidP="000D2D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012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0D2D24" w:rsidRPr="00780123" w:rsidRDefault="000D2D24" w:rsidP="00780123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0123">
              <w:rPr>
                <w:rFonts w:cstheme="minorHAnsi"/>
                <w:sz w:val="20"/>
                <w:szCs w:val="20"/>
              </w:rPr>
              <w:t>3,70</w:t>
            </w:r>
          </w:p>
        </w:tc>
        <w:tc>
          <w:tcPr>
            <w:tcW w:w="1099" w:type="dxa"/>
            <w:hideMark/>
          </w:tcPr>
          <w:p w:rsidR="000D2D24" w:rsidRPr="00780123" w:rsidRDefault="000D2D24" w:rsidP="007801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123">
              <w:rPr>
                <w:rFonts w:cstheme="minorHAnsi"/>
                <w:sz w:val="20"/>
                <w:szCs w:val="20"/>
              </w:rPr>
              <w:t>0,0369</w:t>
            </w:r>
            <w:r w:rsidRPr="00780123">
              <w:rPr>
                <w:rFonts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7D6782" w:rsidRPr="00780123" w:rsidTr="007D6782">
        <w:trPr>
          <w:trHeight w:val="20"/>
          <w:jc w:val="center"/>
        </w:trPr>
        <w:tc>
          <w:tcPr>
            <w:tcW w:w="3690" w:type="dxa"/>
            <w:tcBorders>
              <w:bottom w:val="single" w:sz="4" w:space="0" w:color="auto"/>
            </w:tcBorders>
            <w:hideMark/>
          </w:tcPr>
          <w:p w:rsidR="000D2D24" w:rsidRPr="00780123" w:rsidRDefault="000D2D24" w:rsidP="00C47237">
            <w:pPr>
              <w:rPr>
                <w:rFonts w:cstheme="minorHAnsi"/>
                <w:sz w:val="20"/>
                <w:szCs w:val="20"/>
              </w:rPr>
            </w:pPr>
            <w:r w:rsidRPr="00780123">
              <w:rPr>
                <w:rFonts w:cstheme="minorHAnsi"/>
                <w:b/>
                <w:bCs/>
                <w:sz w:val="20"/>
                <w:szCs w:val="20"/>
              </w:rPr>
              <w:t>Estadia Hospitalar &lt; 4 dias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hideMark/>
          </w:tcPr>
          <w:p w:rsidR="000D2D24" w:rsidRPr="00780123" w:rsidRDefault="000D2D24" w:rsidP="000D2D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0123">
              <w:rPr>
                <w:rFonts w:cstheme="minorHAnsi"/>
                <w:sz w:val="20"/>
                <w:szCs w:val="20"/>
              </w:rPr>
              <w:t>267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0D2D24" w:rsidRPr="00780123" w:rsidRDefault="007D6782" w:rsidP="000D2D2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0D2D24" w:rsidRPr="00780123" w:rsidRDefault="000D2D24" w:rsidP="000D2D24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0123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0D2D24" w:rsidRPr="00780123" w:rsidRDefault="000D2D24" w:rsidP="00780123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0123">
              <w:rPr>
                <w:rFonts w:cstheme="minorHAnsi"/>
                <w:sz w:val="20"/>
                <w:szCs w:val="20"/>
              </w:rPr>
              <w:t>18,5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hideMark/>
          </w:tcPr>
          <w:p w:rsidR="000D2D24" w:rsidRPr="00780123" w:rsidRDefault="000D2D24" w:rsidP="007801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123">
              <w:rPr>
                <w:rFonts w:cstheme="minorHAnsi"/>
                <w:sz w:val="20"/>
                <w:szCs w:val="20"/>
              </w:rPr>
              <w:t>&lt;0,0001</w:t>
            </w:r>
            <w:r w:rsidRPr="00780123">
              <w:rPr>
                <w:rFonts w:cstheme="minorHAnsi"/>
                <w:sz w:val="20"/>
                <w:szCs w:val="20"/>
                <w:vertAlign w:val="superscript"/>
              </w:rPr>
              <w:t>**</w:t>
            </w:r>
          </w:p>
        </w:tc>
      </w:tr>
      <w:tr w:rsidR="007D6782" w:rsidRPr="00780123" w:rsidTr="007D6782">
        <w:trPr>
          <w:trHeight w:val="20"/>
          <w:jc w:val="center"/>
        </w:trPr>
        <w:tc>
          <w:tcPr>
            <w:tcW w:w="3690" w:type="dxa"/>
            <w:tcBorders>
              <w:top w:val="single" w:sz="4" w:space="0" w:color="auto"/>
            </w:tcBorders>
          </w:tcPr>
          <w:p w:rsidR="000D2D24" w:rsidRPr="00780123" w:rsidRDefault="000D2D24" w:rsidP="00C4723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80123">
              <w:rPr>
                <w:rFonts w:cstheme="minorHAnsi"/>
                <w:sz w:val="18"/>
                <w:szCs w:val="18"/>
              </w:rPr>
              <w:t>** p&lt;0,01; * p&lt;0,05.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:rsidR="000D2D24" w:rsidRPr="00780123" w:rsidRDefault="000D2D24" w:rsidP="00C4723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0D2D24" w:rsidRPr="00780123" w:rsidRDefault="000D2D24" w:rsidP="00C4723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D2D24" w:rsidRPr="00780123" w:rsidRDefault="000D2D24" w:rsidP="00C4723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0D2D24" w:rsidRPr="00780123" w:rsidRDefault="000D2D24" w:rsidP="00C47237">
            <w:pPr>
              <w:ind w:left="720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0D2D24" w:rsidRPr="00780123" w:rsidRDefault="000D2D24" w:rsidP="00C47237">
            <w:pPr>
              <w:ind w:left="720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</w:tbl>
    <w:p w:rsidR="00D329D4" w:rsidRPr="00172C6A" w:rsidRDefault="00D329D4" w:rsidP="00D329D4">
      <w:pPr>
        <w:rPr>
          <w:rFonts w:cstheme="minorHAnsi"/>
        </w:rPr>
      </w:pPr>
      <w:r w:rsidRPr="00172C6A">
        <w:rPr>
          <w:rFonts w:cstheme="minorHAnsi"/>
        </w:rPr>
        <w:br w:type="page"/>
      </w:r>
    </w:p>
    <w:p w:rsidR="00D329D4" w:rsidRPr="00172C6A" w:rsidRDefault="00D329D4" w:rsidP="00D329D4">
      <w:pPr>
        <w:spacing w:after="0" w:line="360" w:lineRule="auto"/>
        <w:jc w:val="both"/>
        <w:rPr>
          <w:rFonts w:cstheme="minorHAnsi"/>
          <w:b/>
          <w:sz w:val="20"/>
        </w:rPr>
      </w:pPr>
      <w:r w:rsidRPr="00172C6A">
        <w:rPr>
          <w:rFonts w:cstheme="minorHAnsi"/>
          <w:b/>
          <w:sz w:val="20"/>
        </w:rPr>
        <w:t>Bibliografia</w:t>
      </w:r>
    </w:p>
    <w:p w:rsidR="00917545" w:rsidRPr="006541E3" w:rsidRDefault="00917545" w:rsidP="00F92289">
      <w:pPr>
        <w:spacing w:after="120" w:line="240" w:lineRule="auto"/>
        <w:ind w:left="425" w:hanging="425"/>
        <w:jc w:val="both"/>
        <w:rPr>
          <w:rFonts w:cstheme="minorHAnsi"/>
          <w:sz w:val="16"/>
          <w:szCs w:val="16"/>
        </w:rPr>
      </w:pPr>
      <w:r w:rsidRPr="006541E3">
        <w:rPr>
          <w:rFonts w:cstheme="minorHAnsi"/>
          <w:sz w:val="16"/>
          <w:szCs w:val="16"/>
        </w:rPr>
        <w:t xml:space="preserve">1 </w:t>
      </w:r>
      <w:proofErr w:type="spellStart"/>
      <w:r w:rsidRPr="006541E3">
        <w:rPr>
          <w:rFonts w:cstheme="minorHAnsi"/>
          <w:sz w:val="16"/>
          <w:szCs w:val="16"/>
        </w:rPr>
        <w:t>Cuschieri</w:t>
      </w:r>
      <w:proofErr w:type="spellEnd"/>
      <w:r w:rsidRPr="006541E3">
        <w:rPr>
          <w:rFonts w:cstheme="minorHAnsi"/>
          <w:sz w:val="16"/>
          <w:szCs w:val="16"/>
        </w:rPr>
        <w:t xml:space="preserve">, A., </w:t>
      </w:r>
      <w:proofErr w:type="spellStart"/>
      <w:r w:rsidRPr="006541E3">
        <w:rPr>
          <w:rFonts w:cstheme="minorHAnsi"/>
          <w:sz w:val="16"/>
          <w:szCs w:val="16"/>
        </w:rPr>
        <w:t>Berci</w:t>
      </w:r>
      <w:proofErr w:type="spellEnd"/>
      <w:r w:rsidRPr="006541E3">
        <w:rPr>
          <w:rFonts w:cstheme="minorHAnsi"/>
          <w:sz w:val="16"/>
          <w:szCs w:val="16"/>
        </w:rPr>
        <w:t xml:space="preserve">, G. </w:t>
      </w:r>
      <w:proofErr w:type="spellStart"/>
      <w:r w:rsidRPr="006541E3">
        <w:rPr>
          <w:rFonts w:cstheme="minorHAnsi"/>
          <w:sz w:val="16"/>
          <w:szCs w:val="16"/>
        </w:rPr>
        <w:t>Laparoscopic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biliary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surgery</w:t>
      </w:r>
      <w:proofErr w:type="spellEnd"/>
      <w:r w:rsidRPr="006541E3">
        <w:rPr>
          <w:rFonts w:cstheme="minorHAnsi"/>
          <w:sz w:val="16"/>
          <w:szCs w:val="16"/>
        </w:rPr>
        <w:t xml:space="preserve">. Ed. </w:t>
      </w:r>
      <w:proofErr w:type="spellStart"/>
      <w:r w:rsidRPr="006541E3">
        <w:rPr>
          <w:rFonts w:cstheme="minorHAnsi"/>
          <w:sz w:val="16"/>
          <w:szCs w:val="16"/>
        </w:rPr>
        <w:t>Blackwell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Scientific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Publications</w:t>
      </w:r>
      <w:proofErr w:type="spellEnd"/>
      <w:r w:rsidRPr="006541E3">
        <w:rPr>
          <w:rFonts w:cstheme="minorHAnsi"/>
          <w:sz w:val="16"/>
          <w:szCs w:val="16"/>
        </w:rPr>
        <w:t xml:space="preserve">, 1991; </w:t>
      </w:r>
      <w:proofErr w:type="spellStart"/>
      <w:r w:rsidRPr="006541E3">
        <w:rPr>
          <w:rFonts w:cstheme="minorHAnsi"/>
          <w:sz w:val="16"/>
          <w:szCs w:val="16"/>
        </w:rPr>
        <w:t>pag</w:t>
      </w:r>
      <w:proofErr w:type="spellEnd"/>
      <w:r w:rsidRPr="006541E3">
        <w:rPr>
          <w:rFonts w:cstheme="minorHAnsi"/>
          <w:sz w:val="16"/>
          <w:szCs w:val="16"/>
        </w:rPr>
        <w:t>. 381.</w:t>
      </w:r>
    </w:p>
    <w:p w:rsidR="00917545" w:rsidRPr="006541E3" w:rsidRDefault="00917545" w:rsidP="00F92289">
      <w:pPr>
        <w:spacing w:after="120" w:line="240" w:lineRule="auto"/>
        <w:ind w:left="425" w:hanging="425"/>
        <w:jc w:val="both"/>
        <w:rPr>
          <w:rFonts w:cstheme="minorHAnsi"/>
          <w:sz w:val="16"/>
          <w:szCs w:val="16"/>
        </w:rPr>
      </w:pPr>
      <w:r w:rsidRPr="006541E3">
        <w:rPr>
          <w:rFonts w:cstheme="minorHAnsi"/>
          <w:sz w:val="16"/>
          <w:szCs w:val="16"/>
        </w:rPr>
        <w:t xml:space="preserve">2 </w:t>
      </w:r>
      <w:proofErr w:type="spellStart"/>
      <w:r w:rsidRPr="006541E3">
        <w:rPr>
          <w:rFonts w:cstheme="minorHAnsi"/>
          <w:sz w:val="16"/>
          <w:szCs w:val="16"/>
        </w:rPr>
        <w:t>Eldar</w:t>
      </w:r>
      <w:proofErr w:type="spellEnd"/>
      <w:r w:rsidRPr="006541E3">
        <w:rPr>
          <w:rFonts w:cstheme="minorHAnsi"/>
          <w:sz w:val="16"/>
          <w:szCs w:val="16"/>
        </w:rPr>
        <w:t xml:space="preserve"> S, Sabo E, </w:t>
      </w:r>
      <w:proofErr w:type="spellStart"/>
      <w:r w:rsidRPr="006541E3">
        <w:rPr>
          <w:rFonts w:cstheme="minorHAnsi"/>
          <w:sz w:val="16"/>
          <w:szCs w:val="16"/>
        </w:rPr>
        <w:t>Nash</w:t>
      </w:r>
      <w:proofErr w:type="spellEnd"/>
      <w:r w:rsidRPr="006541E3">
        <w:rPr>
          <w:rFonts w:cstheme="minorHAnsi"/>
          <w:sz w:val="16"/>
          <w:szCs w:val="16"/>
        </w:rPr>
        <w:t xml:space="preserve"> E, </w:t>
      </w:r>
      <w:proofErr w:type="spellStart"/>
      <w:r w:rsidRPr="006541E3">
        <w:rPr>
          <w:rFonts w:cstheme="minorHAnsi"/>
          <w:sz w:val="16"/>
          <w:szCs w:val="16"/>
        </w:rPr>
        <w:t>Abrahamson</w:t>
      </w:r>
      <w:proofErr w:type="spellEnd"/>
      <w:r w:rsidRPr="006541E3">
        <w:rPr>
          <w:rFonts w:cstheme="minorHAnsi"/>
          <w:sz w:val="16"/>
          <w:szCs w:val="16"/>
        </w:rPr>
        <w:t xml:space="preserve"> J, </w:t>
      </w:r>
      <w:proofErr w:type="spellStart"/>
      <w:r w:rsidRPr="006541E3">
        <w:rPr>
          <w:rFonts w:cstheme="minorHAnsi"/>
          <w:sz w:val="16"/>
          <w:szCs w:val="16"/>
        </w:rPr>
        <w:t>Matter</w:t>
      </w:r>
      <w:proofErr w:type="spellEnd"/>
      <w:r w:rsidRPr="006541E3">
        <w:rPr>
          <w:rFonts w:cstheme="minorHAnsi"/>
          <w:sz w:val="16"/>
          <w:szCs w:val="16"/>
        </w:rPr>
        <w:t xml:space="preserve"> I. </w:t>
      </w:r>
      <w:proofErr w:type="spellStart"/>
      <w:r w:rsidRPr="006541E3">
        <w:rPr>
          <w:rFonts w:cstheme="minorHAnsi"/>
          <w:sz w:val="16"/>
          <w:szCs w:val="16"/>
        </w:rPr>
        <w:t>Laparoscopic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cholecystectomy</w:t>
      </w:r>
      <w:proofErr w:type="spellEnd"/>
      <w:r w:rsidRPr="006541E3">
        <w:rPr>
          <w:rFonts w:cstheme="minorHAnsi"/>
          <w:sz w:val="16"/>
          <w:szCs w:val="16"/>
        </w:rPr>
        <w:t xml:space="preserve"> for </w:t>
      </w:r>
      <w:proofErr w:type="spellStart"/>
      <w:r w:rsidRPr="006541E3">
        <w:rPr>
          <w:rFonts w:cstheme="minorHAnsi"/>
          <w:sz w:val="16"/>
          <w:szCs w:val="16"/>
        </w:rPr>
        <w:t>the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various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types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of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gallbladder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inflammation</w:t>
      </w:r>
      <w:proofErr w:type="spellEnd"/>
      <w:r w:rsidRPr="006541E3">
        <w:rPr>
          <w:rFonts w:cstheme="minorHAnsi"/>
          <w:sz w:val="16"/>
          <w:szCs w:val="16"/>
        </w:rPr>
        <w:t xml:space="preserve">: a </w:t>
      </w:r>
      <w:proofErr w:type="spellStart"/>
      <w:r w:rsidRPr="006541E3">
        <w:rPr>
          <w:rFonts w:cstheme="minorHAnsi"/>
          <w:sz w:val="16"/>
          <w:szCs w:val="16"/>
        </w:rPr>
        <w:t>prospective</w:t>
      </w:r>
      <w:proofErr w:type="spellEnd"/>
      <w:r w:rsidRPr="006541E3">
        <w:rPr>
          <w:rFonts w:cstheme="minorHAnsi"/>
          <w:sz w:val="16"/>
          <w:szCs w:val="16"/>
        </w:rPr>
        <w:t xml:space="preserve"> trial. </w:t>
      </w:r>
      <w:proofErr w:type="spellStart"/>
      <w:r w:rsidRPr="006541E3">
        <w:rPr>
          <w:rFonts w:cstheme="minorHAnsi"/>
          <w:sz w:val="16"/>
          <w:szCs w:val="16"/>
        </w:rPr>
        <w:t>Surg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Laparosc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Endosc</w:t>
      </w:r>
      <w:proofErr w:type="spellEnd"/>
      <w:r w:rsidRPr="006541E3">
        <w:rPr>
          <w:rFonts w:cstheme="minorHAnsi"/>
          <w:sz w:val="16"/>
          <w:szCs w:val="16"/>
        </w:rPr>
        <w:t>. 1998 Jun;8(3):200-7.</w:t>
      </w:r>
    </w:p>
    <w:p w:rsidR="00917545" w:rsidRPr="006541E3" w:rsidRDefault="00917545" w:rsidP="00F92289">
      <w:pPr>
        <w:spacing w:after="120" w:line="240" w:lineRule="auto"/>
        <w:ind w:left="425" w:hanging="425"/>
        <w:jc w:val="both"/>
        <w:rPr>
          <w:rFonts w:cstheme="minorHAnsi"/>
          <w:sz w:val="16"/>
          <w:szCs w:val="16"/>
        </w:rPr>
      </w:pPr>
      <w:r w:rsidRPr="00172C6A">
        <w:rPr>
          <w:rFonts w:cstheme="minorHAnsi"/>
          <w:sz w:val="16"/>
          <w:szCs w:val="16"/>
        </w:rPr>
        <w:t xml:space="preserve">3 Araújo Teixeira, J. P., Saraiva, A. C., Costa Cabral, A., Barros, H., Rocha Reis, J., Araújo Teixeira, A. </w:t>
      </w:r>
      <w:proofErr w:type="spellStart"/>
      <w:r w:rsidRPr="00172C6A">
        <w:rPr>
          <w:rFonts w:cstheme="minorHAnsi"/>
          <w:sz w:val="16"/>
          <w:szCs w:val="16"/>
        </w:rPr>
        <w:t>Laparoscopie</w:t>
      </w:r>
      <w:proofErr w:type="spellEnd"/>
      <w:r w:rsidRPr="00172C6A">
        <w:rPr>
          <w:rFonts w:cstheme="minorHAnsi"/>
          <w:sz w:val="16"/>
          <w:szCs w:val="16"/>
        </w:rPr>
        <w:t xml:space="preserve"> ou </w:t>
      </w:r>
      <w:proofErr w:type="spellStart"/>
      <w:r w:rsidRPr="00172C6A">
        <w:rPr>
          <w:rFonts w:cstheme="minorHAnsi"/>
          <w:sz w:val="16"/>
          <w:szCs w:val="16"/>
        </w:rPr>
        <w:t>laparotomie</w:t>
      </w:r>
      <w:proofErr w:type="spellEnd"/>
      <w:r w:rsidRPr="00172C6A">
        <w:rPr>
          <w:rFonts w:cstheme="minorHAnsi"/>
          <w:sz w:val="16"/>
          <w:szCs w:val="16"/>
        </w:rPr>
        <w:t xml:space="preserve"> </w:t>
      </w:r>
      <w:proofErr w:type="spellStart"/>
      <w:r w:rsidRPr="00172C6A">
        <w:rPr>
          <w:rFonts w:cstheme="minorHAnsi"/>
          <w:sz w:val="16"/>
          <w:szCs w:val="16"/>
        </w:rPr>
        <w:t>dans</w:t>
      </w:r>
      <w:proofErr w:type="spellEnd"/>
      <w:r w:rsidRPr="00172C6A">
        <w:rPr>
          <w:rFonts w:cstheme="minorHAnsi"/>
          <w:sz w:val="16"/>
          <w:szCs w:val="16"/>
        </w:rPr>
        <w:t xml:space="preserve"> la </w:t>
      </w:r>
      <w:proofErr w:type="spellStart"/>
      <w:r w:rsidRPr="00172C6A">
        <w:rPr>
          <w:rFonts w:cstheme="minorHAnsi"/>
          <w:sz w:val="16"/>
          <w:szCs w:val="16"/>
        </w:rPr>
        <w:t>cholécystite</w:t>
      </w:r>
      <w:proofErr w:type="spellEnd"/>
      <w:r w:rsidRPr="00172C6A">
        <w:rPr>
          <w:rFonts w:cstheme="minorHAnsi"/>
          <w:sz w:val="16"/>
          <w:szCs w:val="16"/>
        </w:rPr>
        <w:t xml:space="preserve"> </w:t>
      </w:r>
      <w:proofErr w:type="spellStart"/>
      <w:r w:rsidRPr="00172C6A">
        <w:rPr>
          <w:rFonts w:cstheme="minorHAnsi"/>
          <w:sz w:val="16"/>
          <w:szCs w:val="16"/>
        </w:rPr>
        <w:t>aiguë</w:t>
      </w:r>
      <w:proofErr w:type="spellEnd"/>
      <w:r w:rsidRPr="00172C6A">
        <w:rPr>
          <w:rFonts w:cstheme="minorHAnsi"/>
          <w:sz w:val="16"/>
          <w:szCs w:val="16"/>
        </w:rPr>
        <w:t xml:space="preserve">. </w:t>
      </w:r>
      <w:proofErr w:type="spellStart"/>
      <w:r w:rsidRPr="006541E3">
        <w:rPr>
          <w:rFonts w:cstheme="minorHAnsi"/>
          <w:sz w:val="16"/>
          <w:szCs w:val="16"/>
        </w:rPr>
        <w:t>Chirurgie</w:t>
      </w:r>
      <w:proofErr w:type="spellEnd"/>
      <w:r w:rsidRPr="006541E3">
        <w:rPr>
          <w:rFonts w:cstheme="minorHAnsi"/>
          <w:sz w:val="16"/>
          <w:szCs w:val="16"/>
        </w:rPr>
        <w:t xml:space="preserve"> 1999; vol.</w:t>
      </w:r>
      <w:r w:rsidR="00313990">
        <w:rPr>
          <w:rFonts w:cstheme="minorHAnsi"/>
          <w:sz w:val="16"/>
          <w:szCs w:val="16"/>
        </w:rPr>
        <w:t xml:space="preserve"> 124, no5, pp. 529-535</w:t>
      </w:r>
      <w:r w:rsidRPr="006541E3">
        <w:rPr>
          <w:rFonts w:cstheme="minorHAnsi"/>
          <w:sz w:val="16"/>
          <w:szCs w:val="16"/>
        </w:rPr>
        <w:t>.</w:t>
      </w:r>
    </w:p>
    <w:p w:rsidR="00917545" w:rsidRPr="006541E3" w:rsidRDefault="00917545" w:rsidP="00F92289">
      <w:pPr>
        <w:spacing w:after="120" w:line="240" w:lineRule="auto"/>
        <w:ind w:left="425" w:hanging="425"/>
        <w:jc w:val="both"/>
        <w:rPr>
          <w:rFonts w:cstheme="minorHAnsi"/>
          <w:sz w:val="16"/>
          <w:szCs w:val="16"/>
        </w:rPr>
      </w:pPr>
      <w:r w:rsidRPr="006541E3">
        <w:rPr>
          <w:rFonts w:cstheme="minorHAnsi"/>
          <w:sz w:val="16"/>
          <w:szCs w:val="16"/>
        </w:rPr>
        <w:t xml:space="preserve">4 Bernstein D, </w:t>
      </w:r>
      <w:proofErr w:type="spellStart"/>
      <w:r w:rsidRPr="006541E3">
        <w:rPr>
          <w:rFonts w:cstheme="minorHAnsi"/>
          <w:sz w:val="16"/>
          <w:szCs w:val="16"/>
        </w:rPr>
        <w:t>Soeffing</w:t>
      </w:r>
      <w:proofErr w:type="spellEnd"/>
      <w:r w:rsidRPr="006541E3">
        <w:rPr>
          <w:rFonts w:cstheme="minorHAnsi"/>
          <w:sz w:val="16"/>
          <w:szCs w:val="16"/>
        </w:rPr>
        <w:t xml:space="preserve"> J, </w:t>
      </w:r>
      <w:proofErr w:type="spellStart"/>
      <w:r w:rsidRPr="006541E3">
        <w:rPr>
          <w:rFonts w:cstheme="minorHAnsi"/>
          <w:sz w:val="16"/>
          <w:szCs w:val="16"/>
        </w:rPr>
        <w:t>Daoud</w:t>
      </w:r>
      <w:proofErr w:type="spellEnd"/>
      <w:r w:rsidRPr="006541E3">
        <w:rPr>
          <w:rFonts w:cstheme="minorHAnsi"/>
          <w:sz w:val="16"/>
          <w:szCs w:val="16"/>
        </w:rPr>
        <w:t xml:space="preserve"> YJ, </w:t>
      </w:r>
      <w:proofErr w:type="spellStart"/>
      <w:r w:rsidRPr="006541E3">
        <w:rPr>
          <w:rFonts w:cstheme="minorHAnsi"/>
          <w:sz w:val="16"/>
          <w:szCs w:val="16"/>
        </w:rPr>
        <w:t>Fredin</w:t>
      </w:r>
      <w:proofErr w:type="spellEnd"/>
      <w:r w:rsidRPr="006541E3">
        <w:rPr>
          <w:rFonts w:cstheme="minorHAnsi"/>
          <w:sz w:val="16"/>
          <w:szCs w:val="16"/>
        </w:rPr>
        <w:t xml:space="preserve"> J, </w:t>
      </w:r>
      <w:proofErr w:type="spellStart"/>
      <w:r w:rsidRPr="006541E3">
        <w:rPr>
          <w:rFonts w:cstheme="minorHAnsi"/>
          <w:sz w:val="16"/>
          <w:szCs w:val="16"/>
        </w:rPr>
        <w:t>Kravet</w:t>
      </w:r>
      <w:proofErr w:type="spellEnd"/>
      <w:r w:rsidRPr="006541E3">
        <w:rPr>
          <w:rFonts w:cstheme="minorHAnsi"/>
          <w:sz w:val="16"/>
          <w:szCs w:val="16"/>
        </w:rPr>
        <w:t xml:space="preserve"> SJ: </w:t>
      </w:r>
      <w:proofErr w:type="spellStart"/>
      <w:r w:rsidRPr="006541E3">
        <w:rPr>
          <w:rFonts w:cstheme="minorHAnsi"/>
          <w:sz w:val="16"/>
          <w:szCs w:val="16"/>
        </w:rPr>
        <w:t>The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obscure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gallbladder</w:t>
      </w:r>
      <w:proofErr w:type="spellEnd"/>
      <w:r w:rsidRPr="006541E3">
        <w:rPr>
          <w:rFonts w:cstheme="minorHAnsi"/>
          <w:sz w:val="16"/>
          <w:szCs w:val="16"/>
        </w:rPr>
        <w:t xml:space="preserve">. </w:t>
      </w:r>
      <w:proofErr w:type="spellStart"/>
      <w:r w:rsidRPr="006541E3">
        <w:rPr>
          <w:rFonts w:cstheme="minorHAnsi"/>
          <w:sz w:val="16"/>
          <w:szCs w:val="16"/>
        </w:rPr>
        <w:t>Am</w:t>
      </w:r>
      <w:proofErr w:type="spellEnd"/>
      <w:r w:rsidRPr="006541E3">
        <w:rPr>
          <w:rFonts w:cstheme="minorHAnsi"/>
          <w:sz w:val="16"/>
          <w:szCs w:val="16"/>
        </w:rPr>
        <w:t xml:space="preserve"> J </w:t>
      </w:r>
      <w:proofErr w:type="spellStart"/>
      <w:r w:rsidRPr="006541E3">
        <w:rPr>
          <w:rFonts w:cstheme="minorHAnsi"/>
          <w:sz w:val="16"/>
          <w:szCs w:val="16"/>
        </w:rPr>
        <w:t>Med</w:t>
      </w:r>
      <w:proofErr w:type="spellEnd"/>
      <w:r w:rsidRPr="006541E3">
        <w:rPr>
          <w:rFonts w:cstheme="minorHAnsi"/>
          <w:sz w:val="16"/>
          <w:szCs w:val="16"/>
        </w:rPr>
        <w:t xml:space="preserve"> 2007; 120(8):675-7.</w:t>
      </w:r>
    </w:p>
    <w:p w:rsidR="00917545" w:rsidRPr="006541E3" w:rsidRDefault="00917545" w:rsidP="00F92289">
      <w:pPr>
        <w:spacing w:after="120" w:line="240" w:lineRule="auto"/>
        <w:ind w:left="425" w:hanging="425"/>
        <w:jc w:val="both"/>
        <w:rPr>
          <w:rFonts w:cstheme="minorHAnsi"/>
          <w:sz w:val="16"/>
          <w:szCs w:val="16"/>
        </w:rPr>
      </w:pPr>
      <w:r w:rsidRPr="006541E3">
        <w:rPr>
          <w:rFonts w:cstheme="minorHAnsi"/>
          <w:sz w:val="16"/>
          <w:szCs w:val="16"/>
        </w:rPr>
        <w:t xml:space="preserve">5 </w:t>
      </w:r>
      <w:proofErr w:type="spellStart"/>
      <w:r w:rsidRPr="006541E3">
        <w:rPr>
          <w:rFonts w:cstheme="minorHAnsi"/>
          <w:sz w:val="16"/>
          <w:szCs w:val="16"/>
        </w:rPr>
        <w:t>Yuichi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Yamashita</w:t>
      </w:r>
      <w:proofErr w:type="spellEnd"/>
      <w:r w:rsidRPr="006541E3">
        <w:rPr>
          <w:rFonts w:cstheme="minorHAnsi"/>
          <w:sz w:val="16"/>
          <w:szCs w:val="16"/>
        </w:rPr>
        <w:t xml:space="preserve">, </w:t>
      </w:r>
      <w:proofErr w:type="spellStart"/>
      <w:r w:rsidRPr="006541E3">
        <w:rPr>
          <w:rFonts w:cstheme="minorHAnsi"/>
          <w:sz w:val="16"/>
          <w:szCs w:val="16"/>
        </w:rPr>
        <w:t>Tadahiro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Takada</w:t>
      </w:r>
      <w:proofErr w:type="spellEnd"/>
      <w:r w:rsidRPr="006541E3">
        <w:rPr>
          <w:rFonts w:cstheme="minorHAnsi"/>
          <w:sz w:val="16"/>
          <w:szCs w:val="16"/>
        </w:rPr>
        <w:t xml:space="preserve">, Steven M. </w:t>
      </w:r>
      <w:proofErr w:type="spellStart"/>
      <w:r w:rsidRPr="006541E3">
        <w:rPr>
          <w:rFonts w:cstheme="minorHAnsi"/>
          <w:sz w:val="16"/>
          <w:szCs w:val="16"/>
        </w:rPr>
        <w:t>Strasberg</w:t>
      </w:r>
      <w:proofErr w:type="spellEnd"/>
      <w:r w:rsidRPr="006541E3">
        <w:rPr>
          <w:rFonts w:cstheme="minorHAnsi"/>
          <w:sz w:val="16"/>
          <w:szCs w:val="16"/>
        </w:rPr>
        <w:t xml:space="preserve">, Henry A. </w:t>
      </w:r>
      <w:proofErr w:type="spellStart"/>
      <w:r w:rsidRPr="006541E3">
        <w:rPr>
          <w:rFonts w:cstheme="minorHAnsi"/>
          <w:sz w:val="16"/>
          <w:szCs w:val="16"/>
        </w:rPr>
        <w:t>Pitt</w:t>
      </w:r>
      <w:proofErr w:type="spellEnd"/>
      <w:r w:rsidRPr="006541E3">
        <w:rPr>
          <w:rFonts w:cstheme="minorHAnsi"/>
          <w:sz w:val="16"/>
          <w:szCs w:val="16"/>
        </w:rPr>
        <w:t xml:space="preserve">, </w:t>
      </w:r>
      <w:proofErr w:type="spellStart"/>
      <w:r w:rsidRPr="006541E3">
        <w:rPr>
          <w:rFonts w:cstheme="minorHAnsi"/>
          <w:sz w:val="16"/>
          <w:szCs w:val="16"/>
        </w:rPr>
        <w:t>Dirk</w:t>
      </w:r>
      <w:proofErr w:type="spellEnd"/>
      <w:r w:rsidRPr="006541E3">
        <w:rPr>
          <w:rFonts w:cstheme="minorHAnsi"/>
          <w:sz w:val="16"/>
          <w:szCs w:val="16"/>
        </w:rPr>
        <w:t xml:space="preserve"> J. </w:t>
      </w:r>
      <w:proofErr w:type="spellStart"/>
      <w:r w:rsidRPr="006541E3">
        <w:rPr>
          <w:rFonts w:cstheme="minorHAnsi"/>
          <w:sz w:val="16"/>
          <w:szCs w:val="16"/>
        </w:rPr>
        <w:t>Gouma</w:t>
      </w:r>
      <w:proofErr w:type="spellEnd"/>
      <w:r w:rsidRPr="006541E3">
        <w:rPr>
          <w:rFonts w:cstheme="minorHAnsi"/>
          <w:sz w:val="16"/>
          <w:szCs w:val="16"/>
        </w:rPr>
        <w:t xml:space="preserve">, O. James </w:t>
      </w:r>
      <w:proofErr w:type="spellStart"/>
      <w:r w:rsidRPr="006541E3">
        <w:rPr>
          <w:rFonts w:cstheme="minorHAnsi"/>
          <w:sz w:val="16"/>
          <w:szCs w:val="16"/>
        </w:rPr>
        <w:t>Garden</w:t>
      </w:r>
      <w:proofErr w:type="spellEnd"/>
      <w:r w:rsidRPr="006541E3">
        <w:rPr>
          <w:rFonts w:cstheme="minorHAnsi"/>
          <w:sz w:val="16"/>
          <w:szCs w:val="16"/>
        </w:rPr>
        <w:t xml:space="preserve">, </w:t>
      </w:r>
      <w:proofErr w:type="spellStart"/>
      <w:r w:rsidRPr="006541E3">
        <w:rPr>
          <w:rFonts w:cstheme="minorHAnsi"/>
          <w:sz w:val="16"/>
          <w:szCs w:val="16"/>
        </w:rPr>
        <w:t>Markus</w:t>
      </w:r>
      <w:proofErr w:type="spellEnd"/>
      <w:r w:rsidRPr="006541E3">
        <w:rPr>
          <w:rFonts w:cstheme="minorHAnsi"/>
          <w:sz w:val="16"/>
          <w:szCs w:val="16"/>
        </w:rPr>
        <w:t xml:space="preserve"> W. </w:t>
      </w:r>
      <w:proofErr w:type="spellStart"/>
      <w:r w:rsidRPr="006541E3">
        <w:rPr>
          <w:rFonts w:cstheme="minorHAnsi"/>
          <w:sz w:val="16"/>
          <w:szCs w:val="16"/>
        </w:rPr>
        <w:t>Bu¨chler</w:t>
      </w:r>
      <w:proofErr w:type="spellEnd"/>
      <w:r w:rsidRPr="006541E3">
        <w:rPr>
          <w:rFonts w:cstheme="minorHAnsi"/>
          <w:sz w:val="16"/>
          <w:szCs w:val="16"/>
        </w:rPr>
        <w:t xml:space="preserve">, </w:t>
      </w:r>
      <w:proofErr w:type="spellStart"/>
      <w:r w:rsidRPr="006541E3">
        <w:rPr>
          <w:rFonts w:cstheme="minorHAnsi"/>
          <w:sz w:val="16"/>
          <w:szCs w:val="16"/>
        </w:rPr>
        <w:t>Harumi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Gomi</w:t>
      </w:r>
      <w:proofErr w:type="spellEnd"/>
      <w:r w:rsidRPr="006541E3">
        <w:rPr>
          <w:rFonts w:cstheme="minorHAnsi"/>
          <w:sz w:val="16"/>
          <w:szCs w:val="16"/>
        </w:rPr>
        <w:t xml:space="preserve">, </w:t>
      </w:r>
      <w:proofErr w:type="spellStart"/>
      <w:r w:rsidRPr="006541E3">
        <w:rPr>
          <w:rFonts w:cstheme="minorHAnsi"/>
          <w:sz w:val="16"/>
          <w:szCs w:val="16"/>
        </w:rPr>
        <w:t>Christos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Dervenis</w:t>
      </w:r>
      <w:proofErr w:type="spellEnd"/>
      <w:r w:rsidRPr="006541E3">
        <w:rPr>
          <w:rFonts w:cstheme="minorHAnsi"/>
          <w:sz w:val="16"/>
          <w:szCs w:val="16"/>
        </w:rPr>
        <w:t xml:space="preserve">, John A. </w:t>
      </w:r>
      <w:proofErr w:type="spellStart"/>
      <w:r w:rsidRPr="006541E3">
        <w:rPr>
          <w:rFonts w:cstheme="minorHAnsi"/>
          <w:sz w:val="16"/>
          <w:szCs w:val="16"/>
        </w:rPr>
        <w:t>Windsor</w:t>
      </w:r>
      <w:proofErr w:type="spellEnd"/>
      <w:r w:rsidRPr="006541E3">
        <w:rPr>
          <w:rFonts w:cstheme="minorHAnsi"/>
          <w:sz w:val="16"/>
          <w:szCs w:val="16"/>
        </w:rPr>
        <w:t xml:space="preserve">, </w:t>
      </w:r>
      <w:proofErr w:type="spellStart"/>
      <w:r w:rsidRPr="006541E3">
        <w:rPr>
          <w:rFonts w:cstheme="minorHAnsi"/>
          <w:sz w:val="16"/>
          <w:szCs w:val="16"/>
        </w:rPr>
        <w:t>Sun-Whe</w:t>
      </w:r>
      <w:proofErr w:type="spellEnd"/>
      <w:r w:rsidRPr="006541E3">
        <w:rPr>
          <w:rFonts w:cstheme="minorHAnsi"/>
          <w:sz w:val="16"/>
          <w:szCs w:val="16"/>
        </w:rPr>
        <w:t xml:space="preserve"> Kim, Eduardo de </w:t>
      </w:r>
      <w:proofErr w:type="spellStart"/>
      <w:r w:rsidRPr="006541E3">
        <w:rPr>
          <w:rFonts w:cstheme="minorHAnsi"/>
          <w:sz w:val="16"/>
          <w:szCs w:val="16"/>
        </w:rPr>
        <w:t>Santibanes</w:t>
      </w:r>
      <w:proofErr w:type="spellEnd"/>
      <w:r w:rsidRPr="006541E3">
        <w:rPr>
          <w:rFonts w:cstheme="minorHAnsi"/>
          <w:sz w:val="16"/>
          <w:szCs w:val="16"/>
        </w:rPr>
        <w:t xml:space="preserve">, Robert </w:t>
      </w:r>
      <w:proofErr w:type="spellStart"/>
      <w:r w:rsidRPr="006541E3">
        <w:rPr>
          <w:rFonts w:cstheme="minorHAnsi"/>
          <w:sz w:val="16"/>
          <w:szCs w:val="16"/>
        </w:rPr>
        <w:t>Padbury</w:t>
      </w:r>
      <w:proofErr w:type="spellEnd"/>
      <w:r w:rsidRPr="006541E3">
        <w:rPr>
          <w:rFonts w:cstheme="minorHAnsi"/>
          <w:sz w:val="16"/>
          <w:szCs w:val="16"/>
        </w:rPr>
        <w:t xml:space="preserve">, </w:t>
      </w:r>
      <w:proofErr w:type="spellStart"/>
      <w:r w:rsidRPr="006541E3">
        <w:rPr>
          <w:rFonts w:cstheme="minorHAnsi"/>
          <w:sz w:val="16"/>
          <w:szCs w:val="16"/>
        </w:rPr>
        <w:t>Xiao-Ping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Chen</w:t>
      </w:r>
      <w:proofErr w:type="spellEnd"/>
      <w:r w:rsidRPr="006541E3">
        <w:rPr>
          <w:rFonts w:cstheme="minorHAnsi"/>
          <w:sz w:val="16"/>
          <w:szCs w:val="16"/>
        </w:rPr>
        <w:t xml:space="preserve">, Angus C. W. </w:t>
      </w:r>
      <w:proofErr w:type="spellStart"/>
      <w:r w:rsidRPr="006541E3">
        <w:rPr>
          <w:rFonts w:cstheme="minorHAnsi"/>
          <w:sz w:val="16"/>
          <w:szCs w:val="16"/>
        </w:rPr>
        <w:t>Chan</w:t>
      </w:r>
      <w:proofErr w:type="spellEnd"/>
      <w:r w:rsidRPr="006541E3">
        <w:rPr>
          <w:rFonts w:cstheme="minorHAnsi"/>
          <w:sz w:val="16"/>
          <w:szCs w:val="16"/>
        </w:rPr>
        <w:t xml:space="preserve">, </w:t>
      </w:r>
      <w:proofErr w:type="spellStart"/>
      <w:r w:rsidRPr="006541E3">
        <w:rPr>
          <w:rFonts w:cstheme="minorHAnsi"/>
          <w:sz w:val="16"/>
          <w:szCs w:val="16"/>
        </w:rPr>
        <w:t>Sheung-Tat</w:t>
      </w:r>
      <w:proofErr w:type="spellEnd"/>
      <w:r w:rsidRPr="006541E3">
        <w:rPr>
          <w:rFonts w:cstheme="minorHAnsi"/>
          <w:sz w:val="16"/>
          <w:szCs w:val="16"/>
        </w:rPr>
        <w:t xml:space="preserve"> Fan, </w:t>
      </w:r>
      <w:proofErr w:type="spellStart"/>
      <w:r w:rsidRPr="006541E3">
        <w:rPr>
          <w:rFonts w:cstheme="minorHAnsi"/>
          <w:sz w:val="16"/>
          <w:szCs w:val="16"/>
        </w:rPr>
        <w:t>Palepu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Jagannath</w:t>
      </w:r>
      <w:proofErr w:type="spellEnd"/>
      <w:r w:rsidRPr="006541E3">
        <w:rPr>
          <w:rFonts w:cstheme="minorHAnsi"/>
          <w:sz w:val="16"/>
          <w:szCs w:val="16"/>
        </w:rPr>
        <w:t xml:space="preserve">, </w:t>
      </w:r>
      <w:proofErr w:type="spellStart"/>
      <w:r w:rsidRPr="006541E3">
        <w:rPr>
          <w:rFonts w:cstheme="minorHAnsi"/>
          <w:sz w:val="16"/>
          <w:szCs w:val="16"/>
        </w:rPr>
        <w:t>Toshihiko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Mayumi</w:t>
      </w:r>
      <w:proofErr w:type="spellEnd"/>
      <w:r w:rsidRPr="006541E3">
        <w:rPr>
          <w:rFonts w:cstheme="minorHAnsi"/>
          <w:sz w:val="16"/>
          <w:szCs w:val="16"/>
        </w:rPr>
        <w:t xml:space="preserve">, </w:t>
      </w:r>
      <w:proofErr w:type="spellStart"/>
      <w:r w:rsidRPr="006541E3">
        <w:rPr>
          <w:rFonts w:cstheme="minorHAnsi"/>
          <w:sz w:val="16"/>
          <w:szCs w:val="16"/>
        </w:rPr>
        <w:t>Masahiro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Yoshida</w:t>
      </w:r>
      <w:proofErr w:type="spellEnd"/>
      <w:r w:rsidRPr="006541E3">
        <w:rPr>
          <w:rFonts w:cstheme="minorHAnsi"/>
          <w:sz w:val="16"/>
          <w:szCs w:val="16"/>
        </w:rPr>
        <w:t xml:space="preserve">, </w:t>
      </w:r>
      <w:proofErr w:type="spellStart"/>
      <w:r w:rsidRPr="006541E3">
        <w:rPr>
          <w:rFonts w:cstheme="minorHAnsi"/>
          <w:sz w:val="16"/>
          <w:szCs w:val="16"/>
        </w:rPr>
        <w:t>Fumihiko</w:t>
      </w:r>
      <w:proofErr w:type="spellEnd"/>
      <w:r w:rsidRPr="006541E3">
        <w:rPr>
          <w:rFonts w:cstheme="minorHAnsi"/>
          <w:sz w:val="16"/>
          <w:szCs w:val="16"/>
        </w:rPr>
        <w:t xml:space="preserve"> Miura, </w:t>
      </w:r>
      <w:proofErr w:type="spellStart"/>
      <w:r w:rsidRPr="006541E3">
        <w:rPr>
          <w:rFonts w:cstheme="minorHAnsi"/>
          <w:sz w:val="16"/>
          <w:szCs w:val="16"/>
        </w:rPr>
        <w:t>Toshio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Tsuyuguchi</w:t>
      </w:r>
      <w:proofErr w:type="spellEnd"/>
      <w:r w:rsidRPr="006541E3">
        <w:rPr>
          <w:rFonts w:cstheme="minorHAnsi"/>
          <w:sz w:val="16"/>
          <w:szCs w:val="16"/>
        </w:rPr>
        <w:t xml:space="preserve">, </w:t>
      </w:r>
      <w:proofErr w:type="spellStart"/>
      <w:r w:rsidRPr="006541E3">
        <w:rPr>
          <w:rFonts w:cstheme="minorHAnsi"/>
          <w:sz w:val="16"/>
          <w:szCs w:val="16"/>
        </w:rPr>
        <w:t>Takao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Itoi</w:t>
      </w:r>
      <w:proofErr w:type="spellEnd"/>
      <w:r w:rsidRPr="006541E3">
        <w:rPr>
          <w:rFonts w:cstheme="minorHAnsi"/>
          <w:sz w:val="16"/>
          <w:szCs w:val="16"/>
        </w:rPr>
        <w:t xml:space="preserve">, </w:t>
      </w:r>
      <w:proofErr w:type="spellStart"/>
      <w:r w:rsidRPr="006541E3">
        <w:rPr>
          <w:rFonts w:cstheme="minorHAnsi"/>
          <w:sz w:val="16"/>
          <w:szCs w:val="16"/>
        </w:rPr>
        <w:t>Avinash</w:t>
      </w:r>
      <w:proofErr w:type="spellEnd"/>
      <w:r w:rsidRPr="006541E3">
        <w:rPr>
          <w:rFonts w:cstheme="minorHAnsi"/>
          <w:sz w:val="16"/>
          <w:szCs w:val="16"/>
        </w:rPr>
        <w:t xml:space="preserve"> N. </w:t>
      </w:r>
      <w:proofErr w:type="spellStart"/>
      <w:r w:rsidRPr="006541E3">
        <w:rPr>
          <w:rFonts w:cstheme="minorHAnsi"/>
          <w:sz w:val="16"/>
          <w:szCs w:val="16"/>
        </w:rPr>
        <w:t>Supe</w:t>
      </w:r>
      <w:proofErr w:type="spellEnd"/>
      <w:r w:rsidRPr="006541E3">
        <w:rPr>
          <w:rFonts w:cstheme="minorHAnsi"/>
          <w:sz w:val="16"/>
          <w:szCs w:val="16"/>
        </w:rPr>
        <w:t xml:space="preserve">. TG13 </w:t>
      </w:r>
      <w:proofErr w:type="spellStart"/>
      <w:r w:rsidRPr="006541E3">
        <w:rPr>
          <w:rFonts w:cstheme="minorHAnsi"/>
          <w:sz w:val="16"/>
          <w:szCs w:val="16"/>
        </w:rPr>
        <w:t>surgical</w:t>
      </w:r>
      <w:proofErr w:type="spellEnd"/>
      <w:r w:rsidRPr="006541E3">
        <w:rPr>
          <w:rFonts w:cstheme="minorHAnsi"/>
          <w:sz w:val="16"/>
          <w:szCs w:val="16"/>
        </w:rPr>
        <w:t xml:space="preserve"> management </w:t>
      </w:r>
      <w:proofErr w:type="spellStart"/>
      <w:r w:rsidRPr="006541E3">
        <w:rPr>
          <w:rFonts w:cstheme="minorHAnsi"/>
          <w:sz w:val="16"/>
          <w:szCs w:val="16"/>
        </w:rPr>
        <w:t>of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acute</w:t>
      </w:r>
      <w:proofErr w:type="spellEnd"/>
      <w:r w:rsidRPr="006541E3">
        <w:rPr>
          <w:rFonts w:cstheme="minorHAnsi"/>
          <w:sz w:val="16"/>
          <w:szCs w:val="16"/>
        </w:rPr>
        <w:t xml:space="preserve"> cholecystitis. J </w:t>
      </w:r>
      <w:proofErr w:type="spellStart"/>
      <w:r w:rsidRPr="006541E3">
        <w:rPr>
          <w:rFonts w:cstheme="minorHAnsi"/>
          <w:sz w:val="16"/>
          <w:szCs w:val="16"/>
        </w:rPr>
        <w:t>Hepatobiliar</w:t>
      </w:r>
      <w:r w:rsidR="00313990">
        <w:rPr>
          <w:rFonts w:cstheme="minorHAnsi"/>
          <w:sz w:val="16"/>
          <w:szCs w:val="16"/>
        </w:rPr>
        <w:t>y</w:t>
      </w:r>
      <w:proofErr w:type="spellEnd"/>
      <w:r w:rsidR="00313990">
        <w:rPr>
          <w:rFonts w:cstheme="minorHAnsi"/>
          <w:sz w:val="16"/>
          <w:szCs w:val="16"/>
        </w:rPr>
        <w:t xml:space="preserve"> </w:t>
      </w:r>
      <w:proofErr w:type="spellStart"/>
      <w:r w:rsidR="00313990">
        <w:rPr>
          <w:rFonts w:cstheme="minorHAnsi"/>
          <w:sz w:val="16"/>
          <w:szCs w:val="16"/>
        </w:rPr>
        <w:t>Pancreat</w:t>
      </w:r>
      <w:proofErr w:type="spellEnd"/>
      <w:r w:rsidR="00313990">
        <w:rPr>
          <w:rFonts w:cstheme="minorHAnsi"/>
          <w:sz w:val="16"/>
          <w:szCs w:val="16"/>
        </w:rPr>
        <w:t xml:space="preserve"> </w:t>
      </w:r>
      <w:proofErr w:type="spellStart"/>
      <w:r w:rsidR="00313990">
        <w:rPr>
          <w:rFonts w:cstheme="minorHAnsi"/>
          <w:sz w:val="16"/>
          <w:szCs w:val="16"/>
        </w:rPr>
        <w:t>Sci</w:t>
      </w:r>
      <w:proofErr w:type="spellEnd"/>
      <w:r w:rsidR="00313990">
        <w:rPr>
          <w:rFonts w:cstheme="minorHAnsi"/>
          <w:sz w:val="16"/>
          <w:szCs w:val="16"/>
        </w:rPr>
        <w:t xml:space="preserve"> (2013) 20:89–96.</w:t>
      </w:r>
    </w:p>
    <w:p w:rsidR="00917545" w:rsidRPr="006541E3" w:rsidRDefault="00917545" w:rsidP="00F92289">
      <w:pPr>
        <w:spacing w:after="120" w:line="240" w:lineRule="auto"/>
        <w:ind w:left="425" w:hanging="425"/>
        <w:jc w:val="both"/>
        <w:rPr>
          <w:rFonts w:cstheme="minorHAnsi"/>
          <w:sz w:val="16"/>
          <w:szCs w:val="16"/>
        </w:rPr>
      </w:pPr>
      <w:r w:rsidRPr="006541E3">
        <w:rPr>
          <w:rFonts w:cstheme="minorHAnsi"/>
          <w:sz w:val="16"/>
          <w:szCs w:val="16"/>
        </w:rPr>
        <w:t xml:space="preserve">6 Araújo Teixeira JP. </w:t>
      </w:r>
      <w:proofErr w:type="spellStart"/>
      <w:r w:rsidRPr="006541E3">
        <w:rPr>
          <w:rFonts w:cstheme="minorHAnsi"/>
          <w:sz w:val="16"/>
          <w:szCs w:val="16"/>
        </w:rPr>
        <w:t>How</w:t>
      </w:r>
      <w:proofErr w:type="spellEnd"/>
      <w:r w:rsidRPr="006541E3">
        <w:rPr>
          <w:rFonts w:cstheme="minorHAnsi"/>
          <w:sz w:val="16"/>
          <w:szCs w:val="16"/>
        </w:rPr>
        <w:t xml:space="preserve"> to </w:t>
      </w:r>
      <w:proofErr w:type="spellStart"/>
      <w:r w:rsidRPr="006541E3">
        <w:rPr>
          <w:rFonts w:cstheme="minorHAnsi"/>
          <w:sz w:val="16"/>
          <w:szCs w:val="16"/>
        </w:rPr>
        <w:t>perform</w:t>
      </w:r>
      <w:proofErr w:type="spellEnd"/>
      <w:r w:rsidRPr="006541E3">
        <w:rPr>
          <w:rFonts w:cstheme="minorHAnsi"/>
          <w:sz w:val="16"/>
          <w:szCs w:val="16"/>
        </w:rPr>
        <w:t xml:space="preserve"> a safe </w:t>
      </w:r>
      <w:proofErr w:type="spellStart"/>
      <w:r w:rsidRPr="006541E3">
        <w:rPr>
          <w:rFonts w:cstheme="minorHAnsi"/>
          <w:sz w:val="16"/>
          <w:szCs w:val="16"/>
        </w:rPr>
        <w:t>laparoscopic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cholecystectomy</w:t>
      </w:r>
      <w:proofErr w:type="spellEnd"/>
      <w:r w:rsidRPr="006541E3">
        <w:rPr>
          <w:rFonts w:cstheme="minorHAnsi"/>
          <w:sz w:val="16"/>
          <w:szCs w:val="16"/>
        </w:rPr>
        <w:t xml:space="preserve"> Araújo Teixeira J. P., in </w:t>
      </w:r>
      <w:proofErr w:type="spellStart"/>
      <w:r w:rsidRPr="006541E3">
        <w:rPr>
          <w:rFonts w:cstheme="minorHAnsi"/>
          <w:sz w:val="16"/>
          <w:szCs w:val="16"/>
        </w:rPr>
        <w:t>Minimally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invasive</w:t>
      </w:r>
      <w:proofErr w:type="spellEnd"/>
      <w:r w:rsidRPr="006541E3">
        <w:rPr>
          <w:rFonts w:cstheme="minorHAnsi"/>
          <w:sz w:val="16"/>
          <w:szCs w:val="16"/>
        </w:rPr>
        <w:t xml:space="preserve"> abdominal </w:t>
      </w:r>
      <w:proofErr w:type="spellStart"/>
      <w:r w:rsidRPr="006541E3">
        <w:rPr>
          <w:rFonts w:cstheme="minorHAnsi"/>
          <w:sz w:val="16"/>
          <w:szCs w:val="16"/>
        </w:rPr>
        <w:t>surgery</w:t>
      </w:r>
      <w:proofErr w:type="spellEnd"/>
      <w:r w:rsidRPr="006541E3">
        <w:rPr>
          <w:rFonts w:cstheme="minorHAnsi"/>
          <w:sz w:val="16"/>
          <w:szCs w:val="16"/>
        </w:rPr>
        <w:t>, Lisboa: Instituto Piaget, 2010; 67-82.</w:t>
      </w:r>
    </w:p>
    <w:p w:rsidR="00917545" w:rsidRPr="00172C6A" w:rsidRDefault="00917545" w:rsidP="00F92289">
      <w:pPr>
        <w:spacing w:after="120" w:line="240" w:lineRule="auto"/>
        <w:ind w:left="425" w:hanging="425"/>
        <w:jc w:val="both"/>
        <w:rPr>
          <w:rFonts w:cstheme="minorHAnsi"/>
          <w:sz w:val="16"/>
          <w:szCs w:val="16"/>
        </w:rPr>
      </w:pPr>
      <w:r w:rsidRPr="00172C6A">
        <w:rPr>
          <w:rFonts w:cstheme="minorHAnsi"/>
          <w:sz w:val="16"/>
          <w:szCs w:val="16"/>
        </w:rPr>
        <w:t xml:space="preserve">7 Araújo Teixeira JP, Carlos C Ribeiro, André A Pinto, André A </w:t>
      </w:r>
      <w:proofErr w:type="spellStart"/>
      <w:r w:rsidRPr="00172C6A">
        <w:rPr>
          <w:rFonts w:cstheme="minorHAnsi"/>
          <w:sz w:val="16"/>
          <w:szCs w:val="16"/>
        </w:rPr>
        <w:t>Goulart</w:t>
      </w:r>
      <w:proofErr w:type="spellEnd"/>
      <w:r w:rsidRPr="00172C6A">
        <w:rPr>
          <w:rFonts w:cstheme="minorHAnsi"/>
          <w:sz w:val="16"/>
          <w:szCs w:val="16"/>
        </w:rPr>
        <w:t xml:space="preserve">, J Costa JC Maia, Amadeu A Pimenta. </w:t>
      </w:r>
      <w:proofErr w:type="spellStart"/>
      <w:r w:rsidRPr="006541E3">
        <w:rPr>
          <w:rFonts w:cstheme="minorHAnsi"/>
          <w:sz w:val="16"/>
          <w:szCs w:val="16"/>
        </w:rPr>
        <w:t>Surgical</w:t>
      </w:r>
      <w:proofErr w:type="spellEnd"/>
      <w:r w:rsidRPr="006541E3">
        <w:rPr>
          <w:rFonts w:cstheme="minorHAnsi"/>
          <w:sz w:val="16"/>
          <w:szCs w:val="16"/>
        </w:rPr>
        <w:t xml:space="preserve"> management </w:t>
      </w:r>
      <w:proofErr w:type="spellStart"/>
      <w:r w:rsidRPr="006541E3">
        <w:rPr>
          <w:rFonts w:cstheme="minorHAnsi"/>
          <w:sz w:val="16"/>
          <w:szCs w:val="16"/>
        </w:rPr>
        <w:t>of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acute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cholecystitis</w:t>
      </w:r>
      <w:proofErr w:type="spellEnd"/>
      <w:r w:rsidRPr="006541E3">
        <w:rPr>
          <w:rFonts w:cstheme="minorHAnsi"/>
          <w:sz w:val="16"/>
          <w:szCs w:val="16"/>
        </w:rPr>
        <w:t xml:space="preserve"> (</w:t>
      </w:r>
      <w:proofErr w:type="spellStart"/>
      <w:r w:rsidRPr="006541E3">
        <w:rPr>
          <w:rFonts w:cstheme="minorHAnsi"/>
          <w:sz w:val="16"/>
          <w:szCs w:val="16"/>
        </w:rPr>
        <w:t>experience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of</w:t>
      </w:r>
      <w:proofErr w:type="spellEnd"/>
      <w:r w:rsidRPr="006541E3">
        <w:rPr>
          <w:rFonts w:cstheme="minorHAnsi"/>
          <w:sz w:val="16"/>
          <w:szCs w:val="16"/>
        </w:rPr>
        <w:t xml:space="preserve"> 249 cases). Hepatogastroenterology 2011, 58(106):281-4.</w:t>
      </w:r>
    </w:p>
    <w:p w:rsidR="00917545" w:rsidRPr="006541E3" w:rsidRDefault="00917545" w:rsidP="00F92289">
      <w:pPr>
        <w:spacing w:after="120" w:line="240" w:lineRule="auto"/>
        <w:ind w:left="425" w:hanging="425"/>
        <w:jc w:val="both"/>
        <w:rPr>
          <w:rFonts w:cstheme="minorHAnsi"/>
          <w:sz w:val="16"/>
          <w:szCs w:val="16"/>
        </w:rPr>
      </w:pPr>
      <w:r w:rsidRPr="00172C6A">
        <w:rPr>
          <w:rFonts w:cstheme="minorHAnsi"/>
          <w:sz w:val="16"/>
          <w:szCs w:val="16"/>
        </w:rPr>
        <w:t xml:space="preserve">8 </w:t>
      </w:r>
      <w:proofErr w:type="spellStart"/>
      <w:r w:rsidRPr="00172C6A">
        <w:rPr>
          <w:rFonts w:cstheme="minorHAnsi"/>
          <w:sz w:val="16"/>
          <w:szCs w:val="16"/>
        </w:rPr>
        <w:t>Benoit</w:t>
      </w:r>
      <w:proofErr w:type="spellEnd"/>
      <w:r w:rsidRPr="00172C6A">
        <w:rPr>
          <w:rFonts w:cstheme="minorHAnsi"/>
          <w:sz w:val="16"/>
          <w:szCs w:val="16"/>
        </w:rPr>
        <w:t xml:space="preserve"> </w:t>
      </w:r>
      <w:proofErr w:type="spellStart"/>
      <w:r w:rsidRPr="00172C6A">
        <w:rPr>
          <w:rFonts w:cstheme="minorHAnsi"/>
          <w:sz w:val="16"/>
          <w:szCs w:val="16"/>
        </w:rPr>
        <w:t>Navez</w:t>
      </w:r>
      <w:proofErr w:type="spellEnd"/>
      <w:r w:rsidRPr="00172C6A">
        <w:rPr>
          <w:rFonts w:cstheme="minorHAnsi"/>
          <w:sz w:val="16"/>
          <w:szCs w:val="16"/>
        </w:rPr>
        <w:t xml:space="preserve">, </w:t>
      </w:r>
      <w:proofErr w:type="spellStart"/>
      <w:r w:rsidRPr="00172C6A">
        <w:rPr>
          <w:rFonts w:cstheme="minorHAnsi"/>
          <w:sz w:val="16"/>
          <w:szCs w:val="16"/>
        </w:rPr>
        <w:t>Felicia</w:t>
      </w:r>
      <w:proofErr w:type="spellEnd"/>
      <w:r w:rsidRPr="00172C6A">
        <w:rPr>
          <w:rFonts w:cstheme="minorHAnsi"/>
          <w:sz w:val="16"/>
          <w:szCs w:val="16"/>
        </w:rPr>
        <w:t xml:space="preserve"> </w:t>
      </w:r>
      <w:proofErr w:type="spellStart"/>
      <w:r w:rsidRPr="00172C6A">
        <w:rPr>
          <w:rFonts w:cstheme="minorHAnsi"/>
          <w:sz w:val="16"/>
          <w:szCs w:val="16"/>
        </w:rPr>
        <w:t>Ungureanu</w:t>
      </w:r>
      <w:proofErr w:type="spellEnd"/>
      <w:r w:rsidRPr="00172C6A">
        <w:rPr>
          <w:rFonts w:cstheme="minorHAnsi"/>
          <w:sz w:val="16"/>
          <w:szCs w:val="16"/>
        </w:rPr>
        <w:t xml:space="preserve">, Martens </w:t>
      </w:r>
      <w:proofErr w:type="spellStart"/>
      <w:r w:rsidRPr="00172C6A">
        <w:rPr>
          <w:rFonts w:cstheme="minorHAnsi"/>
          <w:sz w:val="16"/>
          <w:szCs w:val="16"/>
        </w:rPr>
        <w:t>Michiels</w:t>
      </w:r>
      <w:proofErr w:type="spellEnd"/>
      <w:r w:rsidRPr="00172C6A">
        <w:rPr>
          <w:rFonts w:cstheme="minorHAnsi"/>
          <w:sz w:val="16"/>
          <w:szCs w:val="16"/>
        </w:rPr>
        <w:t xml:space="preserve">, </w:t>
      </w:r>
      <w:proofErr w:type="spellStart"/>
      <w:r w:rsidRPr="00172C6A">
        <w:rPr>
          <w:rFonts w:cstheme="minorHAnsi"/>
          <w:sz w:val="16"/>
          <w:szCs w:val="16"/>
        </w:rPr>
        <w:t>Donald</w:t>
      </w:r>
      <w:proofErr w:type="spellEnd"/>
      <w:r w:rsidRPr="00172C6A">
        <w:rPr>
          <w:rFonts w:cstheme="minorHAnsi"/>
          <w:sz w:val="16"/>
          <w:szCs w:val="16"/>
        </w:rPr>
        <w:t xml:space="preserve"> </w:t>
      </w:r>
      <w:proofErr w:type="spellStart"/>
      <w:r w:rsidRPr="00172C6A">
        <w:rPr>
          <w:rFonts w:cstheme="minorHAnsi"/>
          <w:sz w:val="16"/>
          <w:szCs w:val="16"/>
        </w:rPr>
        <w:t>Claeys</w:t>
      </w:r>
      <w:proofErr w:type="spellEnd"/>
      <w:r w:rsidRPr="00172C6A">
        <w:rPr>
          <w:rFonts w:cstheme="minorHAnsi"/>
          <w:sz w:val="16"/>
          <w:szCs w:val="16"/>
        </w:rPr>
        <w:t xml:space="preserve">, </w:t>
      </w:r>
      <w:proofErr w:type="spellStart"/>
      <w:r w:rsidRPr="00172C6A">
        <w:rPr>
          <w:rFonts w:cstheme="minorHAnsi"/>
          <w:sz w:val="16"/>
          <w:szCs w:val="16"/>
        </w:rPr>
        <w:t>Filip</w:t>
      </w:r>
      <w:proofErr w:type="spellEnd"/>
      <w:r w:rsidRPr="00172C6A">
        <w:rPr>
          <w:rFonts w:cstheme="minorHAnsi"/>
          <w:sz w:val="16"/>
          <w:szCs w:val="16"/>
        </w:rPr>
        <w:t xml:space="preserve"> </w:t>
      </w:r>
      <w:proofErr w:type="spellStart"/>
      <w:r w:rsidRPr="00172C6A">
        <w:rPr>
          <w:rFonts w:cstheme="minorHAnsi"/>
          <w:sz w:val="16"/>
          <w:szCs w:val="16"/>
        </w:rPr>
        <w:t>Muysoms</w:t>
      </w:r>
      <w:proofErr w:type="spellEnd"/>
      <w:r w:rsidRPr="00172C6A">
        <w:rPr>
          <w:rFonts w:cstheme="minorHAnsi"/>
          <w:sz w:val="16"/>
          <w:szCs w:val="16"/>
        </w:rPr>
        <w:t xml:space="preserve">, Catherine </w:t>
      </w:r>
      <w:proofErr w:type="spellStart"/>
      <w:r w:rsidRPr="00172C6A">
        <w:rPr>
          <w:rFonts w:cstheme="minorHAnsi"/>
          <w:sz w:val="16"/>
          <w:szCs w:val="16"/>
        </w:rPr>
        <w:t>Hubert</w:t>
      </w:r>
      <w:proofErr w:type="spellEnd"/>
      <w:r w:rsidRPr="00172C6A">
        <w:rPr>
          <w:rFonts w:cstheme="minorHAnsi"/>
          <w:sz w:val="16"/>
          <w:szCs w:val="16"/>
        </w:rPr>
        <w:t xml:space="preserve">, </w:t>
      </w:r>
      <w:proofErr w:type="spellStart"/>
      <w:r w:rsidRPr="00172C6A">
        <w:rPr>
          <w:rFonts w:cstheme="minorHAnsi"/>
          <w:sz w:val="16"/>
          <w:szCs w:val="16"/>
        </w:rPr>
        <w:t>Marc</w:t>
      </w:r>
      <w:proofErr w:type="spellEnd"/>
      <w:r w:rsidRPr="00172C6A">
        <w:rPr>
          <w:rFonts w:cstheme="minorHAnsi"/>
          <w:sz w:val="16"/>
          <w:szCs w:val="16"/>
        </w:rPr>
        <w:t xml:space="preserve"> </w:t>
      </w:r>
      <w:proofErr w:type="spellStart"/>
      <w:r w:rsidRPr="00172C6A">
        <w:rPr>
          <w:rFonts w:cstheme="minorHAnsi"/>
          <w:sz w:val="16"/>
          <w:szCs w:val="16"/>
        </w:rPr>
        <w:t>Vanderveken</w:t>
      </w:r>
      <w:proofErr w:type="spellEnd"/>
      <w:r w:rsidRPr="00172C6A">
        <w:rPr>
          <w:rFonts w:cstheme="minorHAnsi"/>
          <w:sz w:val="16"/>
          <w:szCs w:val="16"/>
        </w:rPr>
        <w:t xml:space="preserve">, Olivier </w:t>
      </w:r>
      <w:proofErr w:type="spellStart"/>
      <w:r w:rsidRPr="00172C6A">
        <w:rPr>
          <w:rFonts w:cstheme="minorHAnsi"/>
          <w:sz w:val="16"/>
          <w:szCs w:val="16"/>
        </w:rPr>
        <w:t>Detry</w:t>
      </w:r>
      <w:proofErr w:type="spellEnd"/>
      <w:r w:rsidRPr="00172C6A">
        <w:rPr>
          <w:rFonts w:cstheme="minorHAnsi"/>
          <w:sz w:val="16"/>
          <w:szCs w:val="16"/>
        </w:rPr>
        <w:t xml:space="preserve">, Bernard </w:t>
      </w:r>
      <w:proofErr w:type="spellStart"/>
      <w:r w:rsidRPr="00172C6A">
        <w:rPr>
          <w:rFonts w:cstheme="minorHAnsi"/>
          <w:sz w:val="16"/>
          <w:szCs w:val="16"/>
        </w:rPr>
        <w:t>Detroz</w:t>
      </w:r>
      <w:proofErr w:type="spellEnd"/>
      <w:r w:rsidRPr="00172C6A">
        <w:rPr>
          <w:rFonts w:cstheme="minorHAnsi"/>
          <w:sz w:val="16"/>
          <w:szCs w:val="16"/>
        </w:rPr>
        <w:t xml:space="preserve">, Jean </w:t>
      </w:r>
      <w:proofErr w:type="spellStart"/>
      <w:r w:rsidRPr="00172C6A">
        <w:rPr>
          <w:rFonts w:cstheme="minorHAnsi"/>
          <w:sz w:val="16"/>
          <w:szCs w:val="16"/>
        </w:rPr>
        <w:t>Closset</w:t>
      </w:r>
      <w:proofErr w:type="spellEnd"/>
      <w:r w:rsidRPr="00172C6A">
        <w:rPr>
          <w:rFonts w:cstheme="minorHAnsi"/>
          <w:sz w:val="16"/>
          <w:szCs w:val="16"/>
        </w:rPr>
        <w:t xml:space="preserve">, </w:t>
      </w:r>
      <w:proofErr w:type="spellStart"/>
      <w:r w:rsidRPr="00172C6A">
        <w:rPr>
          <w:rFonts w:cstheme="minorHAnsi"/>
          <w:sz w:val="16"/>
          <w:szCs w:val="16"/>
        </w:rPr>
        <w:t>Bart</w:t>
      </w:r>
      <w:proofErr w:type="spellEnd"/>
      <w:r w:rsidRPr="00172C6A">
        <w:rPr>
          <w:rFonts w:cstheme="minorHAnsi"/>
          <w:sz w:val="16"/>
          <w:szCs w:val="16"/>
        </w:rPr>
        <w:t xml:space="preserve"> </w:t>
      </w:r>
      <w:proofErr w:type="spellStart"/>
      <w:r w:rsidRPr="00172C6A">
        <w:rPr>
          <w:rFonts w:cstheme="minorHAnsi"/>
          <w:sz w:val="16"/>
          <w:szCs w:val="16"/>
        </w:rPr>
        <w:t>Devos</w:t>
      </w:r>
      <w:proofErr w:type="spellEnd"/>
      <w:r w:rsidRPr="00172C6A">
        <w:rPr>
          <w:rFonts w:cstheme="minorHAnsi"/>
          <w:sz w:val="16"/>
          <w:szCs w:val="16"/>
        </w:rPr>
        <w:t xml:space="preserve">, </w:t>
      </w:r>
      <w:proofErr w:type="spellStart"/>
      <w:r w:rsidRPr="00172C6A">
        <w:rPr>
          <w:rFonts w:cstheme="minorHAnsi"/>
          <w:sz w:val="16"/>
          <w:szCs w:val="16"/>
        </w:rPr>
        <w:t>Marc</w:t>
      </w:r>
      <w:proofErr w:type="spellEnd"/>
      <w:r w:rsidRPr="00172C6A">
        <w:rPr>
          <w:rFonts w:cstheme="minorHAnsi"/>
          <w:sz w:val="16"/>
          <w:szCs w:val="16"/>
        </w:rPr>
        <w:t xml:space="preserve"> </w:t>
      </w:r>
      <w:proofErr w:type="spellStart"/>
      <w:r w:rsidRPr="00172C6A">
        <w:rPr>
          <w:rFonts w:cstheme="minorHAnsi"/>
          <w:sz w:val="16"/>
          <w:szCs w:val="16"/>
        </w:rPr>
        <w:t>Kint</w:t>
      </w:r>
      <w:proofErr w:type="spellEnd"/>
      <w:r w:rsidRPr="00172C6A">
        <w:rPr>
          <w:rFonts w:cstheme="minorHAnsi"/>
          <w:sz w:val="16"/>
          <w:szCs w:val="16"/>
        </w:rPr>
        <w:t xml:space="preserve">, </w:t>
      </w:r>
      <w:proofErr w:type="spellStart"/>
      <w:r w:rsidRPr="00172C6A">
        <w:rPr>
          <w:rFonts w:cstheme="minorHAnsi"/>
          <w:sz w:val="16"/>
          <w:szCs w:val="16"/>
        </w:rPr>
        <w:t>Julie</w:t>
      </w:r>
      <w:proofErr w:type="spellEnd"/>
      <w:r w:rsidRPr="00172C6A">
        <w:rPr>
          <w:rFonts w:cstheme="minorHAnsi"/>
          <w:sz w:val="16"/>
          <w:szCs w:val="16"/>
        </w:rPr>
        <w:t xml:space="preserve"> </w:t>
      </w:r>
      <w:proofErr w:type="spellStart"/>
      <w:r w:rsidRPr="00172C6A">
        <w:rPr>
          <w:rFonts w:cstheme="minorHAnsi"/>
          <w:sz w:val="16"/>
          <w:szCs w:val="16"/>
        </w:rPr>
        <w:t>Navez</w:t>
      </w:r>
      <w:proofErr w:type="spellEnd"/>
      <w:r w:rsidRPr="00172C6A">
        <w:rPr>
          <w:rFonts w:cstheme="minorHAnsi"/>
          <w:sz w:val="16"/>
          <w:szCs w:val="16"/>
        </w:rPr>
        <w:t xml:space="preserve">, Francis </w:t>
      </w:r>
      <w:proofErr w:type="spellStart"/>
      <w:r w:rsidRPr="00172C6A">
        <w:rPr>
          <w:rFonts w:cstheme="minorHAnsi"/>
          <w:sz w:val="16"/>
          <w:szCs w:val="16"/>
        </w:rPr>
        <w:t>Zech</w:t>
      </w:r>
      <w:proofErr w:type="spellEnd"/>
      <w:r w:rsidRPr="00172C6A">
        <w:rPr>
          <w:rFonts w:cstheme="minorHAnsi"/>
          <w:sz w:val="16"/>
          <w:szCs w:val="16"/>
        </w:rPr>
        <w:t xml:space="preserve">, Jean-François </w:t>
      </w:r>
      <w:proofErr w:type="spellStart"/>
      <w:r w:rsidRPr="00172C6A">
        <w:rPr>
          <w:rFonts w:cstheme="minorHAnsi"/>
          <w:sz w:val="16"/>
          <w:szCs w:val="16"/>
        </w:rPr>
        <w:t>Gigot</w:t>
      </w:r>
      <w:proofErr w:type="spellEnd"/>
      <w:r w:rsidRPr="00172C6A">
        <w:rPr>
          <w:rFonts w:cstheme="minorHAnsi"/>
          <w:sz w:val="16"/>
          <w:szCs w:val="16"/>
        </w:rPr>
        <w:t xml:space="preserve">. </w:t>
      </w:r>
      <w:proofErr w:type="spellStart"/>
      <w:r w:rsidRPr="006541E3">
        <w:rPr>
          <w:rFonts w:cstheme="minorHAnsi"/>
          <w:sz w:val="16"/>
          <w:szCs w:val="16"/>
        </w:rPr>
        <w:t>Surgical</w:t>
      </w:r>
      <w:proofErr w:type="spellEnd"/>
      <w:r w:rsidRPr="006541E3">
        <w:rPr>
          <w:rFonts w:cstheme="minorHAnsi"/>
          <w:sz w:val="16"/>
          <w:szCs w:val="16"/>
        </w:rPr>
        <w:t xml:space="preserve"> management </w:t>
      </w:r>
      <w:proofErr w:type="spellStart"/>
      <w:r w:rsidRPr="006541E3">
        <w:rPr>
          <w:rFonts w:cstheme="minorHAnsi"/>
          <w:sz w:val="16"/>
          <w:szCs w:val="16"/>
        </w:rPr>
        <w:t>of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acute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cholecystitis</w:t>
      </w:r>
      <w:proofErr w:type="spellEnd"/>
      <w:r w:rsidRPr="006541E3">
        <w:rPr>
          <w:rFonts w:cstheme="minorHAnsi"/>
          <w:sz w:val="16"/>
          <w:szCs w:val="16"/>
        </w:rPr>
        <w:t xml:space="preserve">: </w:t>
      </w:r>
      <w:proofErr w:type="spellStart"/>
      <w:r w:rsidRPr="006541E3">
        <w:rPr>
          <w:rFonts w:cstheme="minorHAnsi"/>
          <w:sz w:val="16"/>
          <w:szCs w:val="16"/>
        </w:rPr>
        <w:t>results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of</w:t>
      </w:r>
      <w:proofErr w:type="spellEnd"/>
      <w:r w:rsidRPr="006541E3">
        <w:rPr>
          <w:rFonts w:cstheme="minorHAnsi"/>
          <w:sz w:val="16"/>
          <w:szCs w:val="16"/>
        </w:rPr>
        <w:t xml:space="preserve"> a 2-year </w:t>
      </w:r>
      <w:proofErr w:type="spellStart"/>
      <w:r w:rsidRPr="006541E3">
        <w:rPr>
          <w:rFonts w:cstheme="minorHAnsi"/>
          <w:sz w:val="16"/>
          <w:szCs w:val="16"/>
        </w:rPr>
        <w:t>prospective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multicenter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survey</w:t>
      </w:r>
      <w:proofErr w:type="spellEnd"/>
      <w:r w:rsidRPr="006541E3">
        <w:rPr>
          <w:rFonts w:cstheme="minorHAnsi"/>
          <w:sz w:val="16"/>
          <w:szCs w:val="16"/>
        </w:rPr>
        <w:t xml:space="preserve"> in </w:t>
      </w:r>
      <w:proofErr w:type="spellStart"/>
      <w:r w:rsidRPr="006541E3">
        <w:rPr>
          <w:rFonts w:cstheme="minorHAnsi"/>
          <w:sz w:val="16"/>
          <w:szCs w:val="16"/>
        </w:rPr>
        <w:t>Belgium</w:t>
      </w:r>
      <w:proofErr w:type="spellEnd"/>
      <w:r w:rsidRPr="006541E3">
        <w:rPr>
          <w:rFonts w:cstheme="minorHAnsi"/>
          <w:sz w:val="16"/>
          <w:szCs w:val="16"/>
        </w:rPr>
        <w:t xml:space="preserve">. </w:t>
      </w:r>
      <w:proofErr w:type="spellStart"/>
      <w:r w:rsidRPr="006541E3">
        <w:rPr>
          <w:rFonts w:cstheme="minorHAnsi"/>
          <w:sz w:val="16"/>
          <w:szCs w:val="16"/>
        </w:rPr>
        <w:t>Surgical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Endoscopy</w:t>
      </w:r>
      <w:proofErr w:type="spellEnd"/>
      <w:r w:rsidRPr="006541E3">
        <w:rPr>
          <w:rFonts w:cstheme="minorHAnsi"/>
          <w:sz w:val="16"/>
          <w:szCs w:val="16"/>
        </w:rPr>
        <w:t xml:space="preserve">. </w:t>
      </w:r>
      <w:proofErr w:type="spellStart"/>
      <w:r w:rsidRPr="006541E3">
        <w:rPr>
          <w:rFonts w:cstheme="minorHAnsi"/>
          <w:sz w:val="16"/>
          <w:szCs w:val="16"/>
        </w:rPr>
        <w:t>September</w:t>
      </w:r>
      <w:proofErr w:type="spellEnd"/>
      <w:r w:rsidRPr="006541E3">
        <w:rPr>
          <w:rFonts w:cstheme="minorHAnsi"/>
          <w:sz w:val="16"/>
          <w:szCs w:val="16"/>
        </w:rPr>
        <w:t xml:space="preserve"> 2012, Volume 26, </w:t>
      </w:r>
      <w:proofErr w:type="spellStart"/>
      <w:r w:rsidRPr="006541E3">
        <w:rPr>
          <w:rFonts w:cstheme="minorHAnsi"/>
          <w:sz w:val="16"/>
          <w:szCs w:val="16"/>
        </w:rPr>
        <w:t>Issue</w:t>
      </w:r>
      <w:proofErr w:type="spellEnd"/>
      <w:r w:rsidRPr="006541E3">
        <w:rPr>
          <w:rFonts w:cstheme="minorHAnsi"/>
          <w:sz w:val="16"/>
          <w:szCs w:val="16"/>
        </w:rPr>
        <w:t xml:space="preserve"> 9, pp 2436-2445</w:t>
      </w:r>
    </w:p>
    <w:p w:rsidR="00917545" w:rsidRPr="006541E3" w:rsidRDefault="00917545" w:rsidP="00F92289">
      <w:pPr>
        <w:spacing w:after="120" w:line="240" w:lineRule="auto"/>
        <w:ind w:left="425" w:hanging="425"/>
        <w:jc w:val="both"/>
        <w:rPr>
          <w:rFonts w:cstheme="minorHAnsi"/>
          <w:sz w:val="16"/>
          <w:szCs w:val="16"/>
        </w:rPr>
      </w:pPr>
      <w:r w:rsidRPr="006541E3">
        <w:rPr>
          <w:rFonts w:cstheme="minorHAnsi"/>
          <w:sz w:val="16"/>
          <w:szCs w:val="16"/>
        </w:rPr>
        <w:t xml:space="preserve">9 Cameron IC, </w:t>
      </w:r>
      <w:proofErr w:type="spellStart"/>
      <w:r w:rsidRPr="006541E3">
        <w:rPr>
          <w:rFonts w:cstheme="minorHAnsi"/>
          <w:sz w:val="16"/>
          <w:szCs w:val="16"/>
        </w:rPr>
        <w:t>Chadwick</w:t>
      </w:r>
      <w:proofErr w:type="spellEnd"/>
      <w:r w:rsidRPr="006541E3">
        <w:rPr>
          <w:rFonts w:cstheme="minorHAnsi"/>
          <w:sz w:val="16"/>
          <w:szCs w:val="16"/>
        </w:rPr>
        <w:t xml:space="preserve"> C, </w:t>
      </w:r>
      <w:proofErr w:type="spellStart"/>
      <w:r w:rsidRPr="006541E3">
        <w:rPr>
          <w:rFonts w:cstheme="minorHAnsi"/>
          <w:sz w:val="16"/>
          <w:szCs w:val="16"/>
        </w:rPr>
        <w:t>Phillips</w:t>
      </w:r>
      <w:proofErr w:type="spellEnd"/>
      <w:r w:rsidRPr="006541E3">
        <w:rPr>
          <w:rFonts w:cstheme="minorHAnsi"/>
          <w:sz w:val="16"/>
          <w:szCs w:val="16"/>
        </w:rPr>
        <w:t xml:space="preserve"> J, Johnson AG. Management </w:t>
      </w:r>
      <w:proofErr w:type="spellStart"/>
      <w:r w:rsidRPr="006541E3">
        <w:rPr>
          <w:rFonts w:cstheme="minorHAnsi"/>
          <w:sz w:val="16"/>
          <w:szCs w:val="16"/>
        </w:rPr>
        <w:t>of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acute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cholecystitis</w:t>
      </w:r>
      <w:proofErr w:type="spellEnd"/>
      <w:r w:rsidRPr="006541E3">
        <w:rPr>
          <w:rFonts w:cstheme="minorHAnsi"/>
          <w:sz w:val="16"/>
          <w:szCs w:val="16"/>
        </w:rPr>
        <w:t xml:space="preserve"> in UK </w:t>
      </w:r>
      <w:proofErr w:type="spellStart"/>
      <w:r w:rsidRPr="006541E3">
        <w:rPr>
          <w:rFonts w:cstheme="minorHAnsi"/>
          <w:sz w:val="16"/>
          <w:szCs w:val="16"/>
        </w:rPr>
        <w:t>hospitals</w:t>
      </w:r>
      <w:proofErr w:type="spellEnd"/>
      <w:r w:rsidRPr="006541E3">
        <w:rPr>
          <w:rFonts w:cstheme="minorHAnsi"/>
          <w:sz w:val="16"/>
          <w:szCs w:val="16"/>
        </w:rPr>
        <w:t xml:space="preserve">: time for a </w:t>
      </w:r>
      <w:proofErr w:type="spellStart"/>
      <w:r w:rsidRPr="006541E3">
        <w:rPr>
          <w:rFonts w:cstheme="minorHAnsi"/>
          <w:sz w:val="16"/>
          <w:szCs w:val="16"/>
        </w:rPr>
        <w:t>change</w:t>
      </w:r>
      <w:proofErr w:type="spellEnd"/>
      <w:r w:rsidRPr="006541E3">
        <w:rPr>
          <w:rFonts w:cstheme="minorHAnsi"/>
          <w:sz w:val="16"/>
          <w:szCs w:val="16"/>
        </w:rPr>
        <w:t xml:space="preserve">. </w:t>
      </w:r>
      <w:proofErr w:type="spellStart"/>
      <w:r w:rsidRPr="006541E3">
        <w:rPr>
          <w:rFonts w:cstheme="minorHAnsi"/>
          <w:sz w:val="16"/>
          <w:szCs w:val="16"/>
        </w:rPr>
        <w:t>Postgrad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Med</w:t>
      </w:r>
      <w:proofErr w:type="spellEnd"/>
      <w:r w:rsidRPr="006541E3">
        <w:rPr>
          <w:rFonts w:cstheme="minorHAnsi"/>
          <w:sz w:val="16"/>
          <w:szCs w:val="16"/>
        </w:rPr>
        <w:t xml:space="preserve"> J. 2004 May;80(943):292-4.</w:t>
      </w:r>
    </w:p>
    <w:p w:rsidR="00917545" w:rsidRPr="00313990" w:rsidRDefault="00917545" w:rsidP="00917545">
      <w:pPr>
        <w:spacing w:after="120" w:line="240" w:lineRule="auto"/>
        <w:ind w:left="425" w:hanging="425"/>
        <w:jc w:val="both"/>
        <w:rPr>
          <w:rFonts w:cstheme="minorHAnsi"/>
          <w:sz w:val="16"/>
          <w:szCs w:val="16"/>
        </w:rPr>
      </w:pPr>
      <w:r w:rsidRPr="006541E3">
        <w:rPr>
          <w:rFonts w:cstheme="minorHAnsi"/>
          <w:sz w:val="16"/>
          <w:szCs w:val="16"/>
        </w:rPr>
        <w:t xml:space="preserve">10 </w:t>
      </w:r>
      <w:proofErr w:type="spellStart"/>
      <w:r w:rsidRPr="006541E3">
        <w:rPr>
          <w:rFonts w:cstheme="minorHAnsi"/>
          <w:sz w:val="16"/>
          <w:szCs w:val="16"/>
        </w:rPr>
        <w:t>Csikesz</w:t>
      </w:r>
      <w:proofErr w:type="spellEnd"/>
      <w:r w:rsidRPr="006541E3">
        <w:rPr>
          <w:rFonts w:cstheme="minorHAnsi"/>
          <w:sz w:val="16"/>
          <w:szCs w:val="16"/>
        </w:rPr>
        <w:t xml:space="preserve"> N, </w:t>
      </w:r>
      <w:proofErr w:type="spellStart"/>
      <w:r w:rsidRPr="006541E3">
        <w:rPr>
          <w:rFonts w:cstheme="minorHAnsi"/>
          <w:sz w:val="16"/>
          <w:szCs w:val="16"/>
        </w:rPr>
        <w:t>Ricciardi</w:t>
      </w:r>
      <w:proofErr w:type="spellEnd"/>
      <w:r w:rsidRPr="006541E3">
        <w:rPr>
          <w:rFonts w:cstheme="minorHAnsi"/>
          <w:sz w:val="16"/>
          <w:szCs w:val="16"/>
        </w:rPr>
        <w:t xml:space="preserve"> R, </w:t>
      </w:r>
      <w:proofErr w:type="spellStart"/>
      <w:r w:rsidRPr="006541E3">
        <w:rPr>
          <w:rFonts w:cstheme="minorHAnsi"/>
          <w:sz w:val="16"/>
          <w:szCs w:val="16"/>
        </w:rPr>
        <w:t>Tseng</w:t>
      </w:r>
      <w:proofErr w:type="spellEnd"/>
      <w:r w:rsidRPr="006541E3">
        <w:rPr>
          <w:rFonts w:cstheme="minorHAnsi"/>
          <w:sz w:val="16"/>
          <w:szCs w:val="16"/>
        </w:rPr>
        <w:t xml:space="preserve"> JF, </w:t>
      </w:r>
      <w:proofErr w:type="spellStart"/>
      <w:r w:rsidRPr="006541E3">
        <w:rPr>
          <w:rFonts w:cstheme="minorHAnsi"/>
          <w:sz w:val="16"/>
          <w:szCs w:val="16"/>
        </w:rPr>
        <w:t>Shah</w:t>
      </w:r>
      <w:proofErr w:type="spellEnd"/>
      <w:r w:rsidRPr="006541E3">
        <w:rPr>
          <w:rFonts w:cstheme="minorHAnsi"/>
          <w:sz w:val="16"/>
          <w:szCs w:val="16"/>
        </w:rPr>
        <w:t xml:space="preserve"> SA. </w:t>
      </w:r>
      <w:proofErr w:type="spellStart"/>
      <w:r w:rsidRPr="006541E3">
        <w:rPr>
          <w:rFonts w:cstheme="minorHAnsi"/>
          <w:sz w:val="16"/>
          <w:szCs w:val="16"/>
        </w:rPr>
        <w:t>Current</w:t>
      </w:r>
      <w:proofErr w:type="spellEnd"/>
      <w:r w:rsidRPr="006541E3">
        <w:rPr>
          <w:rFonts w:cstheme="minorHAnsi"/>
          <w:sz w:val="16"/>
          <w:szCs w:val="16"/>
        </w:rPr>
        <w:t xml:space="preserve"> status </w:t>
      </w:r>
      <w:proofErr w:type="spellStart"/>
      <w:r w:rsidRPr="006541E3">
        <w:rPr>
          <w:rFonts w:cstheme="minorHAnsi"/>
          <w:sz w:val="16"/>
          <w:szCs w:val="16"/>
        </w:rPr>
        <w:t>of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surgical</w:t>
      </w:r>
      <w:proofErr w:type="spellEnd"/>
      <w:r w:rsidRPr="006541E3">
        <w:rPr>
          <w:rFonts w:cstheme="minorHAnsi"/>
          <w:sz w:val="16"/>
          <w:szCs w:val="16"/>
        </w:rPr>
        <w:t xml:space="preserve"> management </w:t>
      </w:r>
      <w:proofErr w:type="spellStart"/>
      <w:r w:rsidRPr="006541E3">
        <w:rPr>
          <w:rFonts w:cstheme="minorHAnsi"/>
          <w:sz w:val="16"/>
          <w:szCs w:val="16"/>
        </w:rPr>
        <w:t>of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acute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cholecystitis</w:t>
      </w:r>
      <w:proofErr w:type="spellEnd"/>
      <w:r w:rsidRPr="006541E3">
        <w:rPr>
          <w:rFonts w:cstheme="minorHAnsi"/>
          <w:sz w:val="16"/>
          <w:szCs w:val="16"/>
        </w:rPr>
        <w:t xml:space="preserve"> in </w:t>
      </w:r>
      <w:proofErr w:type="spellStart"/>
      <w:r w:rsidRPr="006541E3">
        <w:rPr>
          <w:rFonts w:cstheme="minorHAnsi"/>
          <w:sz w:val="16"/>
          <w:szCs w:val="16"/>
        </w:rPr>
        <w:t>the</w:t>
      </w:r>
      <w:proofErr w:type="spellEnd"/>
      <w:r w:rsidRPr="006541E3">
        <w:rPr>
          <w:rFonts w:cstheme="minorHAnsi"/>
          <w:sz w:val="16"/>
          <w:szCs w:val="16"/>
        </w:rPr>
        <w:t xml:space="preserve"> United </w:t>
      </w:r>
      <w:proofErr w:type="spellStart"/>
      <w:r w:rsidRPr="006541E3">
        <w:rPr>
          <w:rFonts w:cstheme="minorHAnsi"/>
          <w:sz w:val="16"/>
          <w:szCs w:val="16"/>
        </w:rPr>
        <w:t>States</w:t>
      </w:r>
      <w:proofErr w:type="spellEnd"/>
      <w:r w:rsidRPr="006541E3">
        <w:rPr>
          <w:rFonts w:cstheme="minorHAnsi"/>
          <w:sz w:val="16"/>
          <w:szCs w:val="16"/>
        </w:rPr>
        <w:t xml:space="preserve">. </w:t>
      </w:r>
      <w:proofErr w:type="spellStart"/>
      <w:r w:rsidRPr="00172C6A">
        <w:rPr>
          <w:rFonts w:cstheme="minorHAnsi"/>
          <w:sz w:val="16"/>
          <w:szCs w:val="16"/>
        </w:rPr>
        <w:t>World</w:t>
      </w:r>
      <w:proofErr w:type="spellEnd"/>
      <w:r w:rsidR="00313990">
        <w:rPr>
          <w:rFonts w:cstheme="minorHAnsi"/>
          <w:sz w:val="16"/>
          <w:szCs w:val="16"/>
        </w:rPr>
        <w:t xml:space="preserve"> J </w:t>
      </w:r>
      <w:proofErr w:type="spellStart"/>
      <w:r w:rsidR="00313990">
        <w:rPr>
          <w:rFonts w:cstheme="minorHAnsi"/>
          <w:sz w:val="16"/>
          <w:szCs w:val="16"/>
        </w:rPr>
        <w:t>Surg</w:t>
      </w:r>
      <w:proofErr w:type="spellEnd"/>
      <w:r w:rsidR="00313990">
        <w:rPr>
          <w:rFonts w:cstheme="minorHAnsi"/>
          <w:sz w:val="16"/>
          <w:szCs w:val="16"/>
        </w:rPr>
        <w:t>. 2008 Oct;32(10):2230-6</w:t>
      </w:r>
      <w:r w:rsidRPr="00172C6A">
        <w:rPr>
          <w:rFonts w:cstheme="minorHAnsi"/>
          <w:sz w:val="16"/>
          <w:szCs w:val="16"/>
        </w:rPr>
        <w:t>.</w:t>
      </w:r>
    </w:p>
    <w:p w:rsidR="00917545" w:rsidRPr="006541E3" w:rsidRDefault="00917545" w:rsidP="00917545">
      <w:pPr>
        <w:spacing w:after="120" w:line="240" w:lineRule="auto"/>
        <w:ind w:left="425" w:hanging="425"/>
        <w:jc w:val="both"/>
        <w:rPr>
          <w:rFonts w:cstheme="minorHAnsi"/>
          <w:sz w:val="16"/>
          <w:szCs w:val="16"/>
        </w:rPr>
      </w:pPr>
      <w:r w:rsidRPr="00172C6A">
        <w:rPr>
          <w:rFonts w:cstheme="minorHAnsi"/>
          <w:sz w:val="16"/>
          <w:szCs w:val="16"/>
        </w:rPr>
        <w:t xml:space="preserve">11 Luca </w:t>
      </w:r>
      <w:proofErr w:type="spellStart"/>
      <w:r w:rsidRPr="00172C6A">
        <w:rPr>
          <w:rFonts w:cstheme="minorHAnsi"/>
          <w:sz w:val="16"/>
          <w:szCs w:val="16"/>
        </w:rPr>
        <w:t>Degrate</w:t>
      </w:r>
      <w:proofErr w:type="spellEnd"/>
      <w:r w:rsidRPr="00172C6A">
        <w:rPr>
          <w:rFonts w:cstheme="minorHAnsi"/>
          <w:sz w:val="16"/>
          <w:szCs w:val="16"/>
        </w:rPr>
        <w:t xml:space="preserve">, </w:t>
      </w:r>
      <w:proofErr w:type="spellStart"/>
      <w:r w:rsidRPr="00172C6A">
        <w:rPr>
          <w:rFonts w:cstheme="minorHAnsi"/>
          <w:sz w:val="16"/>
          <w:szCs w:val="16"/>
        </w:rPr>
        <w:t>Arianna</w:t>
      </w:r>
      <w:proofErr w:type="spellEnd"/>
      <w:r w:rsidRPr="00172C6A">
        <w:rPr>
          <w:rFonts w:cstheme="minorHAnsi"/>
          <w:sz w:val="16"/>
          <w:szCs w:val="16"/>
        </w:rPr>
        <w:t xml:space="preserve"> Libera </w:t>
      </w:r>
      <w:proofErr w:type="spellStart"/>
      <w:r w:rsidRPr="00172C6A">
        <w:rPr>
          <w:rFonts w:cstheme="minorHAnsi"/>
          <w:sz w:val="16"/>
          <w:szCs w:val="16"/>
        </w:rPr>
        <w:t>Ciravegna</w:t>
      </w:r>
      <w:proofErr w:type="spellEnd"/>
      <w:r w:rsidRPr="00172C6A">
        <w:rPr>
          <w:rFonts w:cstheme="minorHAnsi"/>
          <w:sz w:val="16"/>
          <w:szCs w:val="16"/>
        </w:rPr>
        <w:t xml:space="preserve">, </w:t>
      </w:r>
      <w:proofErr w:type="spellStart"/>
      <w:r w:rsidRPr="00172C6A">
        <w:rPr>
          <w:rFonts w:cstheme="minorHAnsi"/>
          <w:sz w:val="16"/>
          <w:szCs w:val="16"/>
        </w:rPr>
        <w:t>Margherita</w:t>
      </w:r>
      <w:proofErr w:type="spellEnd"/>
      <w:r w:rsidRPr="00172C6A">
        <w:rPr>
          <w:rFonts w:cstheme="minorHAnsi"/>
          <w:sz w:val="16"/>
          <w:szCs w:val="16"/>
        </w:rPr>
        <w:t xml:space="preserve"> </w:t>
      </w:r>
      <w:proofErr w:type="spellStart"/>
      <w:r w:rsidRPr="00172C6A">
        <w:rPr>
          <w:rFonts w:cstheme="minorHAnsi"/>
          <w:sz w:val="16"/>
          <w:szCs w:val="16"/>
        </w:rPr>
        <w:t>Luperto</w:t>
      </w:r>
      <w:proofErr w:type="spellEnd"/>
      <w:r w:rsidRPr="00172C6A">
        <w:rPr>
          <w:rFonts w:cstheme="minorHAnsi"/>
          <w:sz w:val="16"/>
          <w:szCs w:val="16"/>
        </w:rPr>
        <w:t xml:space="preserve">, Marcello </w:t>
      </w:r>
      <w:proofErr w:type="spellStart"/>
      <w:r w:rsidRPr="00172C6A">
        <w:rPr>
          <w:rFonts w:cstheme="minorHAnsi"/>
          <w:sz w:val="16"/>
          <w:szCs w:val="16"/>
        </w:rPr>
        <w:t>Guaglio</w:t>
      </w:r>
      <w:proofErr w:type="spellEnd"/>
      <w:r w:rsidRPr="00172C6A">
        <w:rPr>
          <w:rFonts w:cstheme="minorHAnsi"/>
          <w:sz w:val="16"/>
          <w:szCs w:val="16"/>
        </w:rPr>
        <w:t xml:space="preserve">, </w:t>
      </w:r>
      <w:proofErr w:type="spellStart"/>
      <w:r w:rsidRPr="00172C6A">
        <w:rPr>
          <w:rFonts w:cstheme="minorHAnsi"/>
          <w:sz w:val="16"/>
          <w:szCs w:val="16"/>
        </w:rPr>
        <w:t>Mattia</w:t>
      </w:r>
      <w:proofErr w:type="spellEnd"/>
      <w:r w:rsidRPr="00172C6A">
        <w:rPr>
          <w:rFonts w:cstheme="minorHAnsi"/>
          <w:sz w:val="16"/>
          <w:szCs w:val="16"/>
        </w:rPr>
        <w:t xml:space="preserve"> </w:t>
      </w:r>
      <w:proofErr w:type="spellStart"/>
      <w:r w:rsidRPr="00172C6A">
        <w:rPr>
          <w:rFonts w:cstheme="minorHAnsi"/>
          <w:sz w:val="16"/>
          <w:szCs w:val="16"/>
        </w:rPr>
        <w:t>Garancini</w:t>
      </w:r>
      <w:proofErr w:type="spellEnd"/>
      <w:r w:rsidRPr="00172C6A">
        <w:rPr>
          <w:rFonts w:cstheme="minorHAnsi"/>
          <w:sz w:val="16"/>
          <w:szCs w:val="16"/>
        </w:rPr>
        <w:t xml:space="preserve">, </w:t>
      </w:r>
      <w:proofErr w:type="spellStart"/>
      <w:r w:rsidRPr="00172C6A">
        <w:rPr>
          <w:rFonts w:cstheme="minorHAnsi"/>
          <w:sz w:val="16"/>
          <w:szCs w:val="16"/>
        </w:rPr>
        <w:t>Matteo</w:t>
      </w:r>
      <w:proofErr w:type="spellEnd"/>
      <w:r w:rsidRPr="00172C6A">
        <w:rPr>
          <w:rFonts w:cstheme="minorHAnsi"/>
          <w:sz w:val="16"/>
          <w:szCs w:val="16"/>
        </w:rPr>
        <w:t xml:space="preserve"> </w:t>
      </w:r>
      <w:proofErr w:type="spellStart"/>
      <w:r w:rsidRPr="00172C6A">
        <w:rPr>
          <w:rFonts w:cstheme="minorHAnsi"/>
          <w:sz w:val="16"/>
          <w:szCs w:val="16"/>
        </w:rPr>
        <w:t>Maternini</w:t>
      </w:r>
      <w:proofErr w:type="spellEnd"/>
      <w:r w:rsidRPr="00172C6A">
        <w:rPr>
          <w:rFonts w:cstheme="minorHAnsi"/>
          <w:sz w:val="16"/>
          <w:szCs w:val="16"/>
        </w:rPr>
        <w:t xml:space="preserve">, Laura Giordano, </w:t>
      </w:r>
      <w:proofErr w:type="spellStart"/>
      <w:r w:rsidRPr="00172C6A">
        <w:rPr>
          <w:rFonts w:cstheme="minorHAnsi"/>
          <w:sz w:val="16"/>
          <w:szCs w:val="16"/>
        </w:rPr>
        <w:t>Fabrizio</w:t>
      </w:r>
      <w:proofErr w:type="spellEnd"/>
      <w:r w:rsidRPr="00172C6A">
        <w:rPr>
          <w:rFonts w:cstheme="minorHAnsi"/>
          <w:sz w:val="16"/>
          <w:szCs w:val="16"/>
        </w:rPr>
        <w:t xml:space="preserve"> Romano, Luca </w:t>
      </w:r>
      <w:proofErr w:type="spellStart"/>
      <w:r w:rsidRPr="00172C6A">
        <w:rPr>
          <w:rFonts w:cstheme="minorHAnsi"/>
          <w:sz w:val="16"/>
          <w:szCs w:val="16"/>
        </w:rPr>
        <w:t>Gianotti</w:t>
      </w:r>
      <w:proofErr w:type="spellEnd"/>
      <w:r w:rsidRPr="00172C6A">
        <w:rPr>
          <w:rFonts w:cstheme="minorHAnsi"/>
          <w:sz w:val="16"/>
          <w:szCs w:val="16"/>
        </w:rPr>
        <w:t xml:space="preserve">, Franco </w:t>
      </w:r>
      <w:proofErr w:type="spellStart"/>
      <w:r w:rsidRPr="00172C6A">
        <w:rPr>
          <w:rFonts w:cstheme="minorHAnsi"/>
          <w:sz w:val="16"/>
          <w:szCs w:val="16"/>
        </w:rPr>
        <w:t>Uggeri</w:t>
      </w:r>
      <w:proofErr w:type="spellEnd"/>
      <w:r w:rsidRPr="00172C6A">
        <w:rPr>
          <w:rFonts w:cstheme="minorHAnsi"/>
          <w:sz w:val="16"/>
          <w:szCs w:val="16"/>
        </w:rPr>
        <w:t xml:space="preserve">. </w:t>
      </w:r>
      <w:proofErr w:type="spellStart"/>
      <w:r w:rsidRPr="006541E3">
        <w:rPr>
          <w:rFonts w:cstheme="minorHAnsi"/>
          <w:sz w:val="16"/>
          <w:szCs w:val="16"/>
        </w:rPr>
        <w:t>Acute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cholecystitis</w:t>
      </w:r>
      <w:proofErr w:type="spellEnd"/>
      <w:r w:rsidRPr="006541E3">
        <w:rPr>
          <w:rFonts w:cstheme="minorHAnsi"/>
          <w:sz w:val="16"/>
          <w:szCs w:val="16"/>
        </w:rPr>
        <w:t xml:space="preserve">: </w:t>
      </w:r>
      <w:proofErr w:type="spellStart"/>
      <w:r w:rsidRPr="006541E3">
        <w:rPr>
          <w:rFonts w:cstheme="minorHAnsi"/>
          <w:sz w:val="16"/>
          <w:szCs w:val="16"/>
        </w:rPr>
        <w:t>the</w:t>
      </w:r>
      <w:proofErr w:type="spellEnd"/>
      <w:r w:rsidRPr="006541E3">
        <w:rPr>
          <w:rFonts w:cstheme="minorHAnsi"/>
          <w:sz w:val="16"/>
          <w:szCs w:val="16"/>
        </w:rPr>
        <w:t xml:space="preserve"> golden 72-h </w:t>
      </w:r>
      <w:proofErr w:type="spellStart"/>
      <w:r w:rsidRPr="006541E3">
        <w:rPr>
          <w:rFonts w:cstheme="minorHAnsi"/>
          <w:sz w:val="16"/>
          <w:szCs w:val="16"/>
        </w:rPr>
        <w:t>period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is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not</w:t>
      </w:r>
      <w:proofErr w:type="spellEnd"/>
      <w:r w:rsidRPr="006541E3">
        <w:rPr>
          <w:rFonts w:cstheme="minorHAnsi"/>
          <w:sz w:val="16"/>
          <w:szCs w:val="16"/>
        </w:rPr>
        <w:t xml:space="preserve"> a </w:t>
      </w:r>
      <w:proofErr w:type="spellStart"/>
      <w:r w:rsidRPr="006541E3">
        <w:rPr>
          <w:rFonts w:cstheme="minorHAnsi"/>
          <w:sz w:val="16"/>
          <w:szCs w:val="16"/>
        </w:rPr>
        <w:t>strict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limit</w:t>
      </w:r>
      <w:proofErr w:type="spellEnd"/>
      <w:r w:rsidRPr="006541E3">
        <w:rPr>
          <w:rFonts w:cstheme="minorHAnsi"/>
          <w:sz w:val="16"/>
          <w:szCs w:val="16"/>
        </w:rPr>
        <w:t xml:space="preserve"> to </w:t>
      </w:r>
      <w:proofErr w:type="spellStart"/>
      <w:r w:rsidRPr="006541E3">
        <w:rPr>
          <w:rFonts w:cstheme="minorHAnsi"/>
          <w:sz w:val="16"/>
          <w:szCs w:val="16"/>
        </w:rPr>
        <w:t>perform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early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cholecystectomy</w:t>
      </w:r>
      <w:proofErr w:type="spellEnd"/>
      <w:r w:rsidRPr="006541E3">
        <w:rPr>
          <w:rFonts w:cstheme="minorHAnsi"/>
          <w:sz w:val="16"/>
          <w:szCs w:val="16"/>
        </w:rPr>
        <w:t xml:space="preserve">. </w:t>
      </w:r>
      <w:proofErr w:type="spellStart"/>
      <w:r w:rsidRPr="006541E3">
        <w:rPr>
          <w:rFonts w:cstheme="minorHAnsi"/>
          <w:sz w:val="16"/>
          <w:szCs w:val="16"/>
        </w:rPr>
        <w:t>Results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from</w:t>
      </w:r>
      <w:proofErr w:type="spellEnd"/>
      <w:r w:rsidRPr="006541E3">
        <w:rPr>
          <w:rFonts w:cstheme="minorHAnsi"/>
          <w:sz w:val="16"/>
          <w:szCs w:val="16"/>
        </w:rPr>
        <w:t xml:space="preserve"> 316 </w:t>
      </w:r>
      <w:proofErr w:type="spellStart"/>
      <w:r w:rsidRPr="006541E3">
        <w:rPr>
          <w:rFonts w:cstheme="minorHAnsi"/>
          <w:sz w:val="16"/>
          <w:szCs w:val="16"/>
        </w:rPr>
        <w:t>consecutive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patients</w:t>
      </w:r>
      <w:proofErr w:type="spellEnd"/>
      <w:r w:rsidRPr="006541E3">
        <w:rPr>
          <w:rFonts w:cstheme="minorHAnsi"/>
          <w:sz w:val="16"/>
          <w:szCs w:val="16"/>
        </w:rPr>
        <w:t xml:space="preserve">. </w:t>
      </w:r>
      <w:proofErr w:type="spellStart"/>
      <w:r w:rsidRPr="006541E3">
        <w:rPr>
          <w:rFonts w:cstheme="minorHAnsi"/>
          <w:sz w:val="16"/>
          <w:szCs w:val="16"/>
        </w:rPr>
        <w:t>Langenbeck's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Archives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of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Surgery</w:t>
      </w:r>
      <w:proofErr w:type="spellEnd"/>
      <w:r w:rsidRPr="006541E3">
        <w:rPr>
          <w:rFonts w:cstheme="minorHAnsi"/>
          <w:sz w:val="16"/>
          <w:szCs w:val="16"/>
        </w:rPr>
        <w:t xml:space="preserve">. </w:t>
      </w:r>
      <w:proofErr w:type="spellStart"/>
      <w:r w:rsidRPr="006541E3">
        <w:rPr>
          <w:rFonts w:cstheme="minorHAnsi"/>
          <w:sz w:val="16"/>
          <w:szCs w:val="16"/>
        </w:rPr>
        <w:t>December</w:t>
      </w:r>
      <w:proofErr w:type="spellEnd"/>
      <w:r w:rsidRPr="006541E3">
        <w:rPr>
          <w:rFonts w:cstheme="minorHAnsi"/>
          <w:sz w:val="16"/>
          <w:szCs w:val="16"/>
        </w:rPr>
        <w:t xml:space="preserve"> 2013, Volume 398, </w:t>
      </w:r>
      <w:proofErr w:type="spellStart"/>
      <w:r w:rsidRPr="006541E3">
        <w:rPr>
          <w:rFonts w:cstheme="minorHAnsi"/>
          <w:sz w:val="16"/>
          <w:szCs w:val="16"/>
        </w:rPr>
        <w:t>Issue</w:t>
      </w:r>
      <w:proofErr w:type="spellEnd"/>
      <w:r w:rsidRPr="006541E3">
        <w:rPr>
          <w:rFonts w:cstheme="minorHAnsi"/>
          <w:sz w:val="16"/>
          <w:szCs w:val="16"/>
        </w:rPr>
        <w:t xml:space="preserve"> 8, pp 1129-1136</w:t>
      </w:r>
    </w:p>
    <w:p w:rsidR="00917545" w:rsidRPr="006541E3" w:rsidRDefault="00917545" w:rsidP="00917545">
      <w:pPr>
        <w:spacing w:after="120" w:line="240" w:lineRule="auto"/>
        <w:ind w:left="425" w:hanging="425"/>
        <w:jc w:val="both"/>
        <w:rPr>
          <w:rFonts w:cstheme="minorHAnsi"/>
          <w:sz w:val="16"/>
          <w:szCs w:val="16"/>
        </w:rPr>
      </w:pPr>
      <w:r w:rsidRPr="00172C6A">
        <w:rPr>
          <w:rFonts w:cstheme="minorHAnsi"/>
          <w:sz w:val="16"/>
          <w:szCs w:val="16"/>
        </w:rPr>
        <w:t>1</w:t>
      </w:r>
      <w:r w:rsidRPr="006541E3">
        <w:rPr>
          <w:rFonts w:cstheme="minorHAnsi"/>
          <w:sz w:val="16"/>
          <w:szCs w:val="16"/>
        </w:rPr>
        <w:t xml:space="preserve">2 Giuseppe </w:t>
      </w:r>
      <w:proofErr w:type="spellStart"/>
      <w:r w:rsidRPr="006541E3">
        <w:rPr>
          <w:rFonts w:cstheme="minorHAnsi"/>
          <w:sz w:val="16"/>
          <w:szCs w:val="16"/>
        </w:rPr>
        <w:t>Borzellino</w:t>
      </w:r>
      <w:proofErr w:type="spellEnd"/>
      <w:r w:rsidRPr="006541E3">
        <w:rPr>
          <w:rFonts w:cstheme="minorHAnsi"/>
          <w:sz w:val="16"/>
          <w:szCs w:val="16"/>
        </w:rPr>
        <w:t xml:space="preserve">, Stefan </w:t>
      </w:r>
      <w:proofErr w:type="spellStart"/>
      <w:r w:rsidRPr="006541E3">
        <w:rPr>
          <w:rFonts w:cstheme="minorHAnsi"/>
          <w:sz w:val="16"/>
          <w:szCs w:val="16"/>
        </w:rPr>
        <w:t>Sauerland</w:t>
      </w:r>
      <w:proofErr w:type="spellEnd"/>
      <w:r w:rsidRPr="006541E3">
        <w:rPr>
          <w:rFonts w:cstheme="minorHAnsi"/>
          <w:sz w:val="16"/>
          <w:szCs w:val="16"/>
        </w:rPr>
        <w:t xml:space="preserve">, </w:t>
      </w:r>
      <w:proofErr w:type="spellStart"/>
      <w:r w:rsidRPr="006541E3">
        <w:rPr>
          <w:rFonts w:cstheme="minorHAnsi"/>
          <w:sz w:val="16"/>
          <w:szCs w:val="16"/>
        </w:rPr>
        <w:t>Anna</w:t>
      </w:r>
      <w:proofErr w:type="spellEnd"/>
      <w:r w:rsidRPr="006541E3">
        <w:rPr>
          <w:rFonts w:cstheme="minorHAnsi"/>
          <w:sz w:val="16"/>
          <w:szCs w:val="16"/>
        </w:rPr>
        <w:t xml:space="preserve"> Maria </w:t>
      </w:r>
      <w:proofErr w:type="spellStart"/>
      <w:r w:rsidRPr="006541E3">
        <w:rPr>
          <w:rFonts w:cstheme="minorHAnsi"/>
          <w:sz w:val="16"/>
          <w:szCs w:val="16"/>
        </w:rPr>
        <w:t>Minicozzi</w:t>
      </w:r>
      <w:proofErr w:type="spellEnd"/>
      <w:r w:rsidRPr="006541E3">
        <w:rPr>
          <w:rFonts w:cstheme="minorHAnsi"/>
          <w:sz w:val="16"/>
          <w:szCs w:val="16"/>
        </w:rPr>
        <w:t xml:space="preserve">, Giuseppe </w:t>
      </w:r>
      <w:proofErr w:type="spellStart"/>
      <w:r w:rsidRPr="006541E3">
        <w:rPr>
          <w:rFonts w:cstheme="minorHAnsi"/>
          <w:sz w:val="16"/>
          <w:szCs w:val="16"/>
        </w:rPr>
        <w:t>Verlato</w:t>
      </w:r>
      <w:proofErr w:type="spellEnd"/>
      <w:r w:rsidRPr="006541E3">
        <w:rPr>
          <w:rFonts w:cstheme="minorHAnsi"/>
          <w:sz w:val="16"/>
          <w:szCs w:val="16"/>
        </w:rPr>
        <w:t xml:space="preserve">, Carlo </w:t>
      </w:r>
      <w:proofErr w:type="spellStart"/>
      <w:r w:rsidRPr="006541E3">
        <w:rPr>
          <w:rFonts w:cstheme="minorHAnsi"/>
          <w:sz w:val="16"/>
          <w:szCs w:val="16"/>
        </w:rPr>
        <w:t>Di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Pietrantonj</w:t>
      </w:r>
      <w:proofErr w:type="spellEnd"/>
      <w:r w:rsidRPr="006541E3">
        <w:rPr>
          <w:rFonts w:cstheme="minorHAnsi"/>
          <w:sz w:val="16"/>
          <w:szCs w:val="16"/>
        </w:rPr>
        <w:t xml:space="preserve">, Giovanni de Manzoni, </w:t>
      </w:r>
      <w:proofErr w:type="spellStart"/>
      <w:r w:rsidRPr="006541E3">
        <w:rPr>
          <w:rFonts w:cstheme="minorHAnsi"/>
          <w:sz w:val="16"/>
          <w:szCs w:val="16"/>
        </w:rPr>
        <w:t>Claudio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Cordiano</w:t>
      </w:r>
      <w:proofErr w:type="spellEnd"/>
      <w:r w:rsidRPr="006541E3">
        <w:rPr>
          <w:rFonts w:cstheme="minorHAnsi"/>
          <w:sz w:val="16"/>
          <w:szCs w:val="16"/>
        </w:rPr>
        <w:t xml:space="preserve">. </w:t>
      </w:r>
      <w:proofErr w:type="spellStart"/>
      <w:r w:rsidRPr="006541E3">
        <w:rPr>
          <w:rFonts w:cstheme="minorHAnsi"/>
          <w:sz w:val="16"/>
          <w:szCs w:val="16"/>
        </w:rPr>
        <w:t>Laparoscopic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cholecystectomy</w:t>
      </w:r>
      <w:proofErr w:type="spellEnd"/>
      <w:r w:rsidRPr="006541E3">
        <w:rPr>
          <w:rFonts w:cstheme="minorHAnsi"/>
          <w:sz w:val="16"/>
          <w:szCs w:val="16"/>
        </w:rPr>
        <w:t xml:space="preserve"> for </w:t>
      </w:r>
      <w:proofErr w:type="spellStart"/>
      <w:r w:rsidRPr="006541E3">
        <w:rPr>
          <w:rFonts w:cstheme="minorHAnsi"/>
          <w:sz w:val="16"/>
          <w:szCs w:val="16"/>
        </w:rPr>
        <w:t>severe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acute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cholecystitis</w:t>
      </w:r>
      <w:proofErr w:type="spellEnd"/>
      <w:r w:rsidRPr="006541E3">
        <w:rPr>
          <w:rFonts w:cstheme="minorHAnsi"/>
          <w:sz w:val="16"/>
          <w:szCs w:val="16"/>
        </w:rPr>
        <w:t>. A meta-</w:t>
      </w:r>
      <w:proofErr w:type="spellStart"/>
      <w:r w:rsidRPr="006541E3">
        <w:rPr>
          <w:rFonts w:cstheme="minorHAnsi"/>
          <w:sz w:val="16"/>
          <w:szCs w:val="16"/>
        </w:rPr>
        <w:t>analysis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of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results</w:t>
      </w:r>
      <w:proofErr w:type="spellEnd"/>
      <w:r w:rsidRPr="006541E3">
        <w:rPr>
          <w:rFonts w:cstheme="minorHAnsi"/>
          <w:sz w:val="16"/>
          <w:szCs w:val="16"/>
        </w:rPr>
        <w:t xml:space="preserve">. </w:t>
      </w:r>
      <w:proofErr w:type="spellStart"/>
      <w:r w:rsidRPr="006541E3">
        <w:rPr>
          <w:rFonts w:cstheme="minorHAnsi"/>
          <w:sz w:val="16"/>
          <w:szCs w:val="16"/>
        </w:rPr>
        <w:t>Surgical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Endoscopy</w:t>
      </w:r>
      <w:proofErr w:type="spellEnd"/>
      <w:r w:rsidRPr="006541E3">
        <w:rPr>
          <w:rFonts w:cstheme="minorHAnsi"/>
          <w:sz w:val="16"/>
          <w:szCs w:val="16"/>
        </w:rPr>
        <w:t xml:space="preserve">. </w:t>
      </w:r>
      <w:proofErr w:type="spellStart"/>
      <w:r w:rsidRPr="006541E3">
        <w:rPr>
          <w:rFonts w:cstheme="minorHAnsi"/>
          <w:sz w:val="16"/>
          <w:szCs w:val="16"/>
        </w:rPr>
        <w:t>January</w:t>
      </w:r>
      <w:proofErr w:type="spellEnd"/>
      <w:r w:rsidRPr="006541E3">
        <w:rPr>
          <w:rFonts w:cstheme="minorHAnsi"/>
          <w:sz w:val="16"/>
          <w:szCs w:val="16"/>
        </w:rPr>
        <w:t xml:space="preserve"> 2008, Volume 22, </w:t>
      </w:r>
      <w:proofErr w:type="spellStart"/>
      <w:r w:rsidRPr="006541E3">
        <w:rPr>
          <w:rFonts w:cstheme="minorHAnsi"/>
          <w:sz w:val="16"/>
          <w:szCs w:val="16"/>
        </w:rPr>
        <w:t>Issue</w:t>
      </w:r>
      <w:proofErr w:type="spellEnd"/>
      <w:r w:rsidRPr="006541E3">
        <w:rPr>
          <w:rFonts w:cstheme="minorHAnsi"/>
          <w:sz w:val="16"/>
          <w:szCs w:val="16"/>
        </w:rPr>
        <w:t xml:space="preserve"> 1, pp 8-15.</w:t>
      </w:r>
    </w:p>
    <w:p w:rsidR="00917545" w:rsidRPr="006541E3" w:rsidRDefault="00917545" w:rsidP="00917545">
      <w:pPr>
        <w:spacing w:after="120" w:line="240" w:lineRule="auto"/>
        <w:ind w:left="425" w:hanging="425"/>
        <w:jc w:val="both"/>
        <w:rPr>
          <w:rFonts w:cstheme="minorHAnsi"/>
          <w:sz w:val="16"/>
          <w:szCs w:val="16"/>
        </w:rPr>
      </w:pPr>
      <w:r w:rsidRPr="006541E3">
        <w:rPr>
          <w:rFonts w:cstheme="minorHAnsi"/>
          <w:sz w:val="16"/>
          <w:szCs w:val="16"/>
        </w:rPr>
        <w:t xml:space="preserve">13 </w:t>
      </w:r>
      <w:proofErr w:type="spellStart"/>
      <w:r w:rsidRPr="006541E3">
        <w:rPr>
          <w:rFonts w:cstheme="minorHAnsi"/>
          <w:sz w:val="16"/>
          <w:szCs w:val="16"/>
        </w:rPr>
        <w:t>Nuzzo</w:t>
      </w:r>
      <w:proofErr w:type="spellEnd"/>
      <w:r w:rsidRPr="006541E3">
        <w:rPr>
          <w:rFonts w:cstheme="minorHAnsi"/>
          <w:sz w:val="16"/>
          <w:szCs w:val="16"/>
        </w:rPr>
        <w:t xml:space="preserve"> G, </w:t>
      </w:r>
      <w:proofErr w:type="spellStart"/>
      <w:r w:rsidRPr="006541E3">
        <w:rPr>
          <w:rFonts w:cstheme="minorHAnsi"/>
          <w:sz w:val="16"/>
          <w:szCs w:val="16"/>
        </w:rPr>
        <w:t>Giuliante</w:t>
      </w:r>
      <w:proofErr w:type="spellEnd"/>
      <w:r w:rsidRPr="006541E3">
        <w:rPr>
          <w:rFonts w:cstheme="minorHAnsi"/>
          <w:sz w:val="16"/>
          <w:szCs w:val="16"/>
        </w:rPr>
        <w:t xml:space="preserve"> F, </w:t>
      </w:r>
      <w:proofErr w:type="spellStart"/>
      <w:r w:rsidRPr="006541E3">
        <w:rPr>
          <w:rFonts w:cstheme="minorHAnsi"/>
          <w:sz w:val="16"/>
          <w:szCs w:val="16"/>
        </w:rPr>
        <w:t>Giovannini</w:t>
      </w:r>
      <w:proofErr w:type="spellEnd"/>
      <w:r w:rsidRPr="006541E3">
        <w:rPr>
          <w:rFonts w:cstheme="minorHAnsi"/>
          <w:sz w:val="16"/>
          <w:szCs w:val="16"/>
        </w:rPr>
        <w:t xml:space="preserve"> I, </w:t>
      </w:r>
      <w:proofErr w:type="spellStart"/>
      <w:r w:rsidRPr="006541E3">
        <w:rPr>
          <w:rFonts w:cstheme="minorHAnsi"/>
          <w:sz w:val="16"/>
          <w:szCs w:val="16"/>
        </w:rPr>
        <w:t>Ardito</w:t>
      </w:r>
      <w:proofErr w:type="spellEnd"/>
      <w:r w:rsidRPr="006541E3">
        <w:rPr>
          <w:rFonts w:cstheme="minorHAnsi"/>
          <w:sz w:val="16"/>
          <w:szCs w:val="16"/>
        </w:rPr>
        <w:t xml:space="preserve"> F, D'</w:t>
      </w:r>
      <w:proofErr w:type="spellStart"/>
      <w:r w:rsidRPr="006541E3">
        <w:rPr>
          <w:rFonts w:cstheme="minorHAnsi"/>
          <w:sz w:val="16"/>
          <w:szCs w:val="16"/>
        </w:rPr>
        <w:t>Acapito</w:t>
      </w:r>
      <w:proofErr w:type="spellEnd"/>
      <w:r w:rsidRPr="006541E3">
        <w:rPr>
          <w:rFonts w:cstheme="minorHAnsi"/>
          <w:sz w:val="16"/>
          <w:szCs w:val="16"/>
        </w:rPr>
        <w:t xml:space="preserve"> F, </w:t>
      </w:r>
      <w:proofErr w:type="spellStart"/>
      <w:r w:rsidRPr="006541E3">
        <w:rPr>
          <w:rFonts w:cstheme="minorHAnsi"/>
          <w:sz w:val="16"/>
          <w:szCs w:val="16"/>
        </w:rPr>
        <w:t>Vellone</w:t>
      </w:r>
      <w:proofErr w:type="spellEnd"/>
      <w:r w:rsidRPr="006541E3">
        <w:rPr>
          <w:rFonts w:cstheme="minorHAnsi"/>
          <w:sz w:val="16"/>
          <w:szCs w:val="16"/>
        </w:rPr>
        <w:t xml:space="preserve"> M, </w:t>
      </w:r>
      <w:proofErr w:type="spellStart"/>
      <w:r w:rsidRPr="006541E3">
        <w:rPr>
          <w:rFonts w:cstheme="minorHAnsi"/>
          <w:sz w:val="16"/>
          <w:szCs w:val="16"/>
        </w:rPr>
        <w:t>Murazio</w:t>
      </w:r>
      <w:proofErr w:type="spellEnd"/>
      <w:r w:rsidRPr="006541E3">
        <w:rPr>
          <w:rFonts w:cstheme="minorHAnsi"/>
          <w:sz w:val="16"/>
          <w:szCs w:val="16"/>
        </w:rPr>
        <w:t xml:space="preserve"> M, </w:t>
      </w:r>
      <w:proofErr w:type="spellStart"/>
      <w:r w:rsidRPr="006541E3">
        <w:rPr>
          <w:rFonts w:cstheme="minorHAnsi"/>
          <w:sz w:val="16"/>
          <w:szCs w:val="16"/>
        </w:rPr>
        <w:t>Capelli</w:t>
      </w:r>
      <w:proofErr w:type="spellEnd"/>
      <w:r w:rsidRPr="006541E3">
        <w:rPr>
          <w:rFonts w:cstheme="minorHAnsi"/>
          <w:sz w:val="16"/>
          <w:szCs w:val="16"/>
        </w:rPr>
        <w:t xml:space="preserve"> G. Bile </w:t>
      </w:r>
      <w:proofErr w:type="spellStart"/>
      <w:r w:rsidRPr="006541E3">
        <w:rPr>
          <w:rFonts w:cstheme="minorHAnsi"/>
          <w:sz w:val="16"/>
          <w:szCs w:val="16"/>
        </w:rPr>
        <w:t>duct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injury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during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laparoscopic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cholecystectomy</w:t>
      </w:r>
      <w:proofErr w:type="spellEnd"/>
      <w:r w:rsidRPr="006541E3">
        <w:rPr>
          <w:rFonts w:cstheme="minorHAnsi"/>
          <w:sz w:val="16"/>
          <w:szCs w:val="16"/>
        </w:rPr>
        <w:t xml:space="preserve">: </w:t>
      </w:r>
      <w:proofErr w:type="spellStart"/>
      <w:r w:rsidRPr="006541E3">
        <w:rPr>
          <w:rFonts w:cstheme="minorHAnsi"/>
          <w:sz w:val="16"/>
          <w:szCs w:val="16"/>
        </w:rPr>
        <w:t>results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of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an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Italian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national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survey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on</w:t>
      </w:r>
      <w:proofErr w:type="spellEnd"/>
      <w:r w:rsidRPr="006541E3">
        <w:rPr>
          <w:rFonts w:cstheme="minorHAnsi"/>
          <w:sz w:val="16"/>
          <w:szCs w:val="16"/>
        </w:rPr>
        <w:t xml:space="preserve"> 56 591 </w:t>
      </w:r>
      <w:proofErr w:type="spellStart"/>
      <w:r w:rsidRPr="006541E3">
        <w:rPr>
          <w:rFonts w:cstheme="minorHAnsi"/>
          <w:sz w:val="16"/>
          <w:szCs w:val="16"/>
        </w:rPr>
        <w:t>cholecystectomies</w:t>
      </w:r>
      <w:proofErr w:type="spellEnd"/>
      <w:r w:rsidRPr="006541E3">
        <w:rPr>
          <w:rFonts w:cstheme="minorHAnsi"/>
          <w:sz w:val="16"/>
          <w:szCs w:val="16"/>
        </w:rPr>
        <w:t xml:space="preserve">. </w:t>
      </w:r>
      <w:proofErr w:type="spellStart"/>
      <w:r w:rsidRPr="006541E3">
        <w:rPr>
          <w:rFonts w:cstheme="minorHAnsi"/>
          <w:sz w:val="16"/>
          <w:szCs w:val="16"/>
        </w:rPr>
        <w:t>Arch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Surg</w:t>
      </w:r>
      <w:proofErr w:type="spellEnd"/>
      <w:r w:rsidRPr="006541E3">
        <w:rPr>
          <w:rFonts w:cstheme="minorHAnsi"/>
          <w:sz w:val="16"/>
          <w:szCs w:val="16"/>
        </w:rPr>
        <w:t>. 2005 Oct;140(10):986-92.</w:t>
      </w:r>
    </w:p>
    <w:p w:rsidR="00917545" w:rsidRPr="006541E3" w:rsidRDefault="00917545" w:rsidP="00917545">
      <w:pPr>
        <w:spacing w:after="120" w:line="240" w:lineRule="auto"/>
        <w:ind w:left="425" w:hanging="425"/>
        <w:jc w:val="both"/>
        <w:rPr>
          <w:rFonts w:cstheme="minorHAnsi"/>
          <w:sz w:val="16"/>
          <w:szCs w:val="16"/>
        </w:rPr>
      </w:pPr>
      <w:r w:rsidRPr="006541E3">
        <w:rPr>
          <w:rFonts w:cstheme="minorHAnsi"/>
          <w:sz w:val="16"/>
          <w:szCs w:val="16"/>
        </w:rPr>
        <w:t xml:space="preserve">14 </w:t>
      </w:r>
      <w:proofErr w:type="spellStart"/>
      <w:r w:rsidRPr="006541E3">
        <w:rPr>
          <w:rFonts w:cstheme="minorHAnsi"/>
          <w:sz w:val="16"/>
          <w:szCs w:val="16"/>
        </w:rPr>
        <w:t>Jukka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Karvonen</w:t>
      </w:r>
      <w:proofErr w:type="spellEnd"/>
      <w:r w:rsidRPr="006541E3">
        <w:rPr>
          <w:rFonts w:cstheme="minorHAnsi"/>
          <w:sz w:val="16"/>
          <w:szCs w:val="16"/>
        </w:rPr>
        <w:t xml:space="preserve">, Paulina </w:t>
      </w:r>
      <w:proofErr w:type="spellStart"/>
      <w:r w:rsidRPr="006541E3">
        <w:rPr>
          <w:rFonts w:cstheme="minorHAnsi"/>
          <w:sz w:val="16"/>
          <w:szCs w:val="16"/>
        </w:rPr>
        <w:t>Salminen</w:t>
      </w:r>
      <w:proofErr w:type="spellEnd"/>
      <w:r w:rsidRPr="006541E3">
        <w:rPr>
          <w:rFonts w:cstheme="minorHAnsi"/>
          <w:sz w:val="16"/>
          <w:szCs w:val="16"/>
        </w:rPr>
        <w:t xml:space="preserve">, </w:t>
      </w:r>
      <w:proofErr w:type="spellStart"/>
      <w:r w:rsidRPr="006541E3">
        <w:rPr>
          <w:rFonts w:cstheme="minorHAnsi"/>
          <w:sz w:val="16"/>
          <w:szCs w:val="16"/>
        </w:rPr>
        <w:t>Juha</w:t>
      </w:r>
      <w:proofErr w:type="spellEnd"/>
      <w:r w:rsidRPr="006541E3">
        <w:rPr>
          <w:rFonts w:cstheme="minorHAnsi"/>
          <w:sz w:val="16"/>
          <w:szCs w:val="16"/>
        </w:rPr>
        <w:t xml:space="preserve"> M. </w:t>
      </w:r>
      <w:proofErr w:type="spellStart"/>
      <w:r w:rsidRPr="006541E3">
        <w:rPr>
          <w:rFonts w:cstheme="minorHAnsi"/>
          <w:sz w:val="16"/>
          <w:szCs w:val="16"/>
        </w:rPr>
        <w:t>Grönroos</w:t>
      </w:r>
      <w:proofErr w:type="spellEnd"/>
      <w:r w:rsidRPr="006541E3">
        <w:rPr>
          <w:rFonts w:cstheme="minorHAnsi"/>
          <w:sz w:val="16"/>
          <w:szCs w:val="16"/>
        </w:rPr>
        <w:t xml:space="preserve">. Bile </w:t>
      </w:r>
      <w:proofErr w:type="spellStart"/>
      <w:r w:rsidRPr="006541E3">
        <w:rPr>
          <w:rFonts w:cstheme="minorHAnsi"/>
          <w:sz w:val="16"/>
          <w:szCs w:val="16"/>
        </w:rPr>
        <w:t>duct</w:t>
      </w:r>
      <w:proofErr w:type="spellEnd"/>
      <w:r w:rsidRPr="006541E3">
        <w:rPr>
          <w:rFonts w:cstheme="minorHAnsi"/>
          <w:sz w:val="16"/>
          <w:szCs w:val="16"/>
        </w:rPr>
        <w:t xml:space="preserve"> injuries </w:t>
      </w:r>
      <w:proofErr w:type="spellStart"/>
      <w:r w:rsidRPr="006541E3">
        <w:rPr>
          <w:rFonts w:cstheme="minorHAnsi"/>
          <w:sz w:val="16"/>
          <w:szCs w:val="16"/>
        </w:rPr>
        <w:t>during</w:t>
      </w:r>
      <w:proofErr w:type="spellEnd"/>
      <w:r w:rsidRPr="006541E3">
        <w:rPr>
          <w:rFonts w:cstheme="minorHAnsi"/>
          <w:sz w:val="16"/>
          <w:szCs w:val="16"/>
        </w:rPr>
        <w:t xml:space="preserve"> open </w:t>
      </w:r>
      <w:proofErr w:type="spellStart"/>
      <w:r w:rsidRPr="006541E3">
        <w:rPr>
          <w:rFonts w:cstheme="minorHAnsi"/>
          <w:sz w:val="16"/>
          <w:szCs w:val="16"/>
        </w:rPr>
        <w:t>and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laparoscopic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cholecystectomy</w:t>
      </w:r>
      <w:proofErr w:type="spellEnd"/>
      <w:r w:rsidRPr="006541E3">
        <w:rPr>
          <w:rFonts w:cstheme="minorHAnsi"/>
          <w:sz w:val="16"/>
          <w:szCs w:val="16"/>
        </w:rPr>
        <w:t xml:space="preserve"> in </w:t>
      </w:r>
      <w:proofErr w:type="spellStart"/>
      <w:r w:rsidRPr="006541E3">
        <w:rPr>
          <w:rFonts w:cstheme="minorHAnsi"/>
          <w:sz w:val="16"/>
          <w:szCs w:val="16"/>
        </w:rPr>
        <w:t>the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laparoscopic</w:t>
      </w:r>
      <w:proofErr w:type="spellEnd"/>
      <w:r w:rsidRPr="006541E3">
        <w:rPr>
          <w:rFonts w:cstheme="minorHAnsi"/>
          <w:sz w:val="16"/>
          <w:szCs w:val="16"/>
        </w:rPr>
        <w:t xml:space="preserve"> era: </w:t>
      </w:r>
      <w:proofErr w:type="spellStart"/>
      <w:r w:rsidRPr="006541E3">
        <w:rPr>
          <w:rFonts w:cstheme="minorHAnsi"/>
          <w:sz w:val="16"/>
          <w:szCs w:val="16"/>
        </w:rPr>
        <w:t>alarming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trends</w:t>
      </w:r>
      <w:proofErr w:type="spellEnd"/>
      <w:r w:rsidRPr="006541E3">
        <w:rPr>
          <w:rFonts w:cstheme="minorHAnsi"/>
          <w:sz w:val="16"/>
          <w:szCs w:val="16"/>
        </w:rPr>
        <w:t xml:space="preserve">. </w:t>
      </w:r>
      <w:proofErr w:type="spellStart"/>
      <w:r w:rsidRPr="006541E3">
        <w:rPr>
          <w:rFonts w:cstheme="minorHAnsi"/>
          <w:sz w:val="16"/>
          <w:szCs w:val="16"/>
        </w:rPr>
        <w:t>Surgical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Endoscopy</w:t>
      </w:r>
      <w:proofErr w:type="spellEnd"/>
      <w:r w:rsidRPr="006541E3">
        <w:rPr>
          <w:rFonts w:cstheme="minorHAnsi"/>
          <w:sz w:val="16"/>
          <w:szCs w:val="16"/>
        </w:rPr>
        <w:t xml:space="preserve">. </w:t>
      </w:r>
      <w:proofErr w:type="spellStart"/>
      <w:r w:rsidRPr="006541E3">
        <w:rPr>
          <w:rFonts w:cstheme="minorHAnsi"/>
          <w:sz w:val="16"/>
          <w:szCs w:val="16"/>
        </w:rPr>
        <w:t>September</w:t>
      </w:r>
      <w:proofErr w:type="spellEnd"/>
      <w:r w:rsidRPr="006541E3">
        <w:rPr>
          <w:rFonts w:cstheme="minorHAnsi"/>
          <w:sz w:val="16"/>
          <w:szCs w:val="16"/>
        </w:rPr>
        <w:t xml:space="preserve"> 2011, Volume 25, </w:t>
      </w:r>
      <w:proofErr w:type="spellStart"/>
      <w:r w:rsidRPr="006541E3">
        <w:rPr>
          <w:rFonts w:cstheme="minorHAnsi"/>
          <w:sz w:val="16"/>
          <w:szCs w:val="16"/>
        </w:rPr>
        <w:t>Issue</w:t>
      </w:r>
      <w:proofErr w:type="spellEnd"/>
      <w:r w:rsidRPr="006541E3">
        <w:rPr>
          <w:rFonts w:cstheme="minorHAnsi"/>
          <w:sz w:val="16"/>
          <w:szCs w:val="16"/>
        </w:rPr>
        <w:t xml:space="preserve"> 9, pp 2906-2910. </w:t>
      </w:r>
    </w:p>
    <w:p w:rsidR="00917545" w:rsidRPr="006541E3" w:rsidRDefault="00917545" w:rsidP="000E39CE">
      <w:pPr>
        <w:spacing w:after="120" w:line="240" w:lineRule="auto"/>
        <w:ind w:left="425" w:hanging="425"/>
        <w:jc w:val="both"/>
        <w:rPr>
          <w:rFonts w:cstheme="minorHAnsi"/>
          <w:sz w:val="16"/>
          <w:szCs w:val="16"/>
        </w:rPr>
      </w:pPr>
      <w:r w:rsidRPr="006541E3">
        <w:rPr>
          <w:rFonts w:cstheme="minorHAnsi"/>
          <w:sz w:val="16"/>
          <w:szCs w:val="16"/>
        </w:rPr>
        <w:t>15</w:t>
      </w:r>
      <w:r w:rsidR="000E39CE" w:rsidRPr="006541E3">
        <w:rPr>
          <w:rFonts w:cstheme="minorHAnsi"/>
          <w:sz w:val="16"/>
          <w:szCs w:val="16"/>
        </w:rPr>
        <w:t xml:space="preserve"> George </w:t>
      </w:r>
      <w:proofErr w:type="spellStart"/>
      <w:r w:rsidR="000E39CE" w:rsidRPr="006541E3">
        <w:rPr>
          <w:rFonts w:cstheme="minorHAnsi"/>
          <w:sz w:val="16"/>
          <w:szCs w:val="16"/>
        </w:rPr>
        <w:t>Berci</w:t>
      </w:r>
      <w:proofErr w:type="spellEnd"/>
      <w:r w:rsidR="000E39CE" w:rsidRPr="006541E3">
        <w:rPr>
          <w:rFonts w:cstheme="minorHAnsi"/>
          <w:sz w:val="16"/>
          <w:szCs w:val="16"/>
        </w:rPr>
        <w:t xml:space="preserve">, John </w:t>
      </w:r>
      <w:proofErr w:type="spellStart"/>
      <w:r w:rsidR="000E39CE" w:rsidRPr="006541E3">
        <w:rPr>
          <w:rFonts w:cstheme="minorHAnsi"/>
          <w:sz w:val="16"/>
          <w:szCs w:val="16"/>
        </w:rPr>
        <w:t>Hunter</w:t>
      </w:r>
      <w:proofErr w:type="spellEnd"/>
      <w:r w:rsidR="000E39CE" w:rsidRPr="006541E3">
        <w:rPr>
          <w:rFonts w:cstheme="minorHAnsi"/>
          <w:sz w:val="16"/>
          <w:szCs w:val="16"/>
        </w:rPr>
        <w:t xml:space="preserve">, Leon </w:t>
      </w:r>
      <w:proofErr w:type="spellStart"/>
      <w:r w:rsidR="000E39CE" w:rsidRPr="006541E3">
        <w:rPr>
          <w:rFonts w:cstheme="minorHAnsi"/>
          <w:sz w:val="16"/>
          <w:szCs w:val="16"/>
        </w:rPr>
        <w:t>Morgenstern</w:t>
      </w:r>
      <w:proofErr w:type="spellEnd"/>
      <w:r w:rsidR="000E39CE" w:rsidRPr="006541E3">
        <w:rPr>
          <w:rFonts w:cstheme="minorHAnsi"/>
          <w:sz w:val="16"/>
          <w:szCs w:val="16"/>
        </w:rPr>
        <w:t xml:space="preserve">, Maurice </w:t>
      </w:r>
      <w:proofErr w:type="spellStart"/>
      <w:r w:rsidR="000E39CE" w:rsidRPr="006541E3">
        <w:rPr>
          <w:rFonts w:cstheme="minorHAnsi"/>
          <w:sz w:val="16"/>
          <w:szCs w:val="16"/>
        </w:rPr>
        <w:t>Arregui</w:t>
      </w:r>
      <w:proofErr w:type="spellEnd"/>
      <w:r w:rsidR="000E39CE" w:rsidRPr="006541E3">
        <w:rPr>
          <w:rFonts w:cstheme="minorHAnsi"/>
          <w:sz w:val="16"/>
          <w:szCs w:val="16"/>
        </w:rPr>
        <w:t xml:space="preserve">, Michael </w:t>
      </w:r>
      <w:proofErr w:type="spellStart"/>
      <w:r w:rsidR="000E39CE" w:rsidRPr="006541E3">
        <w:rPr>
          <w:rFonts w:cstheme="minorHAnsi"/>
          <w:sz w:val="16"/>
          <w:szCs w:val="16"/>
        </w:rPr>
        <w:t>Brunt</w:t>
      </w:r>
      <w:proofErr w:type="spellEnd"/>
      <w:r w:rsidR="000E39CE" w:rsidRPr="006541E3">
        <w:rPr>
          <w:rFonts w:cstheme="minorHAnsi"/>
          <w:sz w:val="16"/>
          <w:szCs w:val="16"/>
        </w:rPr>
        <w:t xml:space="preserve">, </w:t>
      </w:r>
      <w:proofErr w:type="spellStart"/>
      <w:r w:rsidR="000E39CE" w:rsidRPr="006541E3">
        <w:rPr>
          <w:rFonts w:cstheme="minorHAnsi"/>
          <w:sz w:val="16"/>
          <w:szCs w:val="16"/>
        </w:rPr>
        <w:t>Brandon</w:t>
      </w:r>
      <w:proofErr w:type="spellEnd"/>
      <w:r w:rsidR="000E39CE" w:rsidRPr="006541E3">
        <w:rPr>
          <w:rFonts w:cstheme="minorHAnsi"/>
          <w:sz w:val="16"/>
          <w:szCs w:val="16"/>
        </w:rPr>
        <w:t xml:space="preserve"> Carroll, Michael </w:t>
      </w:r>
      <w:proofErr w:type="spellStart"/>
      <w:r w:rsidR="000E39CE" w:rsidRPr="006541E3">
        <w:rPr>
          <w:rFonts w:cstheme="minorHAnsi"/>
          <w:sz w:val="16"/>
          <w:szCs w:val="16"/>
        </w:rPr>
        <w:t>Edye</w:t>
      </w:r>
      <w:proofErr w:type="spellEnd"/>
      <w:r w:rsidR="000E39CE" w:rsidRPr="006541E3">
        <w:rPr>
          <w:rFonts w:cstheme="minorHAnsi"/>
          <w:sz w:val="16"/>
          <w:szCs w:val="16"/>
        </w:rPr>
        <w:t xml:space="preserve">, David </w:t>
      </w:r>
      <w:proofErr w:type="spellStart"/>
      <w:r w:rsidR="000E39CE" w:rsidRPr="006541E3">
        <w:rPr>
          <w:rFonts w:cstheme="minorHAnsi"/>
          <w:sz w:val="16"/>
          <w:szCs w:val="16"/>
        </w:rPr>
        <w:t>Fermelia</w:t>
      </w:r>
      <w:proofErr w:type="spellEnd"/>
      <w:r w:rsidR="000E39CE" w:rsidRPr="006541E3">
        <w:rPr>
          <w:rFonts w:cstheme="minorHAnsi"/>
          <w:sz w:val="16"/>
          <w:szCs w:val="16"/>
        </w:rPr>
        <w:t xml:space="preserve">, George </w:t>
      </w:r>
      <w:proofErr w:type="spellStart"/>
      <w:r w:rsidR="000E39CE" w:rsidRPr="006541E3">
        <w:rPr>
          <w:rFonts w:cstheme="minorHAnsi"/>
          <w:sz w:val="16"/>
          <w:szCs w:val="16"/>
        </w:rPr>
        <w:t>Ferzli</w:t>
      </w:r>
      <w:proofErr w:type="spellEnd"/>
      <w:r w:rsidR="000E39CE" w:rsidRPr="006541E3">
        <w:rPr>
          <w:rFonts w:cstheme="minorHAnsi"/>
          <w:sz w:val="16"/>
          <w:szCs w:val="16"/>
        </w:rPr>
        <w:t xml:space="preserve">, </w:t>
      </w:r>
      <w:proofErr w:type="spellStart"/>
      <w:r w:rsidR="000E39CE" w:rsidRPr="006541E3">
        <w:rPr>
          <w:rFonts w:cstheme="minorHAnsi"/>
          <w:sz w:val="16"/>
          <w:szCs w:val="16"/>
        </w:rPr>
        <w:t>Frederick</w:t>
      </w:r>
      <w:proofErr w:type="spellEnd"/>
      <w:r w:rsidR="000E39CE" w:rsidRPr="006541E3">
        <w:rPr>
          <w:rFonts w:cstheme="minorHAnsi"/>
          <w:sz w:val="16"/>
          <w:szCs w:val="16"/>
        </w:rPr>
        <w:t xml:space="preserve"> </w:t>
      </w:r>
      <w:proofErr w:type="spellStart"/>
      <w:r w:rsidR="000E39CE" w:rsidRPr="006541E3">
        <w:rPr>
          <w:rFonts w:cstheme="minorHAnsi"/>
          <w:sz w:val="16"/>
          <w:szCs w:val="16"/>
        </w:rPr>
        <w:t>Greene</w:t>
      </w:r>
      <w:proofErr w:type="spellEnd"/>
      <w:r w:rsidR="000E39CE" w:rsidRPr="006541E3">
        <w:rPr>
          <w:rFonts w:cstheme="minorHAnsi"/>
          <w:sz w:val="16"/>
          <w:szCs w:val="16"/>
        </w:rPr>
        <w:t xml:space="preserve">, Joseph </w:t>
      </w:r>
      <w:proofErr w:type="spellStart"/>
      <w:r w:rsidR="000E39CE" w:rsidRPr="006541E3">
        <w:rPr>
          <w:rFonts w:cstheme="minorHAnsi"/>
          <w:sz w:val="16"/>
          <w:szCs w:val="16"/>
        </w:rPr>
        <w:t>Petelin</w:t>
      </w:r>
      <w:proofErr w:type="spellEnd"/>
      <w:r w:rsidR="000E39CE" w:rsidRPr="006541E3">
        <w:rPr>
          <w:rFonts w:cstheme="minorHAnsi"/>
          <w:sz w:val="16"/>
          <w:szCs w:val="16"/>
        </w:rPr>
        <w:t xml:space="preserve">, Edward </w:t>
      </w:r>
      <w:proofErr w:type="spellStart"/>
      <w:r w:rsidR="000E39CE" w:rsidRPr="006541E3">
        <w:rPr>
          <w:rFonts w:cstheme="minorHAnsi"/>
          <w:sz w:val="16"/>
          <w:szCs w:val="16"/>
        </w:rPr>
        <w:t>Phillips</w:t>
      </w:r>
      <w:proofErr w:type="spellEnd"/>
      <w:r w:rsidR="000E39CE" w:rsidRPr="006541E3">
        <w:rPr>
          <w:rFonts w:cstheme="minorHAnsi"/>
          <w:sz w:val="16"/>
          <w:szCs w:val="16"/>
        </w:rPr>
        <w:t xml:space="preserve">, </w:t>
      </w:r>
      <w:proofErr w:type="spellStart"/>
      <w:r w:rsidR="000E39CE" w:rsidRPr="006541E3">
        <w:rPr>
          <w:rFonts w:cstheme="minorHAnsi"/>
          <w:sz w:val="16"/>
          <w:szCs w:val="16"/>
        </w:rPr>
        <w:t>Jeffrey</w:t>
      </w:r>
      <w:proofErr w:type="spellEnd"/>
      <w:r w:rsidR="000E39CE" w:rsidRPr="006541E3">
        <w:rPr>
          <w:rFonts w:cstheme="minorHAnsi"/>
          <w:sz w:val="16"/>
          <w:szCs w:val="16"/>
        </w:rPr>
        <w:t xml:space="preserve"> </w:t>
      </w:r>
      <w:proofErr w:type="spellStart"/>
      <w:r w:rsidR="000E39CE" w:rsidRPr="006541E3">
        <w:rPr>
          <w:rFonts w:cstheme="minorHAnsi"/>
          <w:sz w:val="16"/>
          <w:szCs w:val="16"/>
        </w:rPr>
        <w:t>Ponsky</w:t>
      </w:r>
      <w:proofErr w:type="spellEnd"/>
      <w:r w:rsidR="000E39CE" w:rsidRPr="006541E3">
        <w:rPr>
          <w:rFonts w:cstheme="minorHAnsi"/>
          <w:sz w:val="16"/>
          <w:szCs w:val="16"/>
        </w:rPr>
        <w:t xml:space="preserve">, Harry Sax, Steven </w:t>
      </w:r>
      <w:proofErr w:type="spellStart"/>
      <w:r w:rsidR="000E39CE" w:rsidRPr="006541E3">
        <w:rPr>
          <w:rFonts w:cstheme="minorHAnsi"/>
          <w:sz w:val="16"/>
          <w:szCs w:val="16"/>
        </w:rPr>
        <w:t>Schwaitzberg</w:t>
      </w:r>
      <w:proofErr w:type="spellEnd"/>
      <w:r w:rsidR="000E39CE" w:rsidRPr="006541E3">
        <w:rPr>
          <w:rFonts w:cstheme="minorHAnsi"/>
          <w:sz w:val="16"/>
          <w:szCs w:val="16"/>
        </w:rPr>
        <w:t xml:space="preserve">, Nathaniel </w:t>
      </w:r>
      <w:proofErr w:type="spellStart"/>
      <w:r w:rsidR="000E39CE" w:rsidRPr="006541E3">
        <w:rPr>
          <w:rFonts w:cstheme="minorHAnsi"/>
          <w:sz w:val="16"/>
          <w:szCs w:val="16"/>
        </w:rPr>
        <w:t>Soper</w:t>
      </w:r>
      <w:proofErr w:type="spellEnd"/>
      <w:r w:rsidR="000E39CE" w:rsidRPr="006541E3">
        <w:rPr>
          <w:rFonts w:cstheme="minorHAnsi"/>
          <w:sz w:val="16"/>
          <w:szCs w:val="16"/>
        </w:rPr>
        <w:t xml:space="preserve">, Lee </w:t>
      </w:r>
      <w:proofErr w:type="spellStart"/>
      <w:r w:rsidR="000E39CE" w:rsidRPr="006541E3">
        <w:rPr>
          <w:rFonts w:cstheme="minorHAnsi"/>
          <w:sz w:val="16"/>
          <w:szCs w:val="16"/>
        </w:rPr>
        <w:t>Swanstrom</w:t>
      </w:r>
      <w:proofErr w:type="spellEnd"/>
      <w:r w:rsidR="000E39CE" w:rsidRPr="006541E3">
        <w:rPr>
          <w:rFonts w:cstheme="minorHAnsi"/>
          <w:sz w:val="16"/>
          <w:szCs w:val="16"/>
        </w:rPr>
        <w:t xml:space="preserve">, William </w:t>
      </w:r>
      <w:proofErr w:type="spellStart"/>
      <w:r w:rsidR="000E39CE" w:rsidRPr="006541E3">
        <w:rPr>
          <w:rFonts w:cstheme="minorHAnsi"/>
          <w:sz w:val="16"/>
          <w:szCs w:val="16"/>
        </w:rPr>
        <w:t>Traverso</w:t>
      </w:r>
      <w:proofErr w:type="spellEnd"/>
      <w:r w:rsidR="000E39CE" w:rsidRPr="006541E3">
        <w:rPr>
          <w:rFonts w:cstheme="minorHAnsi"/>
          <w:sz w:val="16"/>
          <w:szCs w:val="16"/>
        </w:rPr>
        <w:t xml:space="preserve">. </w:t>
      </w:r>
      <w:proofErr w:type="spellStart"/>
      <w:r w:rsidR="000E39CE" w:rsidRPr="006541E3">
        <w:rPr>
          <w:rFonts w:cstheme="minorHAnsi"/>
          <w:sz w:val="16"/>
          <w:szCs w:val="16"/>
        </w:rPr>
        <w:t>Laparoscopic</w:t>
      </w:r>
      <w:proofErr w:type="spellEnd"/>
      <w:r w:rsidR="000E39CE" w:rsidRPr="006541E3">
        <w:rPr>
          <w:rFonts w:cstheme="minorHAnsi"/>
          <w:sz w:val="16"/>
          <w:szCs w:val="16"/>
        </w:rPr>
        <w:t xml:space="preserve"> </w:t>
      </w:r>
      <w:proofErr w:type="spellStart"/>
      <w:r w:rsidR="000E39CE" w:rsidRPr="006541E3">
        <w:rPr>
          <w:rFonts w:cstheme="minorHAnsi"/>
          <w:sz w:val="16"/>
          <w:szCs w:val="16"/>
        </w:rPr>
        <w:t>cholecystectomy</w:t>
      </w:r>
      <w:proofErr w:type="spellEnd"/>
      <w:r w:rsidR="000E39CE" w:rsidRPr="006541E3">
        <w:rPr>
          <w:rFonts w:cstheme="minorHAnsi"/>
          <w:sz w:val="16"/>
          <w:szCs w:val="16"/>
        </w:rPr>
        <w:t xml:space="preserve">: </w:t>
      </w:r>
      <w:proofErr w:type="spellStart"/>
      <w:r w:rsidR="000E39CE" w:rsidRPr="006541E3">
        <w:rPr>
          <w:rFonts w:cstheme="minorHAnsi"/>
          <w:sz w:val="16"/>
          <w:szCs w:val="16"/>
        </w:rPr>
        <w:t>first</w:t>
      </w:r>
      <w:proofErr w:type="spellEnd"/>
      <w:r w:rsidR="000E39CE" w:rsidRPr="006541E3">
        <w:rPr>
          <w:rFonts w:cstheme="minorHAnsi"/>
          <w:sz w:val="16"/>
          <w:szCs w:val="16"/>
        </w:rPr>
        <w:t xml:space="preserve">, do no </w:t>
      </w:r>
      <w:proofErr w:type="spellStart"/>
      <w:r w:rsidR="000E39CE" w:rsidRPr="006541E3">
        <w:rPr>
          <w:rFonts w:cstheme="minorHAnsi"/>
          <w:sz w:val="16"/>
          <w:szCs w:val="16"/>
        </w:rPr>
        <w:t>harm</w:t>
      </w:r>
      <w:proofErr w:type="spellEnd"/>
      <w:r w:rsidR="000E39CE" w:rsidRPr="006541E3">
        <w:rPr>
          <w:rFonts w:cstheme="minorHAnsi"/>
          <w:sz w:val="16"/>
          <w:szCs w:val="16"/>
        </w:rPr>
        <w:t xml:space="preserve">; </w:t>
      </w:r>
      <w:proofErr w:type="spellStart"/>
      <w:r w:rsidR="000E39CE" w:rsidRPr="006541E3">
        <w:rPr>
          <w:rFonts w:cstheme="minorHAnsi"/>
          <w:sz w:val="16"/>
          <w:szCs w:val="16"/>
        </w:rPr>
        <w:t>second</w:t>
      </w:r>
      <w:proofErr w:type="spellEnd"/>
      <w:r w:rsidR="000E39CE" w:rsidRPr="006541E3">
        <w:rPr>
          <w:rFonts w:cstheme="minorHAnsi"/>
          <w:sz w:val="16"/>
          <w:szCs w:val="16"/>
        </w:rPr>
        <w:t xml:space="preserve">, take </w:t>
      </w:r>
      <w:proofErr w:type="spellStart"/>
      <w:r w:rsidR="000E39CE" w:rsidRPr="006541E3">
        <w:rPr>
          <w:rFonts w:cstheme="minorHAnsi"/>
          <w:sz w:val="16"/>
          <w:szCs w:val="16"/>
        </w:rPr>
        <w:t>care</w:t>
      </w:r>
      <w:proofErr w:type="spellEnd"/>
      <w:r w:rsidR="000E39CE" w:rsidRPr="006541E3">
        <w:rPr>
          <w:rFonts w:cstheme="minorHAnsi"/>
          <w:sz w:val="16"/>
          <w:szCs w:val="16"/>
        </w:rPr>
        <w:t xml:space="preserve"> </w:t>
      </w:r>
      <w:proofErr w:type="spellStart"/>
      <w:r w:rsidR="000E39CE" w:rsidRPr="006541E3">
        <w:rPr>
          <w:rFonts w:cstheme="minorHAnsi"/>
          <w:sz w:val="16"/>
          <w:szCs w:val="16"/>
        </w:rPr>
        <w:t>of</w:t>
      </w:r>
      <w:proofErr w:type="spellEnd"/>
      <w:r w:rsidR="000E39CE" w:rsidRPr="006541E3">
        <w:rPr>
          <w:rFonts w:cstheme="minorHAnsi"/>
          <w:sz w:val="16"/>
          <w:szCs w:val="16"/>
        </w:rPr>
        <w:t xml:space="preserve"> bile </w:t>
      </w:r>
      <w:proofErr w:type="spellStart"/>
      <w:r w:rsidR="000E39CE" w:rsidRPr="006541E3">
        <w:rPr>
          <w:rFonts w:cstheme="minorHAnsi"/>
          <w:sz w:val="16"/>
          <w:szCs w:val="16"/>
        </w:rPr>
        <w:t>duct</w:t>
      </w:r>
      <w:proofErr w:type="spellEnd"/>
      <w:r w:rsidR="000E39CE" w:rsidRPr="006541E3">
        <w:rPr>
          <w:rFonts w:cstheme="minorHAnsi"/>
          <w:sz w:val="16"/>
          <w:szCs w:val="16"/>
        </w:rPr>
        <w:t xml:space="preserve"> </w:t>
      </w:r>
      <w:proofErr w:type="spellStart"/>
      <w:r w:rsidR="000E39CE" w:rsidRPr="006541E3">
        <w:rPr>
          <w:rFonts w:cstheme="minorHAnsi"/>
          <w:sz w:val="16"/>
          <w:szCs w:val="16"/>
        </w:rPr>
        <w:t>stones</w:t>
      </w:r>
      <w:proofErr w:type="spellEnd"/>
      <w:r w:rsidR="000E39CE" w:rsidRPr="006541E3">
        <w:rPr>
          <w:rFonts w:cstheme="minorHAnsi"/>
          <w:sz w:val="16"/>
          <w:szCs w:val="16"/>
        </w:rPr>
        <w:t xml:space="preserve">. </w:t>
      </w:r>
      <w:proofErr w:type="spellStart"/>
      <w:r w:rsidR="000E39CE" w:rsidRPr="006541E3">
        <w:rPr>
          <w:rFonts w:cstheme="minorHAnsi"/>
          <w:sz w:val="16"/>
          <w:szCs w:val="16"/>
        </w:rPr>
        <w:t>Surgical</w:t>
      </w:r>
      <w:proofErr w:type="spellEnd"/>
      <w:r w:rsidR="000E39CE" w:rsidRPr="006541E3">
        <w:rPr>
          <w:rFonts w:cstheme="minorHAnsi"/>
          <w:sz w:val="16"/>
          <w:szCs w:val="16"/>
        </w:rPr>
        <w:t xml:space="preserve"> </w:t>
      </w:r>
      <w:proofErr w:type="spellStart"/>
      <w:r w:rsidR="000E39CE" w:rsidRPr="006541E3">
        <w:rPr>
          <w:rFonts w:cstheme="minorHAnsi"/>
          <w:sz w:val="16"/>
          <w:szCs w:val="16"/>
        </w:rPr>
        <w:t>Endoscopy</w:t>
      </w:r>
      <w:proofErr w:type="spellEnd"/>
      <w:r w:rsidR="000E39CE" w:rsidRPr="006541E3">
        <w:rPr>
          <w:rFonts w:cstheme="minorHAnsi"/>
          <w:sz w:val="16"/>
          <w:szCs w:val="16"/>
        </w:rPr>
        <w:t xml:space="preserve"> </w:t>
      </w:r>
      <w:proofErr w:type="spellStart"/>
      <w:r w:rsidR="000E39CE" w:rsidRPr="006541E3">
        <w:rPr>
          <w:rFonts w:cstheme="minorHAnsi"/>
          <w:sz w:val="16"/>
          <w:szCs w:val="16"/>
        </w:rPr>
        <w:t>April</w:t>
      </w:r>
      <w:proofErr w:type="spellEnd"/>
      <w:r w:rsidR="000E39CE" w:rsidRPr="006541E3">
        <w:rPr>
          <w:rFonts w:cstheme="minorHAnsi"/>
          <w:sz w:val="16"/>
          <w:szCs w:val="16"/>
        </w:rPr>
        <w:t xml:space="preserve"> 2013, Volume 27, </w:t>
      </w:r>
      <w:proofErr w:type="spellStart"/>
      <w:r w:rsidR="000E39CE" w:rsidRPr="006541E3">
        <w:rPr>
          <w:rFonts w:cstheme="minorHAnsi"/>
          <w:sz w:val="16"/>
          <w:szCs w:val="16"/>
        </w:rPr>
        <w:t>Issue</w:t>
      </w:r>
      <w:proofErr w:type="spellEnd"/>
      <w:r w:rsidR="000E39CE" w:rsidRPr="006541E3">
        <w:rPr>
          <w:rFonts w:cstheme="minorHAnsi"/>
          <w:sz w:val="16"/>
          <w:szCs w:val="16"/>
        </w:rPr>
        <w:t xml:space="preserve"> 4, pp 1051-1054</w:t>
      </w:r>
      <w:r w:rsidRPr="006541E3">
        <w:rPr>
          <w:rFonts w:cstheme="minorHAnsi"/>
          <w:sz w:val="16"/>
          <w:szCs w:val="16"/>
        </w:rPr>
        <w:t>.</w:t>
      </w:r>
    </w:p>
    <w:p w:rsidR="00917545" w:rsidRPr="006541E3" w:rsidRDefault="00917545" w:rsidP="00917545">
      <w:pPr>
        <w:spacing w:after="120" w:line="240" w:lineRule="auto"/>
        <w:ind w:left="425" w:hanging="425"/>
        <w:jc w:val="both"/>
        <w:rPr>
          <w:rFonts w:cstheme="minorHAnsi"/>
          <w:sz w:val="16"/>
          <w:szCs w:val="16"/>
        </w:rPr>
      </w:pPr>
      <w:r w:rsidRPr="006541E3">
        <w:rPr>
          <w:rFonts w:cstheme="minorHAnsi"/>
          <w:sz w:val="16"/>
          <w:szCs w:val="16"/>
        </w:rPr>
        <w:t xml:space="preserve">16 </w:t>
      </w:r>
      <w:proofErr w:type="spellStart"/>
      <w:r w:rsidRPr="006541E3">
        <w:rPr>
          <w:rFonts w:cstheme="minorHAnsi"/>
          <w:sz w:val="16"/>
          <w:szCs w:val="16"/>
        </w:rPr>
        <w:t>Mostafa</w:t>
      </w:r>
      <w:proofErr w:type="spellEnd"/>
      <w:r w:rsidRPr="006541E3">
        <w:rPr>
          <w:rFonts w:cstheme="minorHAnsi"/>
          <w:sz w:val="16"/>
          <w:szCs w:val="16"/>
        </w:rPr>
        <w:t xml:space="preserve"> A. </w:t>
      </w:r>
      <w:proofErr w:type="spellStart"/>
      <w:r w:rsidRPr="006541E3">
        <w:rPr>
          <w:rFonts w:cstheme="minorHAnsi"/>
          <w:sz w:val="16"/>
          <w:szCs w:val="16"/>
        </w:rPr>
        <w:t>Hamad</w:t>
      </w:r>
      <w:proofErr w:type="spellEnd"/>
      <w:r w:rsidRPr="006541E3">
        <w:rPr>
          <w:rFonts w:cstheme="minorHAnsi"/>
          <w:sz w:val="16"/>
          <w:szCs w:val="16"/>
        </w:rPr>
        <w:t xml:space="preserve">, </w:t>
      </w:r>
      <w:proofErr w:type="spellStart"/>
      <w:r w:rsidRPr="006541E3">
        <w:rPr>
          <w:rFonts w:cstheme="minorHAnsi"/>
          <w:sz w:val="16"/>
          <w:szCs w:val="16"/>
        </w:rPr>
        <w:t>Ahmad</w:t>
      </w:r>
      <w:proofErr w:type="spellEnd"/>
      <w:r w:rsidRPr="006541E3">
        <w:rPr>
          <w:rFonts w:cstheme="minorHAnsi"/>
          <w:sz w:val="16"/>
          <w:szCs w:val="16"/>
        </w:rPr>
        <w:t xml:space="preserve"> A. Nada, </w:t>
      </w:r>
      <w:proofErr w:type="spellStart"/>
      <w:r w:rsidRPr="006541E3">
        <w:rPr>
          <w:rFonts w:cstheme="minorHAnsi"/>
          <w:sz w:val="16"/>
          <w:szCs w:val="16"/>
        </w:rPr>
        <w:t>Mohamad</w:t>
      </w:r>
      <w:proofErr w:type="spellEnd"/>
      <w:r w:rsidRPr="006541E3">
        <w:rPr>
          <w:rFonts w:cstheme="minorHAnsi"/>
          <w:sz w:val="16"/>
          <w:szCs w:val="16"/>
        </w:rPr>
        <w:t xml:space="preserve"> Y. Abdel-</w:t>
      </w:r>
      <w:proofErr w:type="spellStart"/>
      <w:r w:rsidRPr="006541E3">
        <w:rPr>
          <w:rFonts w:cstheme="minorHAnsi"/>
          <w:sz w:val="16"/>
          <w:szCs w:val="16"/>
        </w:rPr>
        <w:t>Atty</w:t>
      </w:r>
      <w:proofErr w:type="spellEnd"/>
      <w:r w:rsidRPr="006541E3">
        <w:rPr>
          <w:rFonts w:cstheme="minorHAnsi"/>
          <w:sz w:val="16"/>
          <w:szCs w:val="16"/>
        </w:rPr>
        <w:t xml:space="preserve">, </w:t>
      </w:r>
      <w:proofErr w:type="spellStart"/>
      <w:r w:rsidRPr="006541E3">
        <w:rPr>
          <w:rFonts w:cstheme="minorHAnsi"/>
          <w:sz w:val="16"/>
          <w:szCs w:val="16"/>
        </w:rPr>
        <w:t>Ahmad</w:t>
      </w:r>
      <w:proofErr w:type="spellEnd"/>
      <w:r w:rsidRPr="006541E3">
        <w:rPr>
          <w:rFonts w:cstheme="minorHAnsi"/>
          <w:sz w:val="16"/>
          <w:szCs w:val="16"/>
        </w:rPr>
        <w:t xml:space="preserve"> S. </w:t>
      </w:r>
      <w:proofErr w:type="spellStart"/>
      <w:r w:rsidRPr="006541E3">
        <w:rPr>
          <w:rFonts w:cstheme="minorHAnsi"/>
          <w:sz w:val="16"/>
          <w:szCs w:val="16"/>
        </w:rPr>
        <w:t>Kawashti</w:t>
      </w:r>
      <w:proofErr w:type="spellEnd"/>
      <w:r w:rsidRPr="006541E3">
        <w:rPr>
          <w:rFonts w:cstheme="minorHAnsi"/>
          <w:sz w:val="16"/>
          <w:szCs w:val="16"/>
        </w:rPr>
        <w:t xml:space="preserve">. Major </w:t>
      </w:r>
      <w:proofErr w:type="spellStart"/>
      <w:r w:rsidRPr="006541E3">
        <w:rPr>
          <w:rFonts w:cstheme="minorHAnsi"/>
          <w:sz w:val="16"/>
          <w:szCs w:val="16"/>
        </w:rPr>
        <w:t>biliary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complications</w:t>
      </w:r>
      <w:proofErr w:type="spellEnd"/>
      <w:r w:rsidRPr="006541E3">
        <w:rPr>
          <w:rFonts w:cstheme="minorHAnsi"/>
          <w:sz w:val="16"/>
          <w:szCs w:val="16"/>
        </w:rPr>
        <w:t xml:space="preserve"> in 2,714 cases </w:t>
      </w:r>
      <w:proofErr w:type="spellStart"/>
      <w:r w:rsidRPr="006541E3">
        <w:rPr>
          <w:rFonts w:cstheme="minorHAnsi"/>
          <w:sz w:val="16"/>
          <w:szCs w:val="16"/>
        </w:rPr>
        <w:t>of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laparoscopic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cholecystectomy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without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intraoperative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cholangiography</w:t>
      </w:r>
      <w:proofErr w:type="spellEnd"/>
      <w:r w:rsidRPr="006541E3">
        <w:rPr>
          <w:rFonts w:cstheme="minorHAnsi"/>
          <w:sz w:val="16"/>
          <w:szCs w:val="16"/>
        </w:rPr>
        <w:t xml:space="preserve">: a </w:t>
      </w:r>
      <w:proofErr w:type="spellStart"/>
      <w:r w:rsidRPr="006541E3">
        <w:rPr>
          <w:rFonts w:cstheme="minorHAnsi"/>
          <w:sz w:val="16"/>
          <w:szCs w:val="16"/>
        </w:rPr>
        <w:t>multicenter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retrospective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study</w:t>
      </w:r>
      <w:proofErr w:type="spellEnd"/>
      <w:r w:rsidRPr="006541E3">
        <w:rPr>
          <w:rFonts w:cstheme="minorHAnsi"/>
          <w:sz w:val="16"/>
          <w:szCs w:val="16"/>
        </w:rPr>
        <w:t xml:space="preserve">. </w:t>
      </w:r>
      <w:proofErr w:type="spellStart"/>
      <w:r w:rsidRPr="006541E3">
        <w:rPr>
          <w:rFonts w:cstheme="minorHAnsi"/>
          <w:sz w:val="16"/>
          <w:szCs w:val="16"/>
        </w:rPr>
        <w:t>Surgical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Endoscopy</w:t>
      </w:r>
      <w:proofErr w:type="spellEnd"/>
      <w:r w:rsidRPr="006541E3">
        <w:rPr>
          <w:rFonts w:cstheme="minorHAnsi"/>
          <w:sz w:val="16"/>
          <w:szCs w:val="16"/>
        </w:rPr>
        <w:t xml:space="preserve">. </w:t>
      </w:r>
      <w:proofErr w:type="spellStart"/>
      <w:r w:rsidRPr="006541E3">
        <w:rPr>
          <w:rFonts w:cstheme="minorHAnsi"/>
          <w:sz w:val="16"/>
          <w:szCs w:val="16"/>
        </w:rPr>
        <w:t>December</w:t>
      </w:r>
      <w:proofErr w:type="spellEnd"/>
      <w:r w:rsidRPr="006541E3">
        <w:rPr>
          <w:rFonts w:cstheme="minorHAnsi"/>
          <w:sz w:val="16"/>
          <w:szCs w:val="16"/>
        </w:rPr>
        <w:t xml:space="preserve"> 2011, Volume 25, </w:t>
      </w:r>
      <w:proofErr w:type="spellStart"/>
      <w:r w:rsidRPr="006541E3">
        <w:rPr>
          <w:rFonts w:cstheme="minorHAnsi"/>
          <w:sz w:val="16"/>
          <w:szCs w:val="16"/>
        </w:rPr>
        <w:t>Issue</w:t>
      </w:r>
      <w:proofErr w:type="spellEnd"/>
      <w:r w:rsidRPr="006541E3">
        <w:rPr>
          <w:rFonts w:cstheme="minorHAnsi"/>
          <w:sz w:val="16"/>
          <w:szCs w:val="16"/>
        </w:rPr>
        <w:t xml:space="preserve"> 12, pp 3747-3751</w:t>
      </w:r>
    </w:p>
    <w:p w:rsidR="00917545" w:rsidRPr="006541E3" w:rsidRDefault="00917545" w:rsidP="00917545">
      <w:pPr>
        <w:spacing w:after="120" w:line="240" w:lineRule="auto"/>
        <w:ind w:left="425" w:hanging="425"/>
        <w:jc w:val="both"/>
        <w:rPr>
          <w:rFonts w:cstheme="minorHAnsi"/>
          <w:sz w:val="16"/>
          <w:szCs w:val="16"/>
        </w:rPr>
      </w:pPr>
      <w:r w:rsidRPr="006541E3">
        <w:rPr>
          <w:rFonts w:cstheme="minorHAnsi"/>
          <w:sz w:val="16"/>
          <w:szCs w:val="16"/>
        </w:rPr>
        <w:t xml:space="preserve">17 </w:t>
      </w:r>
      <w:proofErr w:type="spellStart"/>
      <w:r w:rsidRPr="006541E3">
        <w:rPr>
          <w:rFonts w:cstheme="minorHAnsi"/>
          <w:sz w:val="16"/>
          <w:szCs w:val="16"/>
        </w:rPr>
        <w:t>Gharaibeh</w:t>
      </w:r>
      <w:proofErr w:type="spellEnd"/>
      <w:r w:rsidRPr="006541E3">
        <w:rPr>
          <w:rFonts w:cstheme="minorHAnsi"/>
          <w:sz w:val="16"/>
          <w:szCs w:val="16"/>
        </w:rPr>
        <w:t xml:space="preserve"> KI, </w:t>
      </w:r>
      <w:proofErr w:type="spellStart"/>
      <w:r w:rsidRPr="006541E3">
        <w:rPr>
          <w:rFonts w:cstheme="minorHAnsi"/>
          <w:sz w:val="16"/>
          <w:szCs w:val="16"/>
        </w:rPr>
        <w:t>Qasaimeh</w:t>
      </w:r>
      <w:proofErr w:type="spellEnd"/>
      <w:r w:rsidRPr="006541E3">
        <w:rPr>
          <w:rFonts w:cstheme="minorHAnsi"/>
          <w:sz w:val="16"/>
          <w:szCs w:val="16"/>
        </w:rPr>
        <w:t xml:space="preserve"> GR, Al-</w:t>
      </w:r>
      <w:proofErr w:type="spellStart"/>
      <w:r w:rsidRPr="006541E3">
        <w:rPr>
          <w:rFonts w:cstheme="minorHAnsi"/>
          <w:sz w:val="16"/>
          <w:szCs w:val="16"/>
        </w:rPr>
        <w:t>Heiss</w:t>
      </w:r>
      <w:proofErr w:type="spellEnd"/>
      <w:r w:rsidRPr="006541E3">
        <w:rPr>
          <w:rFonts w:cstheme="minorHAnsi"/>
          <w:sz w:val="16"/>
          <w:szCs w:val="16"/>
        </w:rPr>
        <w:t xml:space="preserve"> H, </w:t>
      </w:r>
      <w:proofErr w:type="spellStart"/>
      <w:r w:rsidRPr="006541E3">
        <w:rPr>
          <w:rFonts w:cstheme="minorHAnsi"/>
          <w:sz w:val="16"/>
          <w:szCs w:val="16"/>
        </w:rPr>
        <w:t>Ammari</w:t>
      </w:r>
      <w:proofErr w:type="spellEnd"/>
      <w:r w:rsidRPr="006541E3">
        <w:rPr>
          <w:rFonts w:cstheme="minorHAnsi"/>
          <w:sz w:val="16"/>
          <w:szCs w:val="16"/>
        </w:rPr>
        <w:t xml:space="preserve"> F, Bani-</w:t>
      </w:r>
      <w:proofErr w:type="spellStart"/>
      <w:r w:rsidRPr="006541E3">
        <w:rPr>
          <w:rFonts w:cstheme="minorHAnsi"/>
          <w:sz w:val="16"/>
          <w:szCs w:val="16"/>
        </w:rPr>
        <w:t>Hani</w:t>
      </w:r>
      <w:proofErr w:type="spellEnd"/>
      <w:r w:rsidRPr="006541E3">
        <w:rPr>
          <w:rFonts w:cstheme="minorHAnsi"/>
          <w:sz w:val="16"/>
          <w:szCs w:val="16"/>
        </w:rPr>
        <w:t xml:space="preserve"> K, Al-</w:t>
      </w:r>
      <w:proofErr w:type="spellStart"/>
      <w:r w:rsidRPr="006541E3">
        <w:rPr>
          <w:rFonts w:cstheme="minorHAnsi"/>
          <w:sz w:val="16"/>
          <w:szCs w:val="16"/>
        </w:rPr>
        <w:t>Jaberi</w:t>
      </w:r>
      <w:proofErr w:type="spellEnd"/>
      <w:r w:rsidRPr="006541E3">
        <w:rPr>
          <w:rFonts w:cstheme="minorHAnsi"/>
          <w:sz w:val="16"/>
          <w:szCs w:val="16"/>
        </w:rPr>
        <w:t xml:space="preserve"> TM, Al-</w:t>
      </w:r>
      <w:proofErr w:type="spellStart"/>
      <w:r w:rsidRPr="006541E3">
        <w:rPr>
          <w:rFonts w:cstheme="minorHAnsi"/>
          <w:sz w:val="16"/>
          <w:szCs w:val="16"/>
        </w:rPr>
        <w:t>Natour</w:t>
      </w:r>
      <w:proofErr w:type="spellEnd"/>
      <w:r w:rsidRPr="006541E3">
        <w:rPr>
          <w:rFonts w:cstheme="minorHAnsi"/>
          <w:sz w:val="16"/>
          <w:szCs w:val="16"/>
        </w:rPr>
        <w:t xml:space="preserve"> S.. </w:t>
      </w:r>
      <w:proofErr w:type="spellStart"/>
      <w:r w:rsidRPr="006541E3">
        <w:rPr>
          <w:rFonts w:cstheme="minorHAnsi"/>
          <w:sz w:val="16"/>
          <w:szCs w:val="16"/>
        </w:rPr>
        <w:t>Effect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of</w:t>
      </w:r>
      <w:proofErr w:type="spellEnd"/>
      <w:r w:rsidRPr="006541E3">
        <w:rPr>
          <w:rFonts w:cstheme="minorHAnsi"/>
          <w:sz w:val="16"/>
          <w:szCs w:val="16"/>
        </w:rPr>
        <w:t xml:space="preserve"> timing </w:t>
      </w:r>
      <w:proofErr w:type="spellStart"/>
      <w:r w:rsidRPr="006541E3">
        <w:rPr>
          <w:rFonts w:cstheme="minorHAnsi"/>
          <w:sz w:val="16"/>
          <w:szCs w:val="16"/>
        </w:rPr>
        <w:t>of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surgery</w:t>
      </w:r>
      <w:proofErr w:type="spellEnd"/>
      <w:r w:rsidRPr="006541E3">
        <w:rPr>
          <w:rFonts w:cstheme="minorHAnsi"/>
          <w:sz w:val="16"/>
          <w:szCs w:val="16"/>
        </w:rPr>
        <w:t xml:space="preserve">, </w:t>
      </w:r>
      <w:proofErr w:type="spellStart"/>
      <w:r w:rsidRPr="006541E3">
        <w:rPr>
          <w:rFonts w:cstheme="minorHAnsi"/>
          <w:sz w:val="16"/>
          <w:szCs w:val="16"/>
        </w:rPr>
        <w:t>type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of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inflammation</w:t>
      </w:r>
      <w:proofErr w:type="spellEnd"/>
      <w:r w:rsidRPr="006541E3">
        <w:rPr>
          <w:rFonts w:cstheme="minorHAnsi"/>
          <w:sz w:val="16"/>
          <w:szCs w:val="16"/>
        </w:rPr>
        <w:t xml:space="preserve">, </w:t>
      </w:r>
      <w:proofErr w:type="spellStart"/>
      <w:r w:rsidRPr="006541E3">
        <w:rPr>
          <w:rFonts w:cstheme="minorHAnsi"/>
          <w:sz w:val="16"/>
          <w:szCs w:val="16"/>
        </w:rPr>
        <w:t>and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sex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on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outcome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of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laparoscopic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cholecystectomy</w:t>
      </w:r>
      <w:proofErr w:type="spellEnd"/>
      <w:r w:rsidRPr="006541E3">
        <w:rPr>
          <w:rFonts w:cstheme="minorHAnsi"/>
          <w:sz w:val="16"/>
          <w:szCs w:val="16"/>
        </w:rPr>
        <w:t xml:space="preserve"> for </w:t>
      </w:r>
      <w:proofErr w:type="spellStart"/>
      <w:r w:rsidRPr="006541E3">
        <w:rPr>
          <w:rFonts w:cstheme="minorHAnsi"/>
          <w:sz w:val="16"/>
          <w:szCs w:val="16"/>
        </w:rPr>
        <w:t>acute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cholecystitis</w:t>
      </w:r>
      <w:proofErr w:type="spellEnd"/>
      <w:r w:rsidRPr="006541E3">
        <w:rPr>
          <w:rFonts w:cstheme="minorHAnsi"/>
          <w:sz w:val="16"/>
          <w:szCs w:val="16"/>
        </w:rPr>
        <w:t xml:space="preserve">. J </w:t>
      </w:r>
      <w:proofErr w:type="spellStart"/>
      <w:r w:rsidRPr="006541E3">
        <w:rPr>
          <w:rFonts w:cstheme="minorHAnsi"/>
          <w:sz w:val="16"/>
          <w:szCs w:val="16"/>
        </w:rPr>
        <w:t>Laparoendosc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Adv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Surg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Tech</w:t>
      </w:r>
      <w:proofErr w:type="spellEnd"/>
      <w:r w:rsidRPr="006541E3">
        <w:rPr>
          <w:rFonts w:cstheme="minorHAnsi"/>
          <w:sz w:val="16"/>
          <w:szCs w:val="16"/>
        </w:rPr>
        <w:t xml:space="preserve"> A. 2002 Jun;12(3):193-8.</w:t>
      </w:r>
    </w:p>
    <w:p w:rsidR="00917545" w:rsidRPr="006541E3" w:rsidRDefault="00917545" w:rsidP="00917545">
      <w:pPr>
        <w:spacing w:after="120" w:line="240" w:lineRule="auto"/>
        <w:ind w:left="425" w:hanging="425"/>
        <w:jc w:val="both"/>
        <w:rPr>
          <w:rFonts w:cstheme="minorHAnsi"/>
          <w:sz w:val="16"/>
          <w:szCs w:val="16"/>
        </w:rPr>
      </w:pPr>
      <w:r w:rsidRPr="006541E3">
        <w:rPr>
          <w:rFonts w:cstheme="minorHAnsi"/>
          <w:sz w:val="16"/>
          <w:szCs w:val="16"/>
        </w:rPr>
        <w:t xml:space="preserve">18 </w:t>
      </w:r>
      <w:proofErr w:type="spellStart"/>
      <w:r w:rsidRPr="006541E3">
        <w:rPr>
          <w:rFonts w:cstheme="minorHAnsi"/>
          <w:sz w:val="16"/>
          <w:szCs w:val="16"/>
        </w:rPr>
        <w:t>Suliman</w:t>
      </w:r>
      <w:proofErr w:type="spellEnd"/>
      <w:r w:rsidRPr="006541E3">
        <w:rPr>
          <w:rFonts w:cstheme="minorHAnsi"/>
          <w:sz w:val="16"/>
          <w:szCs w:val="16"/>
        </w:rPr>
        <w:t xml:space="preserve"> E, </w:t>
      </w:r>
      <w:proofErr w:type="spellStart"/>
      <w:r w:rsidRPr="006541E3">
        <w:rPr>
          <w:rFonts w:cstheme="minorHAnsi"/>
          <w:sz w:val="16"/>
          <w:szCs w:val="16"/>
        </w:rPr>
        <w:t>Palade</w:t>
      </w:r>
      <w:proofErr w:type="spellEnd"/>
      <w:r w:rsidRPr="006541E3">
        <w:rPr>
          <w:rFonts w:cstheme="minorHAnsi"/>
          <w:sz w:val="16"/>
          <w:szCs w:val="16"/>
        </w:rPr>
        <w:t xml:space="preserve"> R. </w:t>
      </w:r>
      <w:proofErr w:type="spellStart"/>
      <w:r w:rsidRPr="006541E3">
        <w:rPr>
          <w:rFonts w:cstheme="minorHAnsi"/>
          <w:sz w:val="16"/>
          <w:szCs w:val="16"/>
        </w:rPr>
        <w:t>Laparoscopic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cholecystectomy</w:t>
      </w:r>
      <w:proofErr w:type="spellEnd"/>
      <w:r w:rsidRPr="006541E3">
        <w:rPr>
          <w:rFonts w:cstheme="minorHAnsi"/>
          <w:sz w:val="16"/>
          <w:szCs w:val="16"/>
        </w:rPr>
        <w:t xml:space="preserve"> for </w:t>
      </w:r>
      <w:proofErr w:type="spellStart"/>
      <w:r w:rsidRPr="006541E3">
        <w:rPr>
          <w:rFonts w:cstheme="minorHAnsi"/>
          <w:sz w:val="16"/>
          <w:szCs w:val="16"/>
        </w:rPr>
        <w:t>treating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acute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cholecystitis</w:t>
      </w:r>
      <w:proofErr w:type="spellEnd"/>
      <w:r w:rsidRPr="006541E3">
        <w:rPr>
          <w:rFonts w:cstheme="minorHAnsi"/>
          <w:sz w:val="16"/>
          <w:szCs w:val="16"/>
        </w:rPr>
        <w:t xml:space="preserve"> -- </w:t>
      </w:r>
      <w:proofErr w:type="spellStart"/>
      <w:r w:rsidRPr="006541E3">
        <w:rPr>
          <w:rFonts w:cstheme="minorHAnsi"/>
          <w:sz w:val="16"/>
          <w:szCs w:val="16"/>
        </w:rPr>
        <w:t>possibilities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and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limitations</w:t>
      </w:r>
      <w:proofErr w:type="spellEnd"/>
      <w:r w:rsidRPr="006541E3">
        <w:rPr>
          <w:rFonts w:cstheme="minorHAnsi"/>
          <w:sz w:val="16"/>
          <w:szCs w:val="16"/>
        </w:rPr>
        <w:t xml:space="preserve">. </w:t>
      </w:r>
      <w:proofErr w:type="spellStart"/>
      <w:r w:rsidRPr="006541E3">
        <w:rPr>
          <w:rFonts w:cstheme="minorHAnsi"/>
          <w:sz w:val="16"/>
          <w:szCs w:val="16"/>
        </w:rPr>
        <w:t>Chirurgia</w:t>
      </w:r>
      <w:proofErr w:type="spellEnd"/>
      <w:r w:rsidRPr="006541E3">
        <w:rPr>
          <w:rFonts w:cstheme="minorHAnsi"/>
          <w:sz w:val="16"/>
          <w:szCs w:val="16"/>
        </w:rPr>
        <w:t xml:space="preserve"> (</w:t>
      </w:r>
      <w:proofErr w:type="spellStart"/>
      <w:r w:rsidRPr="006541E3">
        <w:rPr>
          <w:rFonts w:cstheme="minorHAnsi"/>
          <w:sz w:val="16"/>
          <w:szCs w:val="16"/>
        </w:rPr>
        <w:t>Bucur</w:t>
      </w:r>
      <w:proofErr w:type="spellEnd"/>
      <w:r w:rsidRPr="006541E3">
        <w:rPr>
          <w:rFonts w:cstheme="minorHAnsi"/>
          <w:sz w:val="16"/>
          <w:szCs w:val="16"/>
        </w:rPr>
        <w:t>). 2013 Jan-Feb;108(1):32-7.</w:t>
      </w:r>
    </w:p>
    <w:p w:rsidR="00917545" w:rsidRPr="006541E3" w:rsidRDefault="00917545" w:rsidP="00917545">
      <w:pPr>
        <w:spacing w:after="120" w:line="240" w:lineRule="auto"/>
        <w:ind w:left="425" w:hanging="425"/>
        <w:jc w:val="both"/>
        <w:rPr>
          <w:rFonts w:cstheme="minorHAnsi"/>
          <w:sz w:val="16"/>
          <w:szCs w:val="16"/>
        </w:rPr>
      </w:pPr>
      <w:r w:rsidRPr="006541E3">
        <w:rPr>
          <w:rFonts w:cstheme="minorHAnsi"/>
          <w:sz w:val="16"/>
          <w:szCs w:val="16"/>
        </w:rPr>
        <w:t xml:space="preserve">19 </w:t>
      </w:r>
      <w:proofErr w:type="spellStart"/>
      <w:r w:rsidRPr="006541E3">
        <w:rPr>
          <w:rFonts w:cstheme="minorHAnsi"/>
          <w:sz w:val="16"/>
          <w:szCs w:val="16"/>
        </w:rPr>
        <w:t>Hadad</w:t>
      </w:r>
      <w:proofErr w:type="spellEnd"/>
      <w:r w:rsidRPr="006541E3">
        <w:rPr>
          <w:rFonts w:cstheme="minorHAnsi"/>
          <w:sz w:val="16"/>
          <w:szCs w:val="16"/>
        </w:rPr>
        <w:t xml:space="preserve"> SM, </w:t>
      </w:r>
      <w:proofErr w:type="spellStart"/>
      <w:r w:rsidRPr="006541E3">
        <w:rPr>
          <w:rFonts w:cstheme="minorHAnsi"/>
          <w:sz w:val="16"/>
          <w:szCs w:val="16"/>
        </w:rPr>
        <w:t>Vaidya</w:t>
      </w:r>
      <w:proofErr w:type="spellEnd"/>
      <w:r w:rsidRPr="006541E3">
        <w:rPr>
          <w:rFonts w:cstheme="minorHAnsi"/>
          <w:sz w:val="16"/>
          <w:szCs w:val="16"/>
        </w:rPr>
        <w:t xml:space="preserve"> JS, </w:t>
      </w:r>
      <w:proofErr w:type="spellStart"/>
      <w:r w:rsidRPr="006541E3">
        <w:rPr>
          <w:rFonts w:cstheme="minorHAnsi"/>
          <w:sz w:val="16"/>
          <w:szCs w:val="16"/>
        </w:rPr>
        <w:t>Baker</w:t>
      </w:r>
      <w:proofErr w:type="spellEnd"/>
      <w:r w:rsidRPr="006541E3">
        <w:rPr>
          <w:rFonts w:cstheme="minorHAnsi"/>
          <w:sz w:val="16"/>
          <w:szCs w:val="16"/>
        </w:rPr>
        <w:t xml:space="preserve"> L, </w:t>
      </w:r>
      <w:proofErr w:type="spellStart"/>
      <w:r w:rsidRPr="006541E3">
        <w:rPr>
          <w:rFonts w:cstheme="minorHAnsi"/>
          <w:sz w:val="16"/>
          <w:szCs w:val="16"/>
        </w:rPr>
        <w:t>Koh</w:t>
      </w:r>
      <w:proofErr w:type="spellEnd"/>
      <w:r w:rsidRPr="006541E3">
        <w:rPr>
          <w:rFonts w:cstheme="minorHAnsi"/>
          <w:sz w:val="16"/>
          <w:szCs w:val="16"/>
        </w:rPr>
        <w:t xml:space="preserve"> HC, </w:t>
      </w:r>
      <w:proofErr w:type="spellStart"/>
      <w:r w:rsidRPr="006541E3">
        <w:rPr>
          <w:rFonts w:cstheme="minorHAnsi"/>
          <w:sz w:val="16"/>
          <w:szCs w:val="16"/>
        </w:rPr>
        <w:t>Heron</w:t>
      </w:r>
      <w:proofErr w:type="spellEnd"/>
      <w:r w:rsidRPr="006541E3">
        <w:rPr>
          <w:rFonts w:cstheme="minorHAnsi"/>
          <w:sz w:val="16"/>
          <w:szCs w:val="16"/>
        </w:rPr>
        <w:t xml:space="preserve"> TP, Hussain K, </w:t>
      </w:r>
      <w:proofErr w:type="spellStart"/>
      <w:r w:rsidRPr="006541E3">
        <w:rPr>
          <w:rFonts w:cstheme="minorHAnsi"/>
          <w:sz w:val="16"/>
          <w:szCs w:val="16"/>
        </w:rPr>
        <w:t>Thompson</w:t>
      </w:r>
      <w:proofErr w:type="spellEnd"/>
      <w:r w:rsidRPr="006541E3">
        <w:rPr>
          <w:rFonts w:cstheme="minorHAnsi"/>
          <w:sz w:val="16"/>
          <w:szCs w:val="16"/>
        </w:rPr>
        <w:t xml:space="preserve"> AM. </w:t>
      </w:r>
      <w:proofErr w:type="spellStart"/>
      <w:r w:rsidRPr="006541E3">
        <w:rPr>
          <w:rFonts w:cstheme="minorHAnsi"/>
          <w:sz w:val="16"/>
          <w:szCs w:val="16"/>
        </w:rPr>
        <w:t>Delay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from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symptom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onset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increases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the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conversion</w:t>
      </w:r>
      <w:proofErr w:type="spellEnd"/>
      <w:r w:rsidRPr="006541E3">
        <w:rPr>
          <w:rFonts w:cstheme="minorHAnsi"/>
          <w:sz w:val="16"/>
          <w:szCs w:val="16"/>
        </w:rPr>
        <w:t xml:space="preserve"> rate in </w:t>
      </w:r>
      <w:proofErr w:type="spellStart"/>
      <w:r w:rsidRPr="006541E3">
        <w:rPr>
          <w:rFonts w:cstheme="minorHAnsi"/>
          <w:sz w:val="16"/>
          <w:szCs w:val="16"/>
        </w:rPr>
        <w:t>laparoscopic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cholecystectomy</w:t>
      </w:r>
      <w:proofErr w:type="spellEnd"/>
      <w:r w:rsidRPr="006541E3">
        <w:rPr>
          <w:rFonts w:cstheme="minorHAnsi"/>
          <w:sz w:val="16"/>
          <w:szCs w:val="16"/>
        </w:rPr>
        <w:t xml:space="preserve"> for </w:t>
      </w:r>
      <w:proofErr w:type="spellStart"/>
      <w:r w:rsidRPr="006541E3">
        <w:rPr>
          <w:rFonts w:cstheme="minorHAnsi"/>
          <w:sz w:val="16"/>
          <w:szCs w:val="16"/>
        </w:rPr>
        <w:t>acute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cholecystitis</w:t>
      </w:r>
      <w:proofErr w:type="spellEnd"/>
      <w:r w:rsidRPr="006541E3">
        <w:rPr>
          <w:rFonts w:cstheme="minorHAnsi"/>
          <w:sz w:val="16"/>
          <w:szCs w:val="16"/>
        </w:rPr>
        <w:t xml:space="preserve">. </w:t>
      </w:r>
      <w:proofErr w:type="spellStart"/>
      <w:r w:rsidRPr="00172C6A">
        <w:rPr>
          <w:rFonts w:cstheme="minorHAnsi"/>
          <w:sz w:val="16"/>
          <w:szCs w:val="16"/>
        </w:rPr>
        <w:t>World</w:t>
      </w:r>
      <w:proofErr w:type="spellEnd"/>
      <w:r w:rsidRPr="00172C6A">
        <w:rPr>
          <w:rFonts w:cstheme="minorHAnsi"/>
          <w:sz w:val="16"/>
          <w:szCs w:val="16"/>
        </w:rPr>
        <w:t xml:space="preserve"> J </w:t>
      </w:r>
      <w:proofErr w:type="spellStart"/>
      <w:r w:rsidRPr="00172C6A">
        <w:rPr>
          <w:rFonts w:cstheme="minorHAnsi"/>
          <w:sz w:val="16"/>
          <w:szCs w:val="16"/>
        </w:rPr>
        <w:t>Surg</w:t>
      </w:r>
      <w:proofErr w:type="spellEnd"/>
      <w:r w:rsidRPr="00172C6A">
        <w:rPr>
          <w:rFonts w:cstheme="minorHAnsi"/>
          <w:sz w:val="16"/>
          <w:szCs w:val="16"/>
        </w:rPr>
        <w:t>. 2007 Jun;31(6):1298-01</w:t>
      </w:r>
      <w:r w:rsidRPr="006541E3">
        <w:rPr>
          <w:rFonts w:cstheme="minorHAnsi"/>
          <w:sz w:val="16"/>
          <w:szCs w:val="16"/>
        </w:rPr>
        <w:t>.</w:t>
      </w:r>
    </w:p>
    <w:p w:rsidR="00917545" w:rsidRPr="00172C6A" w:rsidRDefault="00917545" w:rsidP="00917545">
      <w:pPr>
        <w:spacing w:after="120" w:line="240" w:lineRule="auto"/>
        <w:ind w:left="425" w:hanging="425"/>
        <w:jc w:val="both"/>
        <w:rPr>
          <w:rFonts w:cstheme="minorHAnsi"/>
          <w:sz w:val="16"/>
          <w:szCs w:val="16"/>
        </w:rPr>
      </w:pPr>
      <w:r w:rsidRPr="00172C6A">
        <w:rPr>
          <w:rFonts w:cstheme="minorHAnsi"/>
          <w:sz w:val="16"/>
          <w:szCs w:val="16"/>
        </w:rPr>
        <w:t xml:space="preserve">20 </w:t>
      </w:r>
      <w:proofErr w:type="spellStart"/>
      <w:r w:rsidRPr="00172C6A">
        <w:rPr>
          <w:rFonts w:cstheme="minorHAnsi"/>
          <w:sz w:val="16"/>
          <w:szCs w:val="16"/>
        </w:rPr>
        <w:t>González</w:t>
      </w:r>
      <w:proofErr w:type="spellEnd"/>
      <w:r w:rsidRPr="00172C6A">
        <w:rPr>
          <w:rFonts w:cstheme="minorHAnsi"/>
          <w:sz w:val="16"/>
          <w:szCs w:val="16"/>
        </w:rPr>
        <w:t>-Rodríguez FJ, Paredes-</w:t>
      </w:r>
      <w:proofErr w:type="spellStart"/>
      <w:r w:rsidRPr="00172C6A">
        <w:rPr>
          <w:rFonts w:cstheme="minorHAnsi"/>
          <w:sz w:val="16"/>
          <w:szCs w:val="16"/>
        </w:rPr>
        <w:t>Cotoré</w:t>
      </w:r>
      <w:proofErr w:type="spellEnd"/>
      <w:r w:rsidRPr="00172C6A">
        <w:rPr>
          <w:rFonts w:cstheme="minorHAnsi"/>
          <w:sz w:val="16"/>
          <w:szCs w:val="16"/>
        </w:rPr>
        <w:t xml:space="preserve"> JP, </w:t>
      </w:r>
      <w:proofErr w:type="spellStart"/>
      <w:r w:rsidRPr="00172C6A">
        <w:rPr>
          <w:rFonts w:cstheme="minorHAnsi"/>
          <w:sz w:val="16"/>
          <w:szCs w:val="16"/>
        </w:rPr>
        <w:t>Pontón</w:t>
      </w:r>
      <w:proofErr w:type="spellEnd"/>
      <w:r w:rsidRPr="00172C6A">
        <w:rPr>
          <w:rFonts w:cstheme="minorHAnsi"/>
          <w:sz w:val="16"/>
          <w:szCs w:val="16"/>
        </w:rPr>
        <w:t xml:space="preserve"> C, Rojo Y, Flores E, </w:t>
      </w:r>
      <w:proofErr w:type="spellStart"/>
      <w:r w:rsidRPr="00172C6A">
        <w:rPr>
          <w:rFonts w:cstheme="minorHAnsi"/>
          <w:sz w:val="16"/>
          <w:szCs w:val="16"/>
        </w:rPr>
        <w:t>Luis</w:t>
      </w:r>
      <w:proofErr w:type="spellEnd"/>
      <w:r w:rsidRPr="00172C6A">
        <w:rPr>
          <w:rFonts w:cstheme="minorHAnsi"/>
          <w:sz w:val="16"/>
          <w:szCs w:val="16"/>
        </w:rPr>
        <w:t>-Calo ES, Barreiro-</w:t>
      </w:r>
      <w:proofErr w:type="spellStart"/>
      <w:r w:rsidRPr="00172C6A">
        <w:rPr>
          <w:rFonts w:cstheme="minorHAnsi"/>
          <w:sz w:val="16"/>
          <w:szCs w:val="16"/>
        </w:rPr>
        <w:t>Morandeira</w:t>
      </w:r>
      <w:proofErr w:type="spellEnd"/>
      <w:r w:rsidRPr="00172C6A">
        <w:rPr>
          <w:rFonts w:cstheme="minorHAnsi"/>
          <w:sz w:val="16"/>
          <w:szCs w:val="16"/>
        </w:rPr>
        <w:t xml:space="preserve"> F, </w:t>
      </w:r>
      <w:proofErr w:type="spellStart"/>
      <w:r w:rsidRPr="00172C6A">
        <w:rPr>
          <w:rFonts w:cstheme="minorHAnsi"/>
          <w:sz w:val="16"/>
          <w:szCs w:val="16"/>
        </w:rPr>
        <w:t>Punal</w:t>
      </w:r>
      <w:proofErr w:type="spellEnd"/>
      <w:r w:rsidRPr="00172C6A">
        <w:rPr>
          <w:rFonts w:cstheme="minorHAnsi"/>
          <w:sz w:val="16"/>
          <w:szCs w:val="16"/>
        </w:rPr>
        <w:t xml:space="preserve"> JA, Fernández A, </w:t>
      </w:r>
      <w:proofErr w:type="spellStart"/>
      <w:r w:rsidRPr="00172C6A">
        <w:rPr>
          <w:rFonts w:cstheme="minorHAnsi"/>
          <w:sz w:val="16"/>
          <w:szCs w:val="16"/>
        </w:rPr>
        <w:t>Paulos</w:t>
      </w:r>
      <w:proofErr w:type="spellEnd"/>
      <w:r w:rsidRPr="00172C6A">
        <w:rPr>
          <w:rFonts w:cstheme="minorHAnsi"/>
          <w:sz w:val="16"/>
          <w:szCs w:val="16"/>
        </w:rPr>
        <w:t xml:space="preserve"> A, Santos F, Cainzos M. </w:t>
      </w:r>
      <w:proofErr w:type="spellStart"/>
      <w:r w:rsidRPr="00172C6A">
        <w:rPr>
          <w:rFonts w:cstheme="minorHAnsi"/>
          <w:sz w:val="16"/>
          <w:szCs w:val="16"/>
        </w:rPr>
        <w:t>Early</w:t>
      </w:r>
      <w:proofErr w:type="spellEnd"/>
      <w:r w:rsidRPr="00172C6A">
        <w:rPr>
          <w:rFonts w:cstheme="minorHAnsi"/>
          <w:sz w:val="16"/>
          <w:szCs w:val="16"/>
        </w:rPr>
        <w:t xml:space="preserve"> </w:t>
      </w:r>
      <w:proofErr w:type="spellStart"/>
      <w:r w:rsidRPr="00172C6A">
        <w:rPr>
          <w:rFonts w:cstheme="minorHAnsi"/>
          <w:sz w:val="16"/>
          <w:szCs w:val="16"/>
        </w:rPr>
        <w:t>or</w:t>
      </w:r>
      <w:proofErr w:type="spellEnd"/>
      <w:r w:rsidRPr="00172C6A">
        <w:rPr>
          <w:rFonts w:cstheme="minorHAnsi"/>
          <w:sz w:val="16"/>
          <w:szCs w:val="16"/>
        </w:rPr>
        <w:t xml:space="preserve"> </w:t>
      </w:r>
      <w:proofErr w:type="spellStart"/>
      <w:r w:rsidRPr="00172C6A">
        <w:rPr>
          <w:rFonts w:cstheme="minorHAnsi"/>
          <w:sz w:val="16"/>
          <w:szCs w:val="16"/>
        </w:rPr>
        <w:t>delayed</w:t>
      </w:r>
      <w:proofErr w:type="spellEnd"/>
      <w:r w:rsidRPr="00172C6A">
        <w:rPr>
          <w:rFonts w:cstheme="minorHAnsi"/>
          <w:sz w:val="16"/>
          <w:szCs w:val="16"/>
        </w:rPr>
        <w:t xml:space="preserve"> </w:t>
      </w:r>
      <w:proofErr w:type="spellStart"/>
      <w:r w:rsidRPr="00172C6A">
        <w:rPr>
          <w:rFonts w:cstheme="minorHAnsi"/>
          <w:sz w:val="16"/>
          <w:szCs w:val="16"/>
        </w:rPr>
        <w:t>laparoscopic</w:t>
      </w:r>
      <w:proofErr w:type="spellEnd"/>
      <w:r w:rsidRPr="00172C6A">
        <w:rPr>
          <w:rFonts w:cstheme="minorHAnsi"/>
          <w:sz w:val="16"/>
          <w:szCs w:val="16"/>
        </w:rPr>
        <w:t xml:space="preserve"> </w:t>
      </w:r>
      <w:proofErr w:type="spellStart"/>
      <w:r w:rsidRPr="00172C6A">
        <w:rPr>
          <w:rFonts w:cstheme="minorHAnsi"/>
          <w:sz w:val="16"/>
          <w:szCs w:val="16"/>
        </w:rPr>
        <w:t>cholecystectomy</w:t>
      </w:r>
      <w:proofErr w:type="spellEnd"/>
      <w:r w:rsidRPr="00172C6A">
        <w:rPr>
          <w:rFonts w:cstheme="minorHAnsi"/>
          <w:sz w:val="16"/>
          <w:szCs w:val="16"/>
        </w:rPr>
        <w:t xml:space="preserve"> in </w:t>
      </w:r>
      <w:proofErr w:type="spellStart"/>
      <w:r w:rsidRPr="00172C6A">
        <w:rPr>
          <w:rFonts w:cstheme="minorHAnsi"/>
          <w:sz w:val="16"/>
          <w:szCs w:val="16"/>
        </w:rPr>
        <w:t>acute</w:t>
      </w:r>
      <w:proofErr w:type="spellEnd"/>
      <w:r w:rsidRPr="00172C6A">
        <w:rPr>
          <w:rFonts w:cstheme="minorHAnsi"/>
          <w:sz w:val="16"/>
          <w:szCs w:val="16"/>
        </w:rPr>
        <w:t xml:space="preserve"> </w:t>
      </w:r>
      <w:proofErr w:type="spellStart"/>
      <w:r w:rsidRPr="00172C6A">
        <w:rPr>
          <w:rFonts w:cstheme="minorHAnsi"/>
          <w:sz w:val="16"/>
          <w:szCs w:val="16"/>
        </w:rPr>
        <w:t>cholecystitis</w:t>
      </w:r>
      <w:proofErr w:type="spellEnd"/>
      <w:r w:rsidRPr="00172C6A">
        <w:rPr>
          <w:rFonts w:cstheme="minorHAnsi"/>
          <w:sz w:val="16"/>
          <w:szCs w:val="16"/>
        </w:rPr>
        <w:t xml:space="preserve">? </w:t>
      </w:r>
      <w:proofErr w:type="spellStart"/>
      <w:r w:rsidRPr="00172C6A">
        <w:rPr>
          <w:rFonts w:cstheme="minorHAnsi"/>
          <w:sz w:val="16"/>
          <w:szCs w:val="16"/>
        </w:rPr>
        <w:t>Conclusions</w:t>
      </w:r>
      <w:proofErr w:type="spellEnd"/>
      <w:r w:rsidRPr="00172C6A">
        <w:rPr>
          <w:rFonts w:cstheme="minorHAnsi"/>
          <w:sz w:val="16"/>
          <w:szCs w:val="16"/>
        </w:rPr>
        <w:t xml:space="preserve"> </w:t>
      </w:r>
      <w:proofErr w:type="spellStart"/>
      <w:r w:rsidRPr="00172C6A">
        <w:rPr>
          <w:rFonts w:cstheme="minorHAnsi"/>
          <w:sz w:val="16"/>
          <w:szCs w:val="16"/>
        </w:rPr>
        <w:t>of</w:t>
      </w:r>
      <w:proofErr w:type="spellEnd"/>
      <w:r w:rsidRPr="00172C6A">
        <w:rPr>
          <w:rFonts w:cstheme="minorHAnsi"/>
          <w:sz w:val="16"/>
          <w:szCs w:val="16"/>
        </w:rPr>
        <w:t xml:space="preserve"> a </w:t>
      </w:r>
      <w:proofErr w:type="spellStart"/>
      <w:r w:rsidRPr="00172C6A">
        <w:rPr>
          <w:rFonts w:cstheme="minorHAnsi"/>
          <w:sz w:val="16"/>
          <w:szCs w:val="16"/>
        </w:rPr>
        <w:t>controlled</w:t>
      </w:r>
      <w:proofErr w:type="spellEnd"/>
      <w:r w:rsidRPr="00172C6A">
        <w:rPr>
          <w:rFonts w:cstheme="minorHAnsi"/>
          <w:sz w:val="16"/>
          <w:szCs w:val="16"/>
        </w:rPr>
        <w:t xml:space="preserve"> trial. Hepatogastroenterology. 2009 Jan-Feb;56(89):11-6.</w:t>
      </w:r>
    </w:p>
    <w:p w:rsidR="00917545" w:rsidRPr="006541E3" w:rsidRDefault="00917545" w:rsidP="00917545">
      <w:pPr>
        <w:spacing w:after="120" w:line="240" w:lineRule="auto"/>
        <w:ind w:left="425" w:hanging="425"/>
        <w:jc w:val="both"/>
        <w:rPr>
          <w:rFonts w:cstheme="minorHAnsi"/>
          <w:sz w:val="16"/>
          <w:szCs w:val="16"/>
        </w:rPr>
      </w:pPr>
      <w:r w:rsidRPr="00172C6A">
        <w:rPr>
          <w:rFonts w:cstheme="minorHAnsi"/>
          <w:sz w:val="16"/>
          <w:szCs w:val="16"/>
        </w:rPr>
        <w:t xml:space="preserve">21 Araújo Teixeira, J. P., Saraiva, A. C., Costa Cabral, A., Barros, H., Rocha Reis, J., Araújo Teixeira, A. </w:t>
      </w:r>
      <w:proofErr w:type="spellStart"/>
      <w:r w:rsidRPr="00172C6A">
        <w:rPr>
          <w:rFonts w:cstheme="minorHAnsi"/>
          <w:sz w:val="16"/>
          <w:szCs w:val="16"/>
        </w:rPr>
        <w:t>Conversion</w:t>
      </w:r>
      <w:proofErr w:type="spellEnd"/>
      <w:r w:rsidRPr="00172C6A">
        <w:rPr>
          <w:rFonts w:cstheme="minorHAnsi"/>
          <w:sz w:val="16"/>
          <w:szCs w:val="16"/>
        </w:rPr>
        <w:t xml:space="preserve"> </w:t>
      </w:r>
      <w:proofErr w:type="spellStart"/>
      <w:r w:rsidRPr="00172C6A">
        <w:rPr>
          <w:rFonts w:cstheme="minorHAnsi"/>
          <w:sz w:val="16"/>
          <w:szCs w:val="16"/>
        </w:rPr>
        <w:t>factors</w:t>
      </w:r>
      <w:proofErr w:type="spellEnd"/>
      <w:r w:rsidRPr="00172C6A">
        <w:rPr>
          <w:rFonts w:cstheme="minorHAnsi"/>
          <w:sz w:val="16"/>
          <w:szCs w:val="16"/>
        </w:rPr>
        <w:t xml:space="preserve"> in </w:t>
      </w:r>
      <w:proofErr w:type="spellStart"/>
      <w:r w:rsidRPr="00172C6A">
        <w:rPr>
          <w:rFonts w:cstheme="minorHAnsi"/>
          <w:sz w:val="16"/>
          <w:szCs w:val="16"/>
        </w:rPr>
        <w:t>laparoscopic</w:t>
      </w:r>
      <w:proofErr w:type="spellEnd"/>
      <w:r w:rsidRPr="00172C6A">
        <w:rPr>
          <w:rFonts w:cstheme="minorHAnsi"/>
          <w:sz w:val="16"/>
          <w:szCs w:val="16"/>
        </w:rPr>
        <w:t xml:space="preserve"> </w:t>
      </w:r>
      <w:proofErr w:type="spellStart"/>
      <w:r w:rsidRPr="00172C6A">
        <w:rPr>
          <w:rFonts w:cstheme="minorHAnsi"/>
          <w:sz w:val="16"/>
          <w:szCs w:val="16"/>
        </w:rPr>
        <w:t>cholecystectomy</w:t>
      </w:r>
      <w:proofErr w:type="spellEnd"/>
      <w:r w:rsidRPr="00172C6A">
        <w:rPr>
          <w:rFonts w:cstheme="minorHAnsi"/>
          <w:sz w:val="16"/>
          <w:szCs w:val="16"/>
        </w:rPr>
        <w:t xml:space="preserve"> for </w:t>
      </w:r>
      <w:proofErr w:type="spellStart"/>
      <w:r w:rsidRPr="00172C6A">
        <w:rPr>
          <w:rFonts w:cstheme="minorHAnsi"/>
          <w:sz w:val="16"/>
          <w:szCs w:val="16"/>
        </w:rPr>
        <w:t>acute</w:t>
      </w:r>
      <w:proofErr w:type="spellEnd"/>
      <w:r w:rsidRPr="00172C6A">
        <w:rPr>
          <w:rFonts w:cstheme="minorHAnsi"/>
          <w:sz w:val="16"/>
          <w:szCs w:val="16"/>
        </w:rPr>
        <w:t xml:space="preserve"> </w:t>
      </w:r>
      <w:proofErr w:type="spellStart"/>
      <w:r w:rsidRPr="00172C6A">
        <w:rPr>
          <w:rFonts w:cstheme="minorHAnsi"/>
          <w:sz w:val="16"/>
          <w:szCs w:val="16"/>
        </w:rPr>
        <w:t>cholecystitis</w:t>
      </w:r>
      <w:proofErr w:type="spellEnd"/>
      <w:r w:rsidRPr="00172C6A">
        <w:rPr>
          <w:rFonts w:cstheme="minorHAnsi"/>
          <w:sz w:val="16"/>
          <w:szCs w:val="16"/>
        </w:rPr>
        <w:t xml:space="preserve">. </w:t>
      </w:r>
      <w:r w:rsidRPr="006541E3">
        <w:rPr>
          <w:rFonts w:cstheme="minorHAnsi"/>
          <w:sz w:val="16"/>
          <w:szCs w:val="16"/>
        </w:rPr>
        <w:t>Hepatogastroenterology, 2000; 47(33): 626-630.</w:t>
      </w:r>
    </w:p>
    <w:p w:rsidR="00917545" w:rsidRPr="006541E3" w:rsidRDefault="00917545" w:rsidP="00917545">
      <w:pPr>
        <w:spacing w:after="120" w:line="240" w:lineRule="auto"/>
        <w:ind w:left="425" w:hanging="425"/>
        <w:jc w:val="both"/>
        <w:rPr>
          <w:rFonts w:cstheme="minorHAnsi"/>
          <w:sz w:val="16"/>
          <w:szCs w:val="16"/>
        </w:rPr>
      </w:pPr>
      <w:r w:rsidRPr="006541E3">
        <w:rPr>
          <w:rFonts w:cstheme="minorHAnsi"/>
          <w:sz w:val="16"/>
          <w:szCs w:val="16"/>
        </w:rPr>
        <w:t xml:space="preserve">22 </w:t>
      </w:r>
      <w:proofErr w:type="spellStart"/>
      <w:r w:rsidRPr="006541E3">
        <w:rPr>
          <w:rFonts w:cstheme="minorHAnsi"/>
          <w:sz w:val="16"/>
          <w:szCs w:val="16"/>
        </w:rPr>
        <w:t>Greenwald</w:t>
      </w:r>
      <w:proofErr w:type="spellEnd"/>
      <w:r w:rsidRPr="006541E3">
        <w:rPr>
          <w:rFonts w:cstheme="minorHAnsi"/>
          <w:sz w:val="16"/>
          <w:szCs w:val="16"/>
        </w:rPr>
        <w:t xml:space="preserve"> JA, </w:t>
      </w:r>
      <w:proofErr w:type="spellStart"/>
      <w:r w:rsidRPr="006541E3">
        <w:rPr>
          <w:rFonts w:cstheme="minorHAnsi"/>
          <w:sz w:val="16"/>
          <w:szCs w:val="16"/>
        </w:rPr>
        <w:t>McMullen</w:t>
      </w:r>
      <w:proofErr w:type="spellEnd"/>
      <w:r w:rsidRPr="006541E3">
        <w:rPr>
          <w:rFonts w:cstheme="minorHAnsi"/>
          <w:sz w:val="16"/>
          <w:szCs w:val="16"/>
        </w:rPr>
        <w:t xml:space="preserve"> HF, </w:t>
      </w:r>
      <w:proofErr w:type="spellStart"/>
      <w:r w:rsidRPr="006541E3">
        <w:rPr>
          <w:rFonts w:cstheme="minorHAnsi"/>
          <w:sz w:val="16"/>
          <w:szCs w:val="16"/>
        </w:rPr>
        <w:t>Coppa</w:t>
      </w:r>
      <w:proofErr w:type="spellEnd"/>
      <w:r w:rsidRPr="006541E3">
        <w:rPr>
          <w:rFonts w:cstheme="minorHAnsi"/>
          <w:sz w:val="16"/>
          <w:szCs w:val="16"/>
        </w:rPr>
        <w:t xml:space="preserve"> GF, Newman RM. </w:t>
      </w:r>
      <w:proofErr w:type="spellStart"/>
      <w:r w:rsidRPr="006541E3">
        <w:rPr>
          <w:rFonts w:cstheme="minorHAnsi"/>
          <w:sz w:val="16"/>
          <w:szCs w:val="16"/>
        </w:rPr>
        <w:t>Standardization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of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surgeon-controlled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variables</w:t>
      </w:r>
      <w:proofErr w:type="spellEnd"/>
      <w:r w:rsidRPr="006541E3">
        <w:rPr>
          <w:rFonts w:cstheme="minorHAnsi"/>
          <w:sz w:val="16"/>
          <w:szCs w:val="16"/>
        </w:rPr>
        <w:t xml:space="preserve">: </w:t>
      </w:r>
      <w:proofErr w:type="spellStart"/>
      <w:r w:rsidRPr="006541E3">
        <w:rPr>
          <w:rFonts w:cstheme="minorHAnsi"/>
          <w:sz w:val="16"/>
          <w:szCs w:val="16"/>
        </w:rPr>
        <w:t>impact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on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outcome</w:t>
      </w:r>
      <w:proofErr w:type="spellEnd"/>
      <w:r w:rsidRPr="006541E3">
        <w:rPr>
          <w:rFonts w:cstheme="minorHAnsi"/>
          <w:sz w:val="16"/>
          <w:szCs w:val="16"/>
        </w:rPr>
        <w:t xml:space="preserve"> in </w:t>
      </w:r>
      <w:proofErr w:type="spellStart"/>
      <w:r w:rsidRPr="006541E3">
        <w:rPr>
          <w:rFonts w:cstheme="minorHAnsi"/>
          <w:sz w:val="16"/>
          <w:szCs w:val="16"/>
        </w:rPr>
        <w:t>patients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with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acute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cholecystitis</w:t>
      </w:r>
      <w:proofErr w:type="spellEnd"/>
      <w:r w:rsidRPr="006541E3">
        <w:rPr>
          <w:rFonts w:cstheme="minorHAnsi"/>
          <w:sz w:val="16"/>
          <w:szCs w:val="16"/>
        </w:rPr>
        <w:t xml:space="preserve">. </w:t>
      </w:r>
      <w:proofErr w:type="spellStart"/>
      <w:r w:rsidRPr="006541E3">
        <w:rPr>
          <w:rFonts w:cstheme="minorHAnsi"/>
          <w:sz w:val="16"/>
          <w:szCs w:val="16"/>
        </w:rPr>
        <w:t>Ann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Surg</w:t>
      </w:r>
      <w:proofErr w:type="spellEnd"/>
      <w:r w:rsidRPr="006541E3">
        <w:rPr>
          <w:rFonts w:cstheme="minorHAnsi"/>
          <w:sz w:val="16"/>
          <w:szCs w:val="16"/>
        </w:rPr>
        <w:t>. 2000 Mar;</w:t>
      </w:r>
      <w:r w:rsidR="001A7366">
        <w:rPr>
          <w:rFonts w:cstheme="minorHAnsi"/>
          <w:sz w:val="16"/>
          <w:szCs w:val="16"/>
        </w:rPr>
        <w:t xml:space="preserve"> </w:t>
      </w:r>
      <w:r w:rsidRPr="006541E3">
        <w:rPr>
          <w:rFonts w:cstheme="minorHAnsi"/>
          <w:sz w:val="16"/>
          <w:szCs w:val="16"/>
        </w:rPr>
        <w:t>231(3):339-44.</w:t>
      </w:r>
    </w:p>
    <w:p w:rsidR="00917545" w:rsidRPr="006541E3" w:rsidRDefault="00917545" w:rsidP="00917545">
      <w:pPr>
        <w:spacing w:after="120" w:line="240" w:lineRule="auto"/>
        <w:ind w:left="425" w:hanging="425"/>
        <w:jc w:val="both"/>
        <w:rPr>
          <w:rFonts w:cstheme="minorHAnsi"/>
          <w:sz w:val="16"/>
          <w:szCs w:val="16"/>
        </w:rPr>
      </w:pPr>
      <w:r w:rsidRPr="006541E3">
        <w:rPr>
          <w:rFonts w:cstheme="minorHAnsi"/>
          <w:sz w:val="16"/>
          <w:szCs w:val="16"/>
        </w:rPr>
        <w:t xml:space="preserve">23 </w:t>
      </w:r>
      <w:proofErr w:type="spellStart"/>
      <w:r w:rsidRPr="006541E3">
        <w:rPr>
          <w:rFonts w:cstheme="minorHAnsi"/>
          <w:sz w:val="16"/>
          <w:szCs w:val="16"/>
        </w:rPr>
        <w:t>Kirsten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Kortram</w:t>
      </w:r>
      <w:proofErr w:type="spellEnd"/>
      <w:r w:rsidRPr="006541E3">
        <w:rPr>
          <w:rFonts w:cstheme="minorHAnsi"/>
          <w:sz w:val="16"/>
          <w:szCs w:val="16"/>
        </w:rPr>
        <w:t xml:space="preserve">, Jan </w:t>
      </w:r>
      <w:proofErr w:type="spellStart"/>
      <w:r w:rsidRPr="006541E3">
        <w:rPr>
          <w:rFonts w:cstheme="minorHAnsi"/>
          <w:sz w:val="16"/>
          <w:szCs w:val="16"/>
        </w:rPr>
        <w:t>Siert</w:t>
      </w:r>
      <w:proofErr w:type="spellEnd"/>
      <w:r w:rsidRPr="006541E3">
        <w:rPr>
          <w:rFonts w:cstheme="minorHAnsi"/>
          <w:sz w:val="16"/>
          <w:szCs w:val="16"/>
        </w:rPr>
        <w:t xml:space="preserve"> K. </w:t>
      </w:r>
      <w:proofErr w:type="spellStart"/>
      <w:r w:rsidRPr="006541E3">
        <w:rPr>
          <w:rFonts w:cstheme="minorHAnsi"/>
          <w:sz w:val="16"/>
          <w:szCs w:val="16"/>
        </w:rPr>
        <w:t>Reinders</w:t>
      </w:r>
      <w:proofErr w:type="spellEnd"/>
      <w:r w:rsidRPr="006541E3">
        <w:rPr>
          <w:rFonts w:cstheme="minorHAnsi"/>
          <w:sz w:val="16"/>
          <w:szCs w:val="16"/>
        </w:rPr>
        <w:t xml:space="preserve">, Bert van </w:t>
      </w:r>
      <w:proofErr w:type="spellStart"/>
      <w:r w:rsidRPr="006541E3">
        <w:rPr>
          <w:rFonts w:cstheme="minorHAnsi"/>
          <w:sz w:val="16"/>
          <w:szCs w:val="16"/>
        </w:rPr>
        <w:t>Ramshorst</w:t>
      </w:r>
      <w:proofErr w:type="spellEnd"/>
      <w:r w:rsidRPr="006541E3">
        <w:rPr>
          <w:rFonts w:cstheme="minorHAnsi"/>
          <w:sz w:val="16"/>
          <w:szCs w:val="16"/>
        </w:rPr>
        <w:t xml:space="preserve">, </w:t>
      </w:r>
      <w:proofErr w:type="spellStart"/>
      <w:r w:rsidRPr="006541E3">
        <w:rPr>
          <w:rFonts w:cstheme="minorHAnsi"/>
          <w:sz w:val="16"/>
          <w:szCs w:val="16"/>
        </w:rPr>
        <w:t>Marinus</w:t>
      </w:r>
      <w:proofErr w:type="spellEnd"/>
      <w:r w:rsidRPr="006541E3">
        <w:rPr>
          <w:rFonts w:cstheme="minorHAnsi"/>
          <w:sz w:val="16"/>
          <w:szCs w:val="16"/>
        </w:rPr>
        <w:t xml:space="preserve"> J. </w:t>
      </w:r>
      <w:proofErr w:type="spellStart"/>
      <w:r w:rsidRPr="006541E3">
        <w:rPr>
          <w:rFonts w:cstheme="minorHAnsi"/>
          <w:sz w:val="16"/>
          <w:szCs w:val="16"/>
        </w:rPr>
        <w:t>Wiezer</w:t>
      </w:r>
      <w:proofErr w:type="spellEnd"/>
      <w:r w:rsidRPr="006541E3">
        <w:rPr>
          <w:rFonts w:cstheme="minorHAnsi"/>
          <w:sz w:val="16"/>
          <w:szCs w:val="16"/>
        </w:rPr>
        <w:t xml:space="preserve">, Peter M.N.Y.H. </w:t>
      </w:r>
      <w:proofErr w:type="spellStart"/>
      <w:r w:rsidRPr="006541E3">
        <w:rPr>
          <w:rFonts w:cstheme="minorHAnsi"/>
          <w:sz w:val="16"/>
          <w:szCs w:val="16"/>
        </w:rPr>
        <w:t>Go</w:t>
      </w:r>
      <w:proofErr w:type="spellEnd"/>
      <w:r w:rsidRPr="006541E3">
        <w:rPr>
          <w:rFonts w:cstheme="minorHAnsi"/>
          <w:sz w:val="16"/>
          <w:szCs w:val="16"/>
        </w:rPr>
        <w:t xml:space="preserve">, Djamila </w:t>
      </w:r>
      <w:proofErr w:type="spellStart"/>
      <w:r w:rsidRPr="006541E3">
        <w:rPr>
          <w:rFonts w:cstheme="minorHAnsi"/>
          <w:sz w:val="16"/>
          <w:szCs w:val="16"/>
        </w:rPr>
        <w:t>Boerma</w:t>
      </w:r>
      <w:proofErr w:type="spellEnd"/>
      <w:r w:rsidRPr="006541E3">
        <w:rPr>
          <w:rFonts w:cstheme="minorHAnsi"/>
          <w:sz w:val="16"/>
          <w:szCs w:val="16"/>
        </w:rPr>
        <w:t xml:space="preserve">. </w:t>
      </w:r>
      <w:proofErr w:type="spellStart"/>
      <w:r w:rsidRPr="006541E3">
        <w:rPr>
          <w:rFonts w:cstheme="minorHAnsi"/>
          <w:sz w:val="16"/>
          <w:szCs w:val="16"/>
        </w:rPr>
        <w:t>Laparoscopic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cholecystectomy</w:t>
      </w:r>
      <w:proofErr w:type="spellEnd"/>
      <w:r w:rsidRPr="006541E3">
        <w:rPr>
          <w:rFonts w:cstheme="minorHAnsi"/>
          <w:sz w:val="16"/>
          <w:szCs w:val="16"/>
        </w:rPr>
        <w:t xml:space="preserve"> for </w:t>
      </w:r>
      <w:proofErr w:type="spellStart"/>
      <w:r w:rsidRPr="006541E3">
        <w:rPr>
          <w:rFonts w:cstheme="minorHAnsi"/>
          <w:sz w:val="16"/>
          <w:szCs w:val="16"/>
        </w:rPr>
        <w:t>acute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cholecystitis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should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be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performed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by</w:t>
      </w:r>
      <w:proofErr w:type="spellEnd"/>
      <w:r w:rsidRPr="006541E3">
        <w:rPr>
          <w:rFonts w:cstheme="minorHAnsi"/>
          <w:sz w:val="16"/>
          <w:szCs w:val="16"/>
        </w:rPr>
        <w:t xml:space="preserve"> a </w:t>
      </w:r>
      <w:proofErr w:type="spellStart"/>
      <w:r w:rsidRPr="006541E3">
        <w:rPr>
          <w:rFonts w:cstheme="minorHAnsi"/>
          <w:sz w:val="16"/>
          <w:szCs w:val="16"/>
        </w:rPr>
        <w:t>laparoscopic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surgeon</w:t>
      </w:r>
      <w:proofErr w:type="spellEnd"/>
      <w:r w:rsidRPr="006541E3">
        <w:rPr>
          <w:rFonts w:cstheme="minorHAnsi"/>
          <w:sz w:val="16"/>
          <w:szCs w:val="16"/>
        </w:rPr>
        <w:t xml:space="preserve">. </w:t>
      </w:r>
      <w:proofErr w:type="spellStart"/>
      <w:r w:rsidRPr="006541E3">
        <w:rPr>
          <w:rFonts w:cstheme="minorHAnsi"/>
          <w:sz w:val="16"/>
          <w:szCs w:val="16"/>
        </w:rPr>
        <w:t>Surgical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Endoscopy</w:t>
      </w:r>
      <w:proofErr w:type="spellEnd"/>
      <w:r w:rsidRPr="006541E3">
        <w:rPr>
          <w:rFonts w:cstheme="minorHAnsi"/>
          <w:sz w:val="16"/>
          <w:szCs w:val="16"/>
        </w:rPr>
        <w:t xml:space="preserve"> 2010 ; 24 : 2206–2209</w:t>
      </w:r>
    </w:p>
    <w:p w:rsidR="00917545" w:rsidRPr="006541E3" w:rsidRDefault="00917545" w:rsidP="00917545">
      <w:pPr>
        <w:spacing w:after="120" w:line="240" w:lineRule="auto"/>
        <w:ind w:left="425" w:hanging="425"/>
        <w:jc w:val="both"/>
        <w:rPr>
          <w:rFonts w:cstheme="minorHAnsi"/>
          <w:sz w:val="16"/>
          <w:szCs w:val="16"/>
        </w:rPr>
      </w:pPr>
      <w:r w:rsidRPr="006541E3">
        <w:rPr>
          <w:rFonts w:cstheme="minorHAnsi"/>
          <w:sz w:val="16"/>
          <w:szCs w:val="16"/>
        </w:rPr>
        <w:t xml:space="preserve">24 </w:t>
      </w:r>
      <w:proofErr w:type="spellStart"/>
      <w:r w:rsidRPr="006541E3">
        <w:rPr>
          <w:rFonts w:cstheme="minorHAnsi"/>
          <w:sz w:val="16"/>
          <w:szCs w:val="16"/>
        </w:rPr>
        <w:t>Simorov</w:t>
      </w:r>
      <w:proofErr w:type="spellEnd"/>
      <w:r w:rsidRPr="006541E3">
        <w:rPr>
          <w:rFonts w:cstheme="minorHAnsi"/>
          <w:sz w:val="16"/>
          <w:szCs w:val="16"/>
        </w:rPr>
        <w:t xml:space="preserve"> A, </w:t>
      </w:r>
      <w:proofErr w:type="spellStart"/>
      <w:r w:rsidRPr="006541E3">
        <w:rPr>
          <w:rFonts w:cstheme="minorHAnsi"/>
          <w:sz w:val="16"/>
          <w:szCs w:val="16"/>
        </w:rPr>
        <w:t>Ranade</w:t>
      </w:r>
      <w:proofErr w:type="spellEnd"/>
      <w:r w:rsidRPr="006541E3">
        <w:rPr>
          <w:rFonts w:cstheme="minorHAnsi"/>
          <w:sz w:val="16"/>
          <w:szCs w:val="16"/>
        </w:rPr>
        <w:t xml:space="preserve"> A, </w:t>
      </w:r>
      <w:proofErr w:type="spellStart"/>
      <w:r w:rsidRPr="006541E3">
        <w:rPr>
          <w:rFonts w:cstheme="minorHAnsi"/>
          <w:sz w:val="16"/>
          <w:szCs w:val="16"/>
        </w:rPr>
        <w:t>Parcells</w:t>
      </w:r>
      <w:proofErr w:type="spellEnd"/>
      <w:r w:rsidRPr="006541E3">
        <w:rPr>
          <w:rFonts w:cstheme="minorHAnsi"/>
          <w:sz w:val="16"/>
          <w:szCs w:val="16"/>
        </w:rPr>
        <w:t xml:space="preserve"> J, </w:t>
      </w:r>
      <w:proofErr w:type="spellStart"/>
      <w:r w:rsidRPr="006541E3">
        <w:rPr>
          <w:rFonts w:cstheme="minorHAnsi"/>
          <w:sz w:val="16"/>
          <w:szCs w:val="16"/>
        </w:rPr>
        <w:t>Shaligram</w:t>
      </w:r>
      <w:proofErr w:type="spellEnd"/>
      <w:r w:rsidRPr="006541E3">
        <w:rPr>
          <w:rFonts w:cstheme="minorHAnsi"/>
          <w:sz w:val="16"/>
          <w:szCs w:val="16"/>
        </w:rPr>
        <w:t xml:space="preserve"> A, </w:t>
      </w:r>
      <w:proofErr w:type="spellStart"/>
      <w:r w:rsidRPr="006541E3">
        <w:rPr>
          <w:rFonts w:cstheme="minorHAnsi"/>
          <w:sz w:val="16"/>
          <w:szCs w:val="16"/>
        </w:rPr>
        <w:t>Shostrom</w:t>
      </w:r>
      <w:proofErr w:type="spellEnd"/>
      <w:r w:rsidRPr="006541E3">
        <w:rPr>
          <w:rFonts w:cstheme="minorHAnsi"/>
          <w:sz w:val="16"/>
          <w:szCs w:val="16"/>
        </w:rPr>
        <w:t xml:space="preserve"> V, </w:t>
      </w:r>
      <w:proofErr w:type="spellStart"/>
      <w:r w:rsidRPr="006541E3">
        <w:rPr>
          <w:rFonts w:cstheme="minorHAnsi"/>
          <w:sz w:val="16"/>
          <w:szCs w:val="16"/>
        </w:rPr>
        <w:t>Boilesen</w:t>
      </w:r>
      <w:proofErr w:type="spellEnd"/>
      <w:r w:rsidRPr="006541E3">
        <w:rPr>
          <w:rFonts w:cstheme="minorHAnsi"/>
          <w:sz w:val="16"/>
          <w:szCs w:val="16"/>
        </w:rPr>
        <w:t xml:space="preserve"> E, </w:t>
      </w:r>
      <w:proofErr w:type="spellStart"/>
      <w:r w:rsidRPr="006541E3">
        <w:rPr>
          <w:rFonts w:cstheme="minorHAnsi"/>
          <w:sz w:val="16"/>
          <w:szCs w:val="16"/>
        </w:rPr>
        <w:t>Goede</w:t>
      </w:r>
      <w:proofErr w:type="spellEnd"/>
      <w:r w:rsidRPr="006541E3">
        <w:rPr>
          <w:rFonts w:cstheme="minorHAnsi"/>
          <w:sz w:val="16"/>
          <w:szCs w:val="16"/>
        </w:rPr>
        <w:t xml:space="preserve"> M, </w:t>
      </w:r>
      <w:proofErr w:type="spellStart"/>
      <w:r w:rsidRPr="006541E3">
        <w:rPr>
          <w:rFonts w:cstheme="minorHAnsi"/>
          <w:sz w:val="16"/>
          <w:szCs w:val="16"/>
        </w:rPr>
        <w:t>Oleynikov</w:t>
      </w:r>
      <w:proofErr w:type="spellEnd"/>
      <w:r w:rsidRPr="006541E3">
        <w:rPr>
          <w:rFonts w:cstheme="minorHAnsi"/>
          <w:sz w:val="16"/>
          <w:szCs w:val="16"/>
        </w:rPr>
        <w:t xml:space="preserve"> D. </w:t>
      </w:r>
      <w:proofErr w:type="spellStart"/>
      <w:r w:rsidRPr="006541E3">
        <w:rPr>
          <w:rFonts w:cstheme="minorHAnsi"/>
          <w:sz w:val="16"/>
          <w:szCs w:val="16"/>
        </w:rPr>
        <w:t>Emergent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cholecystostomy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is</w:t>
      </w:r>
      <w:proofErr w:type="spellEnd"/>
      <w:r w:rsidRPr="006541E3">
        <w:rPr>
          <w:rFonts w:cstheme="minorHAnsi"/>
          <w:sz w:val="16"/>
          <w:szCs w:val="16"/>
        </w:rPr>
        <w:t xml:space="preserve"> superior to open </w:t>
      </w:r>
      <w:proofErr w:type="spellStart"/>
      <w:r w:rsidRPr="006541E3">
        <w:rPr>
          <w:rFonts w:cstheme="minorHAnsi"/>
          <w:sz w:val="16"/>
          <w:szCs w:val="16"/>
        </w:rPr>
        <w:t>cholecystectomy</w:t>
      </w:r>
      <w:proofErr w:type="spellEnd"/>
      <w:r w:rsidRPr="006541E3">
        <w:rPr>
          <w:rFonts w:cstheme="minorHAnsi"/>
          <w:sz w:val="16"/>
          <w:szCs w:val="16"/>
        </w:rPr>
        <w:t xml:space="preserve"> in </w:t>
      </w:r>
      <w:proofErr w:type="spellStart"/>
      <w:r w:rsidRPr="006541E3">
        <w:rPr>
          <w:rFonts w:cstheme="minorHAnsi"/>
          <w:sz w:val="16"/>
          <w:szCs w:val="16"/>
        </w:rPr>
        <w:t>extremely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ill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patients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with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acalculous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cholecystitis</w:t>
      </w:r>
      <w:proofErr w:type="spellEnd"/>
      <w:r w:rsidRPr="006541E3">
        <w:rPr>
          <w:rFonts w:cstheme="minorHAnsi"/>
          <w:sz w:val="16"/>
          <w:szCs w:val="16"/>
        </w:rPr>
        <w:t xml:space="preserve">: a </w:t>
      </w:r>
      <w:proofErr w:type="spellStart"/>
      <w:r w:rsidRPr="006541E3">
        <w:rPr>
          <w:rFonts w:cstheme="minorHAnsi"/>
          <w:sz w:val="16"/>
          <w:szCs w:val="16"/>
        </w:rPr>
        <w:t>large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multicenter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outcome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study</w:t>
      </w:r>
      <w:proofErr w:type="spellEnd"/>
      <w:r w:rsidRPr="006541E3">
        <w:rPr>
          <w:rFonts w:cstheme="minorHAnsi"/>
          <w:sz w:val="16"/>
          <w:szCs w:val="16"/>
        </w:rPr>
        <w:t xml:space="preserve">. </w:t>
      </w:r>
      <w:proofErr w:type="spellStart"/>
      <w:r w:rsidRPr="006541E3">
        <w:rPr>
          <w:rFonts w:cstheme="minorHAnsi"/>
          <w:sz w:val="16"/>
          <w:szCs w:val="16"/>
        </w:rPr>
        <w:t>Am</w:t>
      </w:r>
      <w:proofErr w:type="spellEnd"/>
      <w:r w:rsidRPr="006541E3">
        <w:rPr>
          <w:rFonts w:cstheme="minorHAnsi"/>
          <w:sz w:val="16"/>
          <w:szCs w:val="16"/>
        </w:rPr>
        <w:t xml:space="preserve"> J </w:t>
      </w:r>
      <w:proofErr w:type="spellStart"/>
      <w:r w:rsidRPr="006541E3">
        <w:rPr>
          <w:rFonts w:cstheme="minorHAnsi"/>
          <w:sz w:val="16"/>
          <w:szCs w:val="16"/>
        </w:rPr>
        <w:t>Surg</w:t>
      </w:r>
      <w:proofErr w:type="spellEnd"/>
      <w:r w:rsidRPr="006541E3">
        <w:rPr>
          <w:rFonts w:cstheme="minorHAnsi"/>
          <w:sz w:val="16"/>
          <w:szCs w:val="16"/>
        </w:rPr>
        <w:t xml:space="preserve">. 2013 Dec;206(6):935-41. </w:t>
      </w:r>
      <w:proofErr w:type="spellStart"/>
      <w:r w:rsidRPr="006541E3">
        <w:rPr>
          <w:rFonts w:cstheme="minorHAnsi"/>
          <w:sz w:val="16"/>
          <w:szCs w:val="16"/>
        </w:rPr>
        <w:t>doi</w:t>
      </w:r>
      <w:proofErr w:type="spellEnd"/>
      <w:r w:rsidR="00313990">
        <w:rPr>
          <w:rFonts w:cstheme="minorHAnsi"/>
          <w:sz w:val="16"/>
          <w:szCs w:val="16"/>
        </w:rPr>
        <w:t>: 10.1016/j.amjsurg.2013.08.019</w:t>
      </w:r>
      <w:r w:rsidRPr="006541E3">
        <w:rPr>
          <w:rFonts w:cstheme="minorHAnsi"/>
          <w:sz w:val="16"/>
          <w:szCs w:val="16"/>
        </w:rPr>
        <w:t>.</w:t>
      </w:r>
    </w:p>
    <w:p w:rsidR="00917545" w:rsidRDefault="00917545" w:rsidP="00D51D84">
      <w:pPr>
        <w:spacing w:after="120" w:line="240" w:lineRule="auto"/>
        <w:ind w:left="425" w:hanging="425"/>
        <w:jc w:val="both"/>
        <w:rPr>
          <w:rFonts w:cstheme="minorHAnsi"/>
          <w:sz w:val="16"/>
          <w:szCs w:val="16"/>
        </w:rPr>
      </w:pPr>
      <w:r w:rsidRPr="006541E3">
        <w:rPr>
          <w:rFonts w:cstheme="minorHAnsi"/>
          <w:sz w:val="16"/>
          <w:szCs w:val="16"/>
        </w:rPr>
        <w:t xml:space="preserve">25 </w:t>
      </w:r>
      <w:proofErr w:type="spellStart"/>
      <w:r w:rsidRPr="006541E3">
        <w:rPr>
          <w:rFonts w:cstheme="minorHAnsi"/>
          <w:sz w:val="16"/>
          <w:szCs w:val="16"/>
        </w:rPr>
        <w:t>Vázquez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Tarragón</w:t>
      </w:r>
      <w:proofErr w:type="spellEnd"/>
      <w:r w:rsidRPr="006541E3">
        <w:rPr>
          <w:rFonts w:cstheme="minorHAnsi"/>
          <w:sz w:val="16"/>
          <w:szCs w:val="16"/>
        </w:rPr>
        <w:t xml:space="preserve"> A, </w:t>
      </w:r>
      <w:proofErr w:type="spellStart"/>
      <w:r w:rsidRPr="006541E3">
        <w:rPr>
          <w:rFonts w:cstheme="minorHAnsi"/>
          <w:sz w:val="16"/>
          <w:szCs w:val="16"/>
        </w:rPr>
        <w:t>Azagra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Soria</w:t>
      </w:r>
      <w:proofErr w:type="spellEnd"/>
      <w:r w:rsidRPr="006541E3">
        <w:rPr>
          <w:rFonts w:cstheme="minorHAnsi"/>
          <w:sz w:val="16"/>
          <w:szCs w:val="16"/>
        </w:rPr>
        <w:t xml:space="preserve"> JS, </w:t>
      </w:r>
      <w:proofErr w:type="spellStart"/>
      <w:r w:rsidRPr="006541E3">
        <w:rPr>
          <w:rFonts w:cstheme="minorHAnsi"/>
          <w:sz w:val="16"/>
          <w:szCs w:val="16"/>
        </w:rPr>
        <w:t>Lens</w:t>
      </w:r>
      <w:proofErr w:type="spellEnd"/>
      <w:r w:rsidRPr="006541E3">
        <w:rPr>
          <w:rFonts w:cstheme="minorHAnsi"/>
          <w:sz w:val="16"/>
          <w:szCs w:val="16"/>
        </w:rPr>
        <w:t xml:space="preserve"> V, M</w:t>
      </w:r>
      <w:r w:rsidR="005C11F4">
        <w:rPr>
          <w:rFonts w:cstheme="minorHAnsi"/>
          <w:sz w:val="16"/>
          <w:szCs w:val="16"/>
        </w:rPr>
        <w:t xml:space="preserve">anzoni D, Fabiano P, </w:t>
      </w:r>
      <w:proofErr w:type="spellStart"/>
      <w:r w:rsidR="005C11F4">
        <w:rPr>
          <w:rFonts w:cstheme="minorHAnsi"/>
          <w:sz w:val="16"/>
          <w:szCs w:val="16"/>
        </w:rPr>
        <w:t>Goergen</w:t>
      </w:r>
      <w:proofErr w:type="spellEnd"/>
      <w:r w:rsidR="005C11F4">
        <w:rPr>
          <w:rFonts w:cstheme="minorHAnsi"/>
          <w:sz w:val="16"/>
          <w:szCs w:val="16"/>
        </w:rPr>
        <w:t xml:space="preserve"> M.</w:t>
      </w:r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Two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staged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minimally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invasive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treatment</w:t>
      </w:r>
      <w:proofErr w:type="spellEnd"/>
      <w:r w:rsidRPr="006541E3">
        <w:rPr>
          <w:rFonts w:cstheme="minorHAnsi"/>
          <w:sz w:val="16"/>
          <w:szCs w:val="16"/>
        </w:rPr>
        <w:t xml:space="preserve"> for </w:t>
      </w:r>
      <w:proofErr w:type="spellStart"/>
      <w:r w:rsidRPr="006541E3">
        <w:rPr>
          <w:rFonts w:cstheme="minorHAnsi"/>
          <w:sz w:val="16"/>
          <w:szCs w:val="16"/>
        </w:rPr>
        <w:t>acute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cholecystitis</w:t>
      </w:r>
      <w:proofErr w:type="spellEnd"/>
      <w:r w:rsidRPr="006541E3">
        <w:rPr>
          <w:rFonts w:cstheme="minorHAnsi"/>
          <w:sz w:val="16"/>
          <w:szCs w:val="16"/>
        </w:rPr>
        <w:t xml:space="preserve"> in </w:t>
      </w:r>
      <w:proofErr w:type="spellStart"/>
      <w:r w:rsidRPr="006541E3">
        <w:rPr>
          <w:rFonts w:cstheme="minorHAnsi"/>
          <w:sz w:val="16"/>
          <w:szCs w:val="16"/>
        </w:rPr>
        <w:t>high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risk</w:t>
      </w:r>
      <w:proofErr w:type="spellEnd"/>
      <w:r w:rsidRPr="006541E3">
        <w:rPr>
          <w:rFonts w:cstheme="minorHAnsi"/>
          <w:sz w:val="16"/>
          <w:szCs w:val="16"/>
        </w:rPr>
        <w:t xml:space="preserve"> </w:t>
      </w:r>
      <w:proofErr w:type="spellStart"/>
      <w:r w:rsidRPr="006541E3">
        <w:rPr>
          <w:rFonts w:cstheme="minorHAnsi"/>
          <w:sz w:val="16"/>
          <w:szCs w:val="16"/>
        </w:rPr>
        <w:t>patients</w:t>
      </w:r>
      <w:proofErr w:type="spellEnd"/>
      <w:r w:rsidRPr="006541E3">
        <w:rPr>
          <w:rFonts w:cstheme="minorHAnsi"/>
          <w:sz w:val="16"/>
          <w:szCs w:val="16"/>
        </w:rPr>
        <w:t>. Hepatogastroent</w:t>
      </w:r>
      <w:r w:rsidR="00313990">
        <w:rPr>
          <w:rFonts w:cstheme="minorHAnsi"/>
          <w:sz w:val="16"/>
          <w:szCs w:val="16"/>
        </w:rPr>
        <w:t xml:space="preserve">erology. 2013 </w:t>
      </w:r>
      <w:proofErr w:type="spellStart"/>
      <w:r w:rsidR="00313990">
        <w:rPr>
          <w:rFonts w:cstheme="minorHAnsi"/>
          <w:sz w:val="16"/>
          <w:szCs w:val="16"/>
        </w:rPr>
        <w:t>May</w:t>
      </w:r>
      <w:proofErr w:type="spellEnd"/>
      <w:r w:rsidR="00313990">
        <w:rPr>
          <w:rFonts w:cstheme="minorHAnsi"/>
          <w:sz w:val="16"/>
          <w:szCs w:val="16"/>
        </w:rPr>
        <w:t>;</w:t>
      </w:r>
      <w:r w:rsidR="005C11F4">
        <w:rPr>
          <w:rFonts w:cstheme="minorHAnsi"/>
          <w:sz w:val="16"/>
          <w:szCs w:val="16"/>
        </w:rPr>
        <w:t xml:space="preserve"> </w:t>
      </w:r>
      <w:r w:rsidR="00313990">
        <w:rPr>
          <w:rFonts w:cstheme="minorHAnsi"/>
          <w:sz w:val="16"/>
          <w:szCs w:val="16"/>
        </w:rPr>
        <w:t>60(123):466-9</w:t>
      </w:r>
      <w:r w:rsidRPr="006541E3">
        <w:rPr>
          <w:rFonts w:cstheme="minorHAnsi"/>
          <w:sz w:val="16"/>
          <w:szCs w:val="16"/>
        </w:rPr>
        <w:t>.</w:t>
      </w:r>
    </w:p>
    <w:p w:rsidR="009A2726" w:rsidRPr="00172C6A" w:rsidRDefault="009A2726" w:rsidP="009A2726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sectPr w:rsidR="009A2726" w:rsidRPr="00172C6A" w:rsidSect="00B93E85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E02CE"/>
    <w:multiLevelType w:val="hybridMultilevel"/>
    <w:tmpl w:val="6C4297CE"/>
    <w:lvl w:ilvl="0" w:tplc="DB8054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B0436"/>
    <w:multiLevelType w:val="hybridMultilevel"/>
    <w:tmpl w:val="73DEB024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D93F5E"/>
    <w:multiLevelType w:val="hybridMultilevel"/>
    <w:tmpl w:val="7A98BB1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D0F6D"/>
    <w:multiLevelType w:val="hybridMultilevel"/>
    <w:tmpl w:val="7A98BB1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08"/>
  <w:hyphenationZone w:val="425"/>
  <w:characterSpacingControl w:val="doNotCompress"/>
  <w:savePreviewPicture/>
  <w:compat/>
  <w:rsids>
    <w:rsidRoot w:val="0058169B"/>
    <w:rsid w:val="0001468A"/>
    <w:rsid w:val="0003012B"/>
    <w:rsid w:val="00032CC7"/>
    <w:rsid w:val="00033B7C"/>
    <w:rsid w:val="00062A13"/>
    <w:rsid w:val="00063A31"/>
    <w:rsid w:val="000665DB"/>
    <w:rsid w:val="00070664"/>
    <w:rsid w:val="000A5078"/>
    <w:rsid w:val="000A7DB0"/>
    <w:rsid w:val="000B17A2"/>
    <w:rsid w:val="000C1FEA"/>
    <w:rsid w:val="000C5B49"/>
    <w:rsid w:val="000D0D57"/>
    <w:rsid w:val="000D2D24"/>
    <w:rsid w:val="000E1F84"/>
    <w:rsid w:val="000E39CE"/>
    <w:rsid w:val="000E4954"/>
    <w:rsid w:val="000F4B20"/>
    <w:rsid w:val="00105100"/>
    <w:rsid w:val="00111AA2"/>
    <w:rsid w:val="0011257A"/>
    <w:rsid w:val="001147F9"/>
    <w:rsid w:val="0012168B"/>
    <w:rsid w:val="00130FE2"/>
    <w:rsid w:val="00133199"/>
    <w:rsid w:val="00135B95"/>
    <w:rsid w:val="00142E53"/>
    <w:rsid w:val="00147652"/>
    <w:rsid w:val="0016027B"/>
    <w:rsid w:val="00162105"/>
    <w:rsid w:val="00162ABF"/>
    <w:rsid w:val="00172C6A"/>
    <w:rsid w:val="00185548"/>
    <w:rsid w:val="0019568D"/>
    <w:rsid w:val="001A2BBA"/>
    <w:rsid w:val="001A42C4"/>
    <w:rsid w:val="001A7366"/>
    <w:rsid w:val="001A7EFE"/>
    <w:rsid w:val="001A7FF9"/>
    <w:rsid w:val="001B0023"/>
    <w:rsid w:val="001B3A8E"/>
    <w:rsid w:val="001C26FC"/>
    <w:rsid w:val="001C754E"/>
    <w:rsid w:val="001D4022"/>
    <w:rsid w:val="001E2262"/>
    <w:rsid w:val="001E4B4C"/>
    <w:rsid w:val="001E5D9F"/>
    <w:rsid w:val="001E6480"/>
    <w:rsid w:val="001F077B"/>
    <w:rsid w:val="001F3CA8"/>
    <w:rsid w:val="00210A4A"/>
    <w:rsid w:val="00221215"/>
    <w:rsid w:val="00224B66"/>
    <w:rsid w:val="00233503"/>
    <w:rsid w:val="00240FD9"/>
    <w:rsid w:val="0027548F"/>
    <w:rsid w:val="002838B0"/>
    <w:rsid w:val="002A0439"/>
    <w:rsid w:val="002A7465"/>
    <w:rsid w:val="002C3F6C"/>
    <w:rsid w:val="002C5130"/>
    <w:rsid w:val="002C6E2D"/>
    <w:rsid w:val="002F74CD"/>
    <w:rsid w:val="002F76F3"/>
    <w:rsid w:val="003127F7"/>
    <w:rsid w:val="0031374B"/>
    <w:rsid w:val="00313990"/>
    <w:rsid w:val="00313BC0"/>
    <w:rsid w:val="00316366"/>
    <w:rsid w:val="00325155"/>
    <w:rsid w:val="00332B6D"/>
    <w:rsid w:val="0034490F"/>
    <w:rsid w:val="00344FA2"/>
    <w:rsid w:val="00352182"/>
    <w:rsid w:val="00362929"/>
    <w:rsid w:val="00365829"/>
    <w:rsid w:val="003702C1"/>
    <w:rsid w:val="00370A96"/>
    <w:rsid w:val="00370D7B"/>
    <w:rsid w:val="00381A56"/>
    <w:rsid w:val="00383197"/>
    <w:rsid w:val="00393AA1"/>
    <w:rsid w:val="003A1F0F"/>
    <w:rsid w:val="003A6AB0"/>
    <w:rsid w:val="003B716A"/>
    <w:rsid w:val="003F045A"/>
    <w:rsid w:val="003F1F42"/>
    <w:rsid w:val="004131F0"/>
    <w:rsid w:val="004173A0"/>
    <w:rsid w:val="00440208"/>
    <w:rsid w:val="00447877"/>
    <w:rsid w:val="004525B8"/>
    <w:rsid w:val="004A00E1"/>
    <w:rsid w:val="004B39EE"/>
    <w:rsid w:val="004B576E"/>
    <w:rsid w:val="004D2DE0"/>
    <w:rsid w:val="004D5764"/>
    <w:rsid w:val="004D7F73"/>
    <w:rsid w:val="004E2851"/>
    <w:rsid w:val="004E406B"/>
    <w:rsid w:val="00501795"/>
    <w:rsid w:val="00502539"/>
    <w:rsid w:val="00505817"/>
    <w:rsid w:val="00505B64"/>
    <w:rsid w:val="00522A60"/>
    <w:rsid w:val="005407ED"/>
    <w:rsid w:val="00540F2B"/>
    <w:rsid w:val="005452E2"/>
    <w:rsid w:val="005535BD"/>
    <w:rsid w:val="0058169B"/>
    <w:rsid w:val="00583E5E"/>
    <w:rsid w:val="0058737C"/>
    <w:rsid w:val="00595F71"/>
    <w:rsid w:val="005A6728"/>
    <w:rsid w:val="005C11F4"/>
    <w:rsid w:val="005C401C"/>
    <w:rsid w:val="005C4BE4"/>
    <w:rsid w:val="005D20A8"/>
    <w:rsid w:val="005E0F2A"/>
    <w:rsid w:val="005E5892"/>
    <w:rsid w:val="005F11C1"/>
    <w:rsid w:val="005F3128"/>
    <w:rsid w:val="0060644E"/>
    <w:rsid w:val="006162ED"/>
    <w:rsid w:val="00617121"/>
    <w:rsid w:val="0062573A"/>
    <w:rsid w:val="00625FCC"/>
    <w:rsid w:val="0064076B"/>
    <w:rsid w:val="00641FAB"/>
    <w:rsid w:val="006541E3"/>
    <w:rsid w:val="00664CEF"/>
    <w:rsid w:val="006657AD"/>
    <w:rsid w:val="00670A5A"/>
    <w:rsid w:val="00671912"/>
    <w:rsid w:val="0067446E"/>
    <w:rsid w:val="00675CF6"/>
    <w:rsid w:val="00675D11"/>
    <w:rsid w:val="0067685F"/>
    <w:rsid w:val="00677E1B"/>
    <w:rsid w:val="006822F1"/>
    <w:rsid w:val="006823ED"/>
    <w:rsid w:val="00691EFC"/>
    <w:rsid w:val="00694D8A"/>
    <w:rsid w:val="0069702C"/>
    <w:rsid w:val="006A58C1"/>
    <w:rsid w:val="006B04E6"/>
    <w:rsid w:val="006B334D"/>
    <w:rsid w:val="006C6ECA"/>
    <w:rsid w:val="006D7FCD"/>
    <w:rsid w:val="006E2C44"/>
    <w:rsid w:val="006E34B5"/>
    <w:rsid w:val="006E5B21"/>
    <w:rsid w:val="006F42D4"/>
    <w:rsid w:val="006F5434"/>
    <w:rsid w:val="00703A81"/>
    <w:rsid w:val="0071034A"/>
    <w:rsid w:val="00713629"/>
    <w:rsid w:val="00726E05"/>
    <w:rsid w:val="00736C95"/>
    <w:rsid w:val="0074039E"/>
    <w:rsid w:val="00752623"/>
    <w:rsid w:val="00776BE4"/>
    <w:rsid w:val="00777EE9"/>
    <w:rsid w:val="00780123"/>
    <w:rsid w:val="00797E0D"/>
    <w:rsid w:val="007A77D5"/>
    <w:rsid w:val="007B0B4D"/>
    <w:rsid w:val="007B5554"/>
    <w:rsid w:val="007C0DE6"/>
    <w:rsid w:val="007C2877"/>
    <w:rsid w:val="007C534C"/>
    <w:rsid w:val="007D6340"/>
    <w:rsid w:val="007D6782"/>
    <w:rsid w:val="007E56A0"/>
    <w:rsid w:val="007E646C"/>
    <w:rsid w:val="00806710"/>
    <w:rsid w:val="0081197C"/>
    <w:rsid w:val="008208C5"/>
    <w:rsid w:val="008219B4"/>
    <w:rsid w:val="0082677F"/>
    <w:rsid w:val="00840D8D"/>
    <w:rsid w:val="00846427"/>
    <w:rsid w:val="00847B79"/>
    <w:rsid w:val="00850393"/>
    <w:rsid w:val="00853ACE"/>
    <w:rsid w:val="0087374F"/>
    <w:rsid w:val="00873D89"/>
    <w:rsid w:val="00887F8A"/>
    <w:rsid w:val="0089216B"/>
    <w:rsid w:val="00894022"/>
    <w:rsid w:val="008B6CDB"/>
    <w:rsid w:val="008C0D20"/>
    <w:rsid w:val="008C5A9D"/>
    <w:rsid w:val="008D4301"/>
    <w:rsid w:val="008E4064"/>
    <w:rsid w:val="008E4E4B"/>
    <w:rsid w:val="008F0E8F"/>
    <w:rsid w:val="008F3104"/>
    <w:rsid w:val="008F5A10"/>
    <w:rsid w:val="008F7C67"/>
    <w:rsid w:val="009067B4"/>
    <w:rsid w:val="00911A20"/>
    <w:rsid w:val="00917545"/>
    <w:rsid w:val="009312C6"/>
    <w:rsid w:val="009355E9"/>
    <w:rsid w:val="00940B7B"/>
    <w:rsid w:val="00956100"/>
    <w:rsid w:val="00962015"/>
    <w:rsid w:val="0096342B"/>
    <w:rsid w:val="00972D91"/>
    <w:rsid w:val="00976339"/>
    <w:rsid w:val="0098063D"/>
    <w:rsid w:val="00984E93"/>
    <w:rsid w:val="009930F4"/>
    <w:rsid w:val="009A2726"/>
    <w:rsid w:val="009A2734"/>
    <w:rsid w:val="009B2A00"/>
    <w:rsid w:val="009B5641"/>
    <w:rsid w:val="009E6539"/>
    <w:rsid w:val="009E7102"/>
    <w:rsid w:val="009F424B"/>
    <w:rsid w:val="00A00603"/>
    <w:rsid w:val="00A10406"/>
    <w:rsid w:val="00A11778"/>
    <w:rsid w:val="00A35F6E"/>
    <w:rsid w:val="00A36604"/>
    <w:rsid w:val="00A43732"/>
    <w:rsid w:val="00A47992"/>
    <w:rsid w:val="00A6389A"/>
    <w:rsid w:val="00A763B5"/>
    <w:rsid w:val="00A831F0"/>
    <w:rsid w:val="00A84B6A"/>
    <w:rsid w:val="00A85E4D"/>
    <w:rsid w:val="00A93ADE"/>
    <w:rsid w:val="00A95D50"/>
    <w:rsid w:val="00AA35BA"/>
    <w:rsid w:val="00AA5E8C"/>
    <w:rsid w:val="00AB392E"/>
    <w:rsid w:val="00AC6855"/>
    <w:rsid w:val="00AD4863"/>
    <w:rsid w:val="00AE7F24"/>
    <w:rsid w:val="00AF586F"/>
    <w:rsid w:val="00B01733"/>
    <w:rsid w:val="00B112E8"/>
    <w:rsid w:val="00B11F17"/>
    <w:rsid w:val="00B147DB"/>
    <w:rsid w:val="00B21321"/>
    <w:rsid w:val="00B25060"/>
    <w:rsid w:val="00B26557"/>
    <w:rsid w:val="00B27F9F"/>
    <w:rsid w:val="00B43DF3"/>
    <w:rsid w:val="00B656D6"/>
    <w:rsid w:val="00B66237"/>
    <w:rsid w:val="00B66E87"/>
    <w:rsid w:val="00B67C6B"/>
    <w:rsid w:val="00B71072"/>
    <w:rsid w:val="00B756AC"/>
    <w:rsid w:val="00B93E85"/>
    <w:rsid w:val="00B977DC"/>
    <w:rsid w:val="00BB76CC"/>
    <w:rsid w:val="00BC0ABF"/>
    <w:rsid w:val="00BC2A91"/>
    <w:rsid w:val="00BC3989"/>
    <w:rsid w:val="00BC5A6F"/>
    <w:rsid w:val="00BD02A8"/>
    <w:rsid w:val="00C0116F"/>
    <w:rsid w:val="00C235EB"/>
    <w:rsid w:val="00C241E9"/>
    <w:rsid w:val="00C459A5"/>
    <w:rsid w:val="00C47100"/>
    <w:rsid w:val="00C47237"/>
    <w:rsid w:val="00C47F6A"/>
    <w:rsid w:val="00C551E2"/>
    <w:rsid w:val="00C67940"/>
    <w:rsid w:val="00C72C05"/>
    <w:rsid w:val="00C762E5"/>
    <w:rsid w:val="00C811BC"/>
    <w:rsid w:val="00C82C75"/>
    <w:rsid w:val="00C93151"/>
    <w:rsid w:val="00C97913"/>
    <w:rsid w:val="00CC71B8"/>
    <w:rsid w:val="00CD614C"/>
    <w:rsid w:val="00CE19E0"/>
    <w:rsid w:val="00CE366F"/>
    <w:rsid w:val="00CF4824"/>
    <w:rsid w:val="00D0439D"/>
    <w:rsid w:val="00D05D8B"/>
    <w:rsid w:val="00D126FD"/>
    <w:rsid w:val="00D21BD9"/>
    <w:rsid w:val="00D237D1"/>
    <w:rsid w:val="00D329D4"/>
    <w:rsid w:val="00D50633"/>
    <w:rsid w:val="00D51D84"/>
    <w:rsid w:val="00D556C8"/>
    <w:rsid w:val="00D6218C"/>
    <w:rsid w:val="00D63926"/>
    <w:rsid w:val="00D670FE"/>
    <w:rsid w:val="00D760E4"/>
    <w:rsid w:val="00D773AB"/>
    <w:rsid w:val="00D95D05"/>
    <w:rsid w:val="00DA232C"/>
    <w:rsid w:val="00DB0EEF"/>
    <w:rsid w:val="00DF03B6"/>
    <w:rsid w:val="00DF1144"/>
    <w:rsid w:val="00E104F3"/>
    <w:rsid w:val="00E169E9"/>
    <w:rsid w:val="00E23D81"/>
    <w:rsid w:val="00E34265"/>
    <w:rsid w:val="00E47F7D"/>
    <w:rsid w:val="00E50F31"/>
    <w:rsid w:val="00E526A1"/>
    <w:rsid w:val="00E52BFE"/>
    <w:rsid w:val="00E63DF8"/>
    <w:rsid w:val="00E6638F"/>
    <w:rsid w:val="00E8281E"/>
    <w:rsid w:val="00EA10AE"/>
    <w:rsid w:val="00EB682E"/>
    <w:rsid w:val="00EC12D2"/>
    <w:rsid w:val="00EC7CF4"/>
    <w:rsid w:val="00ED476D"/>
    <w:rsid w:val="00ED6F44"/>
    <w:rsid w:val="00ED7834"/>
    <w:rsid w:val="00EE3E57"/>
    <w:rsid w:val="00EF57CF"/>
    <w:rsid w:val="00F04C57"/>
    <w:rsid w:val="00F0520F"/>
    <w:rsid w:val="00F0552C"/>
    <w:rsid w:val="00F11BAE"/>
    <w:rsid w:val="00F22010"/>
    <w:rsid w:val="00F22A5B"/>
    <w:rsid w:val="00F35715"/>
    <w:rsid w:val="00F463CB"/>
    <w:rsid w:val="00F65E8D"/>
    <w:rsid w:val="00F67F48"/>
    <w:rsid w:val="00F700A0"/>
    <w:rsid w:val="00F92289"/>
    <w:rsid w:val="00F92760"/>
    <w:rsid w:val="00FA4414"/>
    <w:rsid w:val="00FA7349"/>
    <w:rsid w:val="00FC2583"/>
    <w:rsid w:val="00FC4992"/>
    <w:rsid w:val="00FC550F"/>
    <w:rsid w:val="00FC664C"/>
    <w:rsid w:val="00FD1FCA"/>
    <w:rsid w:val="00FD6679"/>
    <w:rsid w:val="00FD6754"/>
    <w:rsid w:val="00FE68F4"/>
    <w:rsid w:val="00FF5610"/>
    <w:rsid w:val="00FF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DF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66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665DB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70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03A81"/>
    <w:rPr>
      <w:rFonts w:ascii="Tahoma" w:hAnsi="Tahoma" w:cs="Tahoma"/>
      <w:sz w:val="16"/>
      <w:szCs w:val="16"/>
    </w:rPr>
  </w:style>
  <w:style w:type="character" w:customStyle="1" w:styleId="hps">
    <w:name w:val="hps"/>
    <w:basedOn w:val="Tipodeletrapredefinidodopargrafo"/>
    <w:rsid w:val="00B67C6B"/>
  </w:style>
  <w:style w:type="character" w:customStyle="1" w:styleId="atn">
    <w:name w:val="atn"/>
    <w:basedOn w:val="Tipodeletrapredefinidodopargrafo"/>
    <w:rsid w:val="00BC5A6F"/>
  </w:style>
  <w:style w:type="character" w:styleId="Refdecomentrio">
    <w:name w:val="annotation reference"/>
    <w:basedOn w:val="Tipodeletrapredefinidodopargrafo"/>
    <w:uiPriority w:val="99"/>
    <w:semiHidden/>
    <w:unhideWhenUsed/>
    <w:rsid w:val="007C534C"/>
    <w:rPr>
      <w:sz w:val="18"/>
      <w:szCs w:val="18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7C534C"/>
    <w:pPr>
      <w:spacing w:line="240" w:lineRule="auto"/>
    </w:pPr>
    <w:rPr>
      <w:sz w:val="24"/>
      <w:szCs w:val="24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7C534C"/>
    <w:rPr>
      <w:sz w:val="24"/>
      <w:szCs w:val="24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7C534C"/>
    <w:rPr>
      <w:b/>
      <w:bCs/>
      <w:sz w:val="20"/>
      <w:szCs w:val="20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7C534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66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665DB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70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03A81"/>
    <w:rPr>
      <w:rFonts w:ascii="Tahoma" w:hAnsi="Tahoma" w:cs="Tahoma"/>
      <w:sz w:val="16"/>
      <w:szCs w:val="16"/>
    </w:rPr>
  </w:style>
  <w:style w:type="character" w:customStyle="1" w:styleId="hps">
    <w:name w:val="hps"/>
    <w:basedOn w:val="Tipodeletrapredefinidodopargrafo"/>
    <w:rsid w:val="00B67C6B"/>
  </w:style>
  <w:style w:type="character" w:customStyle="1" w:styleId="atn">
    <w:name w:val="atn"/>
    <w:basedOn w:val="Tipodeletrapredefinidodopargrafo"/>
    <w:rsid w:val="00BC5A6F"/>
  </w:style>
  <w:style w:type="character" w:styleId="Refdecomentrio">
    <w:name w:val="annotation reference"/>
    <w:basedOn w:val="Tipodeletrapredefinidodopargrafo"/>
    <w:uiPriority w:val="99"/>
    <w:semiHidden/>
    <w:unhideWhenUsed/>
    <w:rsid w:val="007C534C"/>
    <w:rPr>
      <w:sz w:val="18"/>
      <w:szCs w:val="18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7C534C"/>
    <w:pPr>
      <w:spacing w:line="240" w:lineRule="auto"/>
    </w:pPr>
    <w:rPr>
      <w:sz w:val="24"/>
      <w:szCs w:val="24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7C534C"/>
    <w:rPr>
      <w:sz w:val="24"/>
      <w:szCs w:val="24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7C534C"/>
    <w:rPr>
      <w:b/>
      <w:bCs/>
      <w:sz w:val="20"/>
      <w:szCs w:val="20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7C534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0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2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20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2176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96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3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29318-36FA-465D-8FB4-4B0C42A5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3971</Words>
  <Characters>21446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Machado Fernandes</dc:creator>
  <cp:lastModifiedBy>MReis</cp:lastModifiedBy>
  <cp:revision>2</cp:revision>
  <cp:lastPrinted>2014-01-31T16:11:00Z</cp:lastPrinted>
  <dcterms:created xsi:type="dcterms:W3CDTF">2014-03-11T11:15:00Z</dcterms:created>
  <dcterms:modified xsi:type="dcterms:W3CDTF">2014-03-11T11:15:00Z</dcterms:modified>
</cp:coreProperties>
</file>