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A6" w:rsidRPr="008A21A6" w:rsidRDefault="008A21A6" w:rsidP="007B74B9">
      <w:pPr>
        <w:rPr>
          <w:b/>
        </w:rPr>
      </w:pPr>
      <w:r w:rsidRPr="008A21A6">
        <w:rPr>
          <w:b/>
        </w:rPr>
        <w:t>Internamentos</w:t>
      </w:r>
      <w:r w:rsidR="007B6C5F">
        <w:rPr>
          <w:b/>
        </w:rPr>
        <w:t xml:space="preserve"> Hospitalares</w:t>
      </w:r>
      <w:r w:rsidRPr="008A21A6">
        <w:rPr>
          <w:b/>
        </w:rPr>
        <w:t xml:space="preserve"> por Herpes </w:t>
      </w:r>
      <w:proofErr w:type="spellStart"/>
      <w:r w:rsidRPr="008A21A6">
        <w:rPr>
          <w:b/>
        </w:rPr>
        <w:t>Zoster</w:t>
      </w:r>
      <w:proofErr w:type="spellEnd"/>
      <w:r w:rsidRPr="008A21A6">
        <w:rPr>
          <w:b/>
        </w:rPr>
        <w:t xml:space="preserve"> em Portugal entre 2000 e 201</w:t>
      </w:r>
      <w:r w:rsidR="007B6C5F">
        <w:rPr>
          <w:b/>
        </w:rPr>
        <w:t>0</w:t>
      </w:r>
    </w:p>
    <w:p w:rsidR="007B74B9" w:rsidRPr="00291840" w:rsidRDefault="007B74B9" w:rsidP="007B74B9">
      <w:pPr>
        <w:rPr>
          <w:b/>
          <w:lang w:val="en-US"/>
        </w:rPr>
      </w:pPr>
      <w:r w:rsidRPr="00291840">
        <w:rPr>
          <w:b/>
          <w:lang w:val="en-US"/>
        </w:rPr>
        <w:t>Hospital admissions for Herpes Zoster in Portugal between 2000 and 2010</w:t>
      </w:r>
    </w:p>
    <w:p w:rsidR="007B74B9" w:rsidRPr="007B74B9" w:rsidRDefault="007B74B9" w:rsidP="007B74B9">
      <w:pPr>
        <w:rPr>
          <w:lang w:val="en-US"/>
        </w:rPr>
      </w:pPr>
    </w:p>
    <w:p w:rsidR="007B74B9" w:rsidRDefault="007B74B9" w:rsidP="007B74B9">
      <w:r>
        <w:t>Margarida Mesquita</w:t>
      </w:r>
      <w:r w:rsidRPr="00291840">
        <w:rPr>
          <w:vertAlign w:val="superscript"/>
        </w:rPr>
        <w:t>1</w:t>
      </w:r>
    </w:p>
    <w:p w:rsidR="007B74B9" w:rsidRDefault="007B74B9" w:rsidP="007B74B9">
      <w:r>
        <w:t>Filipe Froes</w:t>
      </w:r>
      <w:r w:rsidRPr="00291840">
        <w:rPr>
          <w:vertAlign w:val="superscript"/>
        </w:rPr>
        <w:t>2</w:t>
      </w:r>
    </w:p>
    <w:p w:rsidR="007B74B9" w:rsidRDefault="007B74B9" w:rsidP="007B74B9">
      <w:r>
        <w:t xml:space="preserve">1 – MD, </w:t>
      </w:r>
      <w:proofErr w:type="spellStart"/>
      <w:r w:rsidR="008A21A6">
        <w:t>Family</w:t>
      </w:r>
      <w:proofErr w:type="spellEnd"/>
      <w:r w:rsidR="008A21A6">
        <w:t xml:space="preserve"> </w:t>
      </w:r>
      <w:proofErr w:type="spellStart"/>
      <w:r w:rsidR="008A21A6">
        <w:t>Physician</w:t>
      </w:r>
      <w:proofErr w:type="spellEnd"/>
      <w:r w:rsidR="008A21A6">
        <w:t xml:space="preserve">, </w:t>
      </w:r>
      <w:proofErr w:type="spellStart"/>
      <w:r>
        <w:t>MMed</w:t>
      </w:r>
      <w:proofErr w:type="spellEnd"/>
      <w:r>
        <w:t xml:space="preserve"> </w:t>
      </w:r>
      <w:proofErr w:type="spellStart"/>
      <w:r>
        <w:t>Geriatrics</w:t>
      </w:r>
      <w:proofErr w:type="spellEnd"/>
      <w:r>
        <w:t xml:space="preserve">, </w:t>
      </w:r>
      <w:proofErr w:type="spellStart"/>
      <w:r>
        <w:t>Public</w:t>
      </w:r>
      <w:proofErr w:type="spellEnd"/>
      <w:r>
        <w:t xml:space="preserve"> </w:t>
      </w:r>
      <w:proofErr w:type="spellStart"/>
      <w:r>
        <w:t>Health</w:t>
      </w:r>
      <w:proofErr w:type="spellEnd"/>
      <w:r>
        <w:t xml:space="preserve"> </w:t>
      </w:r>
      <w:proofErr w:type="spellStart"/>
      <w:r>
        <w:t>PhDc</w:t>
      </w:r>
      <w:proofErr w:type="spellEnd"/>
      <w:r>
        <w:t>, Escola Nacional de Saúde Pública, Universidade</w:t>
      </w:r>
      <w:r w:rsidR="00CB5A76">
        <w:t xml:space="preserve"> </w:t>
      </w:r>
      <w:bookmarkStart w:id="0" w:name="_GoBack"/>
      <w:bookmarkEnd w:id="0"/>
      <w:r w:rsidR="00CB5A76">
        <w:t>Nova</w:t>
      </w:r>
      <w:r>
        <w:t xml:space="preserve"> de Lisboa, Portugal</w:t>
      </w:r>
    </w:p>
    <w:p w:rsidR="007B74B9" w:rsidRDefault="007B74B9" w:rsidP="007B74B9">
      <w:r>
        <w:t xml:space="preserve">2- </w:t>
      </w:r>
      <w:r w:rsidR="008A21A6">
        <w:t xml:space="preserve">MD, </w:t>
      </w:r>
      <w:proofErr w:type="spellStart"/>
      <w:r>
        <w:t>Pulmonologist</w:t>
      </w:r>
      <w:proofErr w:type="spellEnd"/>
      <w:r>
        <w:t>, Hospital Pulido Valente, Centro Hospitalar Lisboa Norte</w:t>
      </w:r>
      <w:r w:rsidR="00291840">
        <w:t xml:space="preserve">. </w:t>
      </w:r>
      <w:proofErr w:type="spellStart"/>
      <w:r>
        <w:t>Public</w:t>
      </w:r>
      <w:proofErr w:type="spellEnd"/>
      <w:r>
        <w:t xml:space="preserve"> </w:t>
      </w:r>
      <w:proofErr w:type="spellStart"/>
      <w:r>
        <w:t>Health</w:t>
      </w:r>
      <w:proofErr w:type="spellEnd"/>
      <w:r>
        <w:t xml:space="preserve"> </w:t>
      </w:r>
      <w:proofErr w:type="spellStart"/>
      <w:r>
        <w:t>PhDc</w:t>
      </w:r>
      <w:proofErr w:type="spellEnd"/>
      <w:r>
        <w:t>, Escola Nacional de Saúde Pública, Universidade Nova de Lisboa, Portugal</w:t>
      </w:r>
    </w:p>
    <w:p w:rsidR="007B74B9" w:rsidRDefault="007B74B9" w:rsidP="007B74B9"/>
    <w:p w:rsidR="007B74B9" w:rsidRDefault="007B74B9" w:rsidP="007B74B9">
      <w:proofErr w:type="spellStart"/>
      <w:r w:rsidRPr="00291840">
        <w:rPr>
          <w:b/>
        </w:rPr>
        <w:t>Correspondence</w:t>
      </w:r>
      <w:proofErr w:type="spellEnd"/>
      <w:r>
        <w:t>:</w:t>
      </w:r>
    </w:p>
    <w:p w:rsidR="007B74B9" w:rsidRDefault="007B74B9" w:rsidP="007B74B9">
      <w:r>
        <w:t>Margarida Mesquita</w:t>
      </w:r>
    </w:p>
    <w:p w:rsidR="007B74B9" w:rsidRDefault="00291840" w:rsidP="007B74B9">
      <w:r>
        <w:t>m</w:t>
      </w:r>
      <w:r w:rsidR="007B74B9">
        <w:t>ar.mes@gmail.com</w:t>
      </w:r>
    </w:p>
    <w:p w:rsidR="007B74B9" w:rsidRPr="00CB5A76" w:rsidRDefault="007B74B9" w:rsidP="007B74B9">
      <w:r w:rsidRPr="00CB5A76">
        <w:t>M: +351 96 197 06 06</w:t>
      </w:r>
      <w:r w:rsidRPr="007B74B9">
        <w:rPr>
          <w:rFonts w:ascii="Times New Roman" w:hAnsi="Times New Roman" w:cs="Times New Roman"/>
          <w:lang w:val="en-US"/>
        </w:rPr>
        <w:t> </w:t>
      </w:r>
    </w:p>
    <w:p w:rsidR="007B74B9" w:rsidRPr="00CB5A76" w:rsidRDefault="007B74B9" w:rsidP="007B74B9"/>
    <w:p w:rsidR="007B74B9" w:rsidRPr="00CB5A76" w:rsidRDefault="007B74B9" w:rsidP="007B74B9"/>
    <w:p w:rsidR="000D5B73" w:rsidRDefault="000D5B73">
      <w:pPr>
        <w:rPr>
          <w:b/>
        </w:rPr>
      </w:pPr>
      <w:r>
        <w:rPr>
          <w:b/>
        </w:rPr>
        <w:br w:type="page"/>
      </w:r>
    </w:p>
    <w:p w:rsidR="000D5B73" w:rsidRPr="00736732" w:rsidRDefault="000D5B73" w:rsidP="000D5B73">
      <w:pPr>
        <w:rPr>
          <w:b/>
        </w:rPr>
      </w:pPr>
      <w:r w:rsidRPr="00736732">
        <w:rPr>
          <w:b/>
        </w:rPr>
        <w:lastRenderedPageBreak/>
        <w:t>Resumo</w:t>
      </w:r>
    </w:p>
    <w:p w:rsidR="000D5B73" w:rsidRPr="00CB5A76" w:rsidRDefault="000D5B73" w:rsidP="000D5B73">
      <w:r w:rsidRPr="00CB5A76">
        <w:t xml:space="preserve">Contexto: </w:t>
      </w:r>
    </w:p>
    <w:p w:rsidR="000D5B73" w:rsidRPr="00CB5A76" w:rsidRDefault="000D5B73" w:rsidP="000D5B73">
      <w:r w:rsidRPr="000D5B73">
        <w:t xml:space="preserve">O aumento da incidência de herpes </w:t>
      </w:r>
      <w:proofErr w:type="spellStart"/>
      <w:r w:rsidRPr="000D5B73">
        <w:t>zoster</w:t>
      </w:r>
      <w:proofErr w:type="spellEnd"/>
      <w:r w:rsidRPr="000D5B73">
        <w:t xml:space="preserve"> (HZ) e da nevralgia pós-herpética (PHN) estão associados ao envelhecimento da população. </w:t>
      </w:r>
      <w:r w:rsidRPr="00CB5A76">
        <w:t xml:space="preserve">Estas patologias podem ser francamente debilitantes e ter um grande impacto na qualidade de vida dos doentes. </w:t>
      </w:r>
    </w:p>
    <w:p w:rsidR="000D5B73" w:rsidRPr="00CB5A76" w:rsidRDefault="000D5B73" w:rsidP="000D5B73">
      <w:r w:rsidRPr="00CB5A76">
        <w:t>Numa população envelhecida como a portuguesa, é esperado que o impacto do HZ e da PHN aumentem. No entanto, não existe no país nenhum sistema específico de monitorização da doença e não foram encontrados dados epidemiológicos portugueses nas últimas décadas.</w:t>
      </w:r>
    </w:p>
    <w:p w:rsidR="000D5B73" w:rsidRPr="00CB5A76" w:rsidRDefault="000D5B73" w:rsidP="000D5B73">
      <w:r w:rsidRPr="00CB5A76">
        <w:t xml:space="preserve">A vacina contra o HZ, já recomendada noutros países </w:t>
      </w:r>
      <w:proofErr w:type="gramStart"/>
      <w:r w:rsidRPr="00CB5A76">
        <w:t>europeus,  ainda</w:t>
      </w:r>
      <w:proofErr w:type="gramEnd"/>
      <w:r w:rsidRPr="00CB5A76">
        <w:t xml:space="preserve"> não se encontra disponível em Portugal. Conhecer o impacto do HZ é importante para fundamentar medidas de saúde pública relacionadas com a vacinação.</w:t>
      </w:r>
    </w:p>
    <w:p w:rsidR="000D5B73" w:rsidRPr="00CB5A76" w:rsidRDefault="000D5B73" w:rsidP="000D5B73">
      <w:r w:rsidRPr="00CB5A76">
        <w:t xml:space="preserve">Métodos: </w:t>
      </w:r>
    </w:p>
    <w:p w:rsidR="000D5B73" w:rsidRPr="000D5B73" w:rsidRDefault="000D5B73" w:rsidP="000D5B73">
      <w:r w:rsidRPr="000D5B73">
        <w:t>Procedeu-se a uma análise retrospetiva da base de dados da Administração Central dos Sistemas de Saúde com a informação clínica codificada dos internamentos hospitalares de todos os indivíduos com o diagnóstico principal de HZ (ICD-9-CM 053) e que tiveram alta entre 2000 e 2010.</w:t>
      </w:r>
    </w:p>
    <w:p w:rsidR="000D5B73" w:rsidRDefault="000D5B73" w:rsidP="000D5B73">
      <w:pPr>
        <w:rPr>
          <w:lang w:val="en-US"/>
        </w:rPr>
      </w:pPr>
      <w:proofErr w:type="spellStart"/>
      <w:r w:rsidRPr="000D5B73">
        <w:rPr>
          <w:lang w:val="en-US"/>
        </w:rPr>
        <w:t>Resultados</w:t>
      </w:r>
      <w:proofErr w:type="spellEnd"/>
      <w:r w:rsidRPr="000D5B73">
        <w:rPr>
          <w:lang w:val="en-US"/>
        </w:rPr>
        <w:t xml:space="preserve">: </w:t>
      </w:r>
    </w:p>
    <w:p w:rsidR="000D5B73" w:rsidRPr="00CB5A76" w:rsidRDefault="000D5B73" w:rsidP="000D5B73">
      <w:r w:rsidRPr="000D5B73">
        <w:t xml:space="preserve">Em Portugal, entre 2000 e 2010, ocorreram 1706 internamentos hospitalares com o diagnóstico principal de HZ. </w:t>
      </w:r>
      <w:r w:rsidRPr="00CB5A76">
        <w:t xml:space="preserve">A maioria dos doentes era idosa. 10.6% </w:t>
      </w:r>
      <w:proofErr w:type="gramStart"/>
      <w:r w:rsidRPr="00CB5A76">
        <w:t>tinham</w:t>
      </w:r>
      <w:proofErr w:type="gramEnd"/>
      <w:r w:rsidRPr="00CB5A76">
        <w:t xml:space="preserve"> formas potencialmente graves de </w:t>
      </w:r>
      <w:proofErr w:type="spellStart"/>
      <w:r w:rsidRPr="00CB5A76">
        <w:t>imunocompromisso</w:t>
      </w:r>
      <w:proofErr w:type="spellEnd"/>
      <w:r w:rsidRPr="00CB5A76">
        <w:t xml:space="preserve">. A doença predominante de HZ sem complicações, seguido de HZ do sistema nervoso e oftálmico. A duração média dos internamentos foi de </w:t>
      </w:r>
      <w:proofErr w:type="gramStart"/>
      <w:r w:rsidRPr="00CB5A76">
        <w:t>9.3</w:t>
      </w:r>
      <w:proofErr w:type="gramEnd"/>
      <w:r w:rsidRPr="00CB5A76">
        <w:t xml:space="preserve"> </w:t>
      </w:r>
      <w:proofErr w:type="gramStart"/>
      <w:r w:rsidRPr="00CB5A76">
        <w:t>dias</w:t>
      </w:r>
      <w:proofErr w:type="gramEnd"/>
      <w:r w:rsidRPr="00CB5A76">
        <w:t xml:space="preserve">, aumentando com a idade. A letalidade intra-hospitalar foi de </w:t>
      </w:r>
      <w:proofErr w:type="gramStart"/>
      <w:r w:rsidRPr="00CB5A76">
        <w:t xml:space="preserve">1%.  </w:t>
      </w:r>
      <w:proofErr w:type="gramEnd"/>
      <w:r w:rsidRPr="00CB5A76">
        <w:t>Considerando o período de 2000-2009 e apenas a população adulta, a média anual da incidência dos internamentos hospitalares com o diagnóstico principal de HZ foi de 1.9 por 100000 habitantes, aumentando com a idade.</w:t>
      </w:r>
    </w:p>
    <w:p w:rsidR="000D5B73" w:rsidRDefault="000D5B73" w:rsidP="000D5B73">
      <w:pPr>
        <w:rPr>
          <w:lang w:val="en-US"/>
        </w:rPr>
      </w:pPr>
      <w:proofErr w:type="spellStart"/>
      <w:r w:rsidRPr="000D5B73">
        <w:rPr>
          <w:lang w:val="en-US"/>
        </w:rPr>
        <w:t>Conclusão</w:t>
      </w:r>
      <w:proofErr w:type="spellEnd"/>
      <w:r w:rsidRPr="000D5B73">
        <w:rPr>
          <w:lang w:val="en-US"/>
        </w:rPr>
        <w:t xml:space="preserve">: </w:t>
      </w:r>
    </w:p>
    <w:p w:rsidR="000D5B73" w:rsidRPr="000D5B73" w:rsidRDefault="000D5B73" w:rsidP="000D5B73">
      <w:r w:rsidRPr="000D5B73">
        <w:t>Este estudo confirma que, em Portugal, as formas graves de HZ estão relacionadas com a idade e associadas a significativa morbilidade, mortalidade e utilização de recursos em saúde.</w:t>
      </w:r>
    </w:p>
    <w:p w:rsidR="000D5B73" w:rsidRDefault="000D5B73" w:rsidP="000D5B73">
      <w:pPr>
        <w:spacing w:after="0"/>
        <w:rPr>
          <w:b/>
          <w:highlight w:val="yellow"/>
        </w:rPr>
      </w:pPr>
    </w:p>
    <w:p w:rsidR="000D5B73" w:rsidRDefault="000D5B73" w:rsidP="000D5B73">
      <w:pPr>
        <w:spacing w:after="0"/>
        <w:rPr>
          <w:b/>
          <w:highlight w:val="yellow"/>
        </w:rPr>
      </w:pPr>
    </w:p>
    <w:p w:rsidR="000D5B73" w:rsidRPr="00736732" w:rsidRDefault="000D5B73" w:rsidP="000D5B73">
      <w:pPr>
        <w:spacing w:after="0"/>
        <w:rPr>
          <w:b/>
          <w:highlight w:val="yellow"/>
        </w:rPr>
      </w:pPr>
    </w:p>
    <w:p w:rsidR="000D5B73" w:rsidRPr="000D5B73" w:rsidRDefault="000D5B73">
      <w:r w:rsidRPr="000D5B73">
        <w:br w:type="page"/>
      </w:r>
    </w:p>
    <w:p w:rsidR="000D5B73" w:rsidRPr="000D5B73" w:rsidRDefault="000D5B73" w:rsidP="000D5B73">
      <w:pPr>
        <w:rPr>
          <w:b/>
          <w:lang w:val="en-US"/>
        </w:rPr>
      </w:pPr>
      <w:r w:rsidRPr="000D5B73">
        <w:rPr>
          <w:b/>
          <w:lang w:val="en-US"/>
        </w:rPr>
        <w:lastRenderedPageBreak/>
        <w:t>Abstract</w:t>
      </w:r>
    </w:p>
    <w:p w:rsidR="000D5B73" w:rsidRDefault="000D5B73" w:rsidP="000D5B73">
      <w:pPr>
        <w:rPr>
          <w:lang w:val="en-US"/>
        </w:rPr>
      </w:pPr>
      <w:r>
        <w:rPr>
          <w:lang w:val="en-US"/>
        </w:rPr>
        <w:t>Background:</w:t>
      </w:r>
    </w:p>
    <w:p w:rsidR="000D5B73" w:rsidRPr="000D5B73" w:rsidRDefault="000D5B73" w:rsidP="000D5B73">
      <w:pPr>
        <w:rPr>
          <w:lang w:val="en-US"/>
        </w:rPr>
      </w:pPr>
      <w:r w:rsidRPr="000D5B73">
        <w:rPr>
          <w:lang w:val="en-US"/>
        </w:rPr>
        <w:t>Herpes zoster</w:t>
      </w:r>
      <w:r>
        <w:rPr>
          <w:lang w:val="en-US"/>
        </w:rPr>
        <w:t xml:space="preserve"> (HZ) and post-herpetic neu</w:t>
      </w:r>
      <w:r w:rsidRPr="000D5B73">
        <w:rPr>
          <w:lang w:val="en-US"/>
        </w:rPr>
        <w:t>ralgia</w:t>
      </w:r>
      <w:r>
        <w:rPr>
          <w:lang w:val="en-US"/>
        </w:rPr>
        <w:t xml:space="preserve"> (PHN)</w:t>
      </w:r>
      <w:r w:rsidRPr="000D5B73">
        <w:rPr>
          <w:lang w:val="en-US"/>
        </w:rPr>
        <w:t xml:space="preserve"> increasing </w:t>
      </w:r>
      <w:r>
        <w:rPr>
          <w:lang w:val="en-US"/>
        </w:rPr>
        <w:t xml:space="preserve">incidence is related to ageing. These conditions can be very debilitating and have an important impact in </w:t>
      </w:r>
      <w:proofErr w:type="gramStart"/>
      <w:r>
        <w:rPr>
          <w:lang w:val="en-US"/>
        </w:rPr>
        <w:t>patients</w:t>
      </w:r>
      <w:proofErr w:type="gramEnd"/>
      <w:r>
        <w:rPr>
          <w:lang w:val="en-US"/>
        </w:rPr>
        <w:t xml:space="preserve"> quality of life.</w:t>
      </w:r>
    </w:p>
    <w:p w:rsidR="000D5B73" w:rsidRPr="009F509D" w:rsidRDefault="000D5B73" w:rsidP="000D5B73">
      <w:pPr>
        <w:rPr>
          <w:lang w:val="en-US"/>
        </w:rPr>
      </w:pPr>
      <w:r w:rsidRPr="009F509D">
        <w:rPr>
          <w:lang w:val="en-US"/>
        </w:rPr>
        <w:t xml:space="preserve">In an ageing population like the Portuguese, is expected that the burden of HZ and PHN rises, nevertheless, a specific surveillance system for zoster does not exist in the country, and data regarding the incidence of HZ and the burden of the disease in Portugal in the last decades was not found. </w:t>
      </w:r>
    </w:p>
    <w:p w:rsidR="000D5B73" w:rsidRPr="009F509D" w:rsidRDefault="000D5B73" w:rsidP="000D5B73">
      <w:pPr>
        <w:rPr>
          <w:lang w:val="en-US"/>
        </w:rPr>
      </w:pPr>
      <w:r w:rsidRPr="009F509D">
        <w:rPr>
          <w:lang w:val="en-US"/>
        </w:rPr>
        <w:t>In Portugal, the vaccine is still not available. Scaling the burden of disease is important to support public health policies regarding zoster vaccination.</w:t>
      </w:r>
    </w:p>
    <w:p w:rsidR="000D5B73" w:rsidRPr="009F509D" w:rsidRDefault="000D5B73" w:rsidP="000D5B73">
      <w:pPr>
        <w:rPr>
          <w:lang w:val="en-US"/>
        </w:rPr>
      </w:pPr>
      <w:r w:rsidRPr="009F509D">
        <w:rPr>
          <w:lang w:val="en-US"/>
        </w:rPr>
        <w:t xml:space="preserve">Methods: </w:t>
      </w:r>
    </w:p>
    <w:p w:rsidR="000D5B73" w:rsidRPr="009F509D" w:rsidRDefault="000D5B73" w:rsidP="000D5B73">
      <w:pPr>
        <w:rPr>
          <w:lang w:val="en-US"/>
        </w:rPr>
      </w:pPr>
      <w:r w:rsidRPr="009F509D">
        <w:rPr>
          <w:lang w:val="en-US"/>
        </w:rPr>
        <w:t xml:space="preserve">We carried out a retrospective analysis from encoded information from the Portuguese </w:t>
      </w:r>
      <w:proofErr w:type="spellStart"/>
      <w:r w:rsidRPr="009F509D">
        <w:rPr>
          <w:lang w:val="en-US"/>
        </w:rPr>
        <w:t>Ministery</w:t>
      </w:r>
      <w:proofErr w:type="spellEnd"/>
      <w:r w:rsidRPr="009F509D">
        <w:rPr>
          <w:lang w:val="en-US"/>
        </w:rPr>
        <w:t xml:space="preserve"> of Health database for hospital admissions which included all individuals with a primary diagnosis of Herpes Zoster (IDC-9-CM 053), who were discharged between 2000 and 2010.</w:t>
      </w:r>
    </w:p>
    <w:p w:rsidR="000D5B73" w:rsidRPr="000D5B73" w:rsidRDefault="000D5B73" w:rsidP="000D5B73">
      <w:pPr>
        <w:rPr>
          <w:lang w:val="en-US"/>
        </w:rPr>
      </w:pPr>
      <w:r w:rsidRPr="000D5B73">
        <w:rPr>
          <w:lang w:val="en-US"/>
        </w:rPr>
        <w:t>Results:</w:t>
      </w:r>
    </w:p>
    <w:p w:rsidR="000D5B73" w:rsidRPr="009F509D" w:rsidRDefault="000D5B73" w:rsidP="000D5B73">
      <w:pPr>
        <w:rPr>
          <w:lang w:val="en-US"/>
        </w:rPr>
      </w:pPr>
      <w:r w:rsidRPr="009F509D">
        <w:rPr>
          <w:lang w:val="en-US"/>
        </w:rPr>
        <w:t xml:space="preserve">In Portugal, between 2000 and 2010, 1706 hospital admissions with primary diagnosis of HZ occurred. The majority of the patients were elderly.  10.6% of the patients had potentially severe </w:t>
      </w:r>
      <w:proofErr w:type="spellStart"/>
      <w:r w:rsidRPr="009F509D">
        <w:rPr>
          <w:lang w:val="en-US"/>
        </w:rPr>
        <w:t>immunocompromise</w:t>
      </w:r>
      <w:proofErr w:type="spellEnd"/>
      <w:r w:rsidRPr="009F509D">
        <w:rPr>
          <w:lang w:val="en-US"/>
        </w:rPr>
        <w:t xml:space="preserve">. The predominant disease was uncomplicated HZ, followed by nervous system and ophthalmic HZ. Mean hospital stay length was 9.3 days, increasing with age. There was a 1% case fatality rate. Considering the 2000-2009 </w:t>
      </w:r>
      <w:proofErr w:type="gramStart"/>
      <w:r w:rsidRPr="009F509D">
        <w:rPr>
          <w:lang w:val="en-US"/>
        </w:rPr>
        <w:t>period</w:t>
      </w:r>
      <w:proofErr w:type="gramEnd"/>
      <w:r w:rsidRPr="009F509D">
        <w:rPr>
          <w:lang w:val="en-US"/>
        </w:rPr>
        <w:t xml:space="preserve"> and the adult population only, the average annual incidence rate of hospitalization with primary diagnosis of HZ in Portugal was 1.9/100.000 inhabitants, increasing with age.</w:t>
      </w:r>
    </w:p>
    <w:p w:rsidR="000D5B73" w:rsidRPr="009F509D" w:rsidRDefault="000D5B73" w:rsidP="000D5B73">
      <w:pPr>
        <w:rPr>
          <w:lang w:val="en-US"/>
        </w:rPr>
      </w:pPr>
      <w:r w:rsidRPr="009F509D">
        <w:rPr>
          <w:lang w:val="en-US"/>
        </w:rPr>
        <w:t>Conclusion:</w:t>
      </w:r>
    </w:p>
    <w:p w:rsidR="000D5B73" w:rsidRPr="009F509D" w:rsidRDefault="000D5B73" w:rsidP="000D5B73">
      <w:pPr>
        <w:rPr>
          <w:lang w:val="en-US"/>
        </w:rPr>
      </w:pPr>
      <w:r w:rsidRPr="009F509D">
        <w:rPr>
          <w:lang w:val="en-US"/>
        </w:rPr>
        <w:t xml:space="preserve">This study confirms that, in Portugal, severe Herpes Zoster is related to ageing and associated with significant morbidity, mortality and health resources allocation. </w:t>
      </w:r>
    </w:p>
    <w:p w:rsidR="000D5B73" w:rsidRPr="000D5B73" w:rsidRDefault="000D5B73" w:rsidP="000D5B73">
      <w:pPr>
        <w:rPr>
          <w:lang w:val="en-US"/>
        </w:rPr>
      </w:pPr>
    </w:p>
    <w:p w:rsidR="000D5B73" w:rsidRDefault="000D5B73" w:rsidP="000D5B73">
      <w:pPr>
        <w:rPr>
          <w:b/>
          <w:lang w:val="en-US"/>
        </w:rPr>
      </w:pPr>
    </w:p>
    <w:p w:rsidR="000D5B73" w:rsidRPr="00E169D1" w:rsidRDefault="000D5B73" w:rsidP="000D5B73">
      <w:pPr>
        <w:rPr>
          <w:b/>
          <w:lang w:val="en-US"/>
        </w:rPr>
      </w:pPr>
    </w:p>
    <w:p w:rsidR="00E169D1" w:rsidRDefault="00E169D1" w:rsidP="007B74B9">
      <w:pPr>
        <w:rPr>
          <w:b/>
          <w:lang w:val="en-US"/>
        </w:rPr>
      </w:pPr>
    </w:p>
    <w:p w:rsidR="00E169D1" w:rsidRDefault="00E169D1" w:rsidP="007B74B9">
      <w:pPr>
        <w:rPr>
          <w:b/>
          <w:lang w:val="en-US"/>
        </w:rPr>
      </w:pPr>
    </w:p>
    <w:p w:rsidR="007B74B9" w:rsidRPr="007B74B9" w:rsidRDefault="007B74B9" w:rsidP="007B74B9">
      <w:pPr>
        <w:rPr>
          <w:lang w:val="en-US"/>
        </w:rPr>
      </w:pPr>
      <w:r w:rsidRPr="007B74B9">
        <w:rPr>
          <w:rFonts w:ascii="Times New Roman" w:hAnsi="Times New Roman" w:cs="Times New Roman"/>
          <w:lang w:val="en-US"/>
        </w:rPr>
        <w:t> </w:t>
      </w:r>
    </w:p>
    <w:p w:rsidR="00E169D1" w:rsidRDefault="00E169D1">
      <w:pPr>
        <w:rPr>
          <w:b/>
          <w:lang w:val="en-US"/>
        </w:rPr>
      </w:pPr>
      <w:r>
        <w:rPr>
          <w:b/>
          <w:lang w:val="en-US"/>
        </w:rPr>
        <w:br w:type="page"/>
      </w:r>
    </w:p>
    <w:p w:rsidR="007B74B9" w:rsidRPr="00291840" w:rsidRDefault="007B74B9" w:rsidP="007B74B9">
      <w:pPr>
        <w:rPr>
          <w:b/>
          <w:lang w:val="en-US"/>
        </w:rPr>
      </w:pPr>
      <w:r w:rsidRPr="00291840">
        <w:rPr>
          <w:b/>
          <w:lang w:val="en-US"/>
        </w:rPr>
        <w:lastRenderedPageBreak/>
        <w:t>Introduction</w:t>
      </w:r>
    </w:p>
    <w:p w:rsidR="007B74B9" w:rsidRPr="007B74B9" w:rsidRDefault="007B74B9" w:rsidP="007B74B9">
      <w:pPr>
        <w:rPr>
          <w:lang w:val="en-US"/>
        </w:rPr>
      </w:pPr>
      <w:r w:rsidRPr="007B74B9">
        <w:rPr>
          <w:lang w:val="en-US"/>
        </w:rPr>
        <w:t>Herpes zoster (HZ), also known as shingles, is the clinical manifestation of the reactivation of latent varicella zoster virus (VZV), which as a primary infection caus</w:t>
      </w:r>
      <w:r w:rsidR="00291840">
        <w:rPr>
          <w:lang w:val="en-US"/>
        </w:rPr>
        <w:t>es varicella or chickenpox (1,</w:t>
      </w:r>
      <w:r w:rsidRPr="007B74B9">
        <w:rPr>
          <w:lang w:val="en-US"/>
        </w:rPr>
        <w:t>2).</w:t>
      </w:r>
    </w:p>
    <w:p w:rsidR="007B74B9" w:rsidRPr="007B74B9" w:rsidRDefault="007B74B9" w:rsidP="007B74B9">
      <w:pPr>
        <w:rPr>
          <w:lang w:val="en-US"/>
        </w:rPr>
      </w:pPr>
      <w:r w:rsidRPr="007B74B9">
        <w:rPr>
          <w:lang w:val="en-US"/>
        </w:rPr>
        <w:t xml:space="preserve"> HZ is a potentially serious and debilitating condition usually characterized by a unilateral vesicular rash and is usually</w:t>
      </w:r>
      <w:r w:rsidR="00291840">
        <w:rPr>
          <w:lang w:val="en-US"/>
        </w:rPr>
        <w:t xml:space="preserve"> accompanied by acute pain (2,</w:t>
      </w:r>
      <w:r w:rsidRPr="007B74B9">
        <w:rPr>
          <w:lang w:val="en-US"/>
        </w:rPr>
        <w:t>3).</w:t>
      </w:r>
    </w:p>
    <w:p w:rsidR="007B74B9" w:rsidRPr="007B74B9" w:rsidRDefault="007B74B9" w:rsidP="007B74B9">
      <w:pPr>
        <w:rPr>
          <w:lang w:val="en-US"/>
        </w:rPr>
      </w:pPr>
      <w:r w:rsidRPr="007B74B9">
        <w:rPr>
          <w:rFonts w:hint="eastAsia"/>
          <w:lang w:val="en-US"/>
        </w:rPr>
        <w:t xml:space="preserve">The most frequent and debilitating complication of HZ is post-herpetic neuralgia (PHN), a persistent neuropathic pain syndrome often defined as pain that persists for </w:t>
      </w:r>
      <w:r w:rsidRPr="007B74B9">
        <w:rPr>
          <w:rFonts w:hint="eastAsia"/>
          <w:lang w:val="en-US"/>
        </w:rPr>
        <w:t>≥</w:t>
      </w:r>
      <w:r w:rsidRPr="007B74B9">
        <w:rPr>
          <w:rFonts w:hint="eastAsia"/>
          <w:lang w:val="en-US"/>
        </w:rPr>
        <w:t xml:space="preserve">90 days </w:t>
      </w:r>
      <w:r w:rsidR="00291840">
        <w:rPr>
          <w:rFonts w:hint="eastAsia"/>
          <w:lang w:val="en-US"/>
        </w:rPr>
        <w:t>after the onset of HZ rash (2,</w:t>
      </w:r>
      <w:r w:rsidRPr="007B74B9">
        <w:rPr>
          <w:rFonts w:hint="eastAsia"/>
          <w:lang w:val="en-US"/>
        </w:rPr>
        <w:t>4).</w:t>
      </w:r>
    </w:p>
    <w:p w:rsidR="007B74B9" w:rsidRPr="007B74B9" w:rsidRDefault="007B74B9" w:rsidP="007B74B9">
      <w:pPr>
        <w:rPr>
          <w:lang w:val="en-US"/>
        </w:rPr>
      </w:pPr>
      <w:r w:rsidRPr="007B74B9">
        <w:rPr>
          <w:lang w:val="en-US"/>
        </w:rPr>
        <w:t xml:space="preserve">HZ, and particularly PHN, can have a devastating impact on </w:t>
      </w:r>
      <w:r w:rsidR="00EC696D" w:rsidRPr="007B74B9">
        <w:rPr>
          <w:lang w:val="en-US"/>
        </w:rPr>
        <w:t>patients’</w:t>
      </w:r>
      <w:r w:rsidRPr="007B74B9">
        <w:rPr>
          <w:lang w:val="en-US"/>
        </w:rPr>
        <w:t xml:space="preserve"> quality of life, interfering with daily living activities and also affecting psycho</w:t>
      </w:r>
      <w:r w:rsidR="00291840">
        <w:rPr>
          <w:lang w:val="en-US"/>
        </w:rPr>
        <w:t>logical and social domains (5,</w:t>
      </w:r>
      <w:r w:rsidRPr="007B74B9">
        <w:rPr>
          <w:lang w:val="en-US"/>
        </w:rPr>
        <w:t>6).</w:t>
      </w:r>
    </w:p>
    <w:p w:rsidR="007B74B9" w:rsidRPr="007B74B9" w:rsidRDefault="007B74B9" w:rsidP="007B74B9">
      <w:pPr>
        <w:rPr>
          <w:lang w:val="en-US"/>
        </w:rPr>
      </w:pPr>
      <w:r w:rsidRPr="007B74B9">
        <w:rPr>
          <w:lang w:val="en-US"/>
        </w:rPr>
        <w:t>The increasing incidence and severity of HZ and PHN can be associated with an age-related decline in VZV-specific cell-mediated immunity deri</w:t>
      </w:r>
      <w:r w:rsidR="00291840">
        <w:rPr>
          <w:lang w:val="en-US"/>
        </w:rPr>
        <w:t xml:space="preserve">ving from </w:t>
      </w:r>
      <w:proofErr w:type="spellStart"/>
      <w:r w:rsidR="00291840">
        <w:rPr>
          <w:lang w:val="en-US"/>
        </w:rPr>
        <w:t>immunosenescense</w:t>
      </w:r>
      <w:proofErr w:type="spellEnd"/>
      <w:r w:rsidR="00291840">
        <w:rPr>
          <w:lang w:val="en-US"/>
        </w:rPr>
        <w:t xml:space="preserve"> (3,</w:t>
      </w:r>
      <w:r w:rsidRPr="007B74B9">
        <w:rPr>
          <w:lang w:val="en-US"/>
        </w:rPr>
        <w:t>7).</w:t>
      </w:r>
    </w:p>
    <w:p w:rsidR="007B74B9" w:rsidRPr="007B74B9" w:rsidRDefault="00291840" w:rsidP="007B74B9">
      <w:pPr>
        <w:rPr>
          <w:lang w:val="en-US"/>
        </w:rPr>
      </w:pPr>
      <w:r>
        <w:rPr>
          <w:rFonts w:hint="eastAsia"/>
          <w:lang w:val="en-US"/>
        </w:rPr>
        <w:t>Approximately 25% of</w:t>
      </w:r>
      <w:r w:rsidR="007B74B9" w:rsidRPr="007B74B9">
        <w:rPr>
          <w:rFonts w:hint="eastAsia"/>
          <w:lang w:val="en-US"/>
        </w:rPr>
        <w:t xml:space="preserve"> people will develop HZ during their lifetime (8) and this risk rate roughly doubles with each decade of life</w:t>
      </w:r>
      <w:r>
        <w:rPr>
          <w:rFonts w:hint="eastAsia"/>
          <w:lang w:val="en-US"/>
        </w:rPr>
        <w:t xml:space="preserve"> after 50 years (9) reaching 50%</w:t>
      </w:r>
      <w:r w:rsidR="007B74B9" w:rsidRPr="007B74B9">
        <w:rPr>
          <w:rFonts w:hint="eastAsia"/>
          <w:lang w:val="en-US"/>
        </w:rPr>
        <w:t xml:space="preserve"> in those aged </w:t>
      </w:r>
      <w:r w:rsidR="007B74B9" w:rsidRPr="007B74B9">
        <w:rPr>
          <w:rFonts w:hint="eastAsia"/>
          <w:lang w:val="en-US"/>
        </w:rPr>
        <w:t>≥</w:t>
      </w:r>
      <w:r w:rsidR="007B74B9" w:rsidRPr="007B74B9">
        <w:rPr>
          <w:rFonts w:hint="eastAsia"/>
          <w:lang w:val="en-US"/>
        </w:rPr>
        <w:t>85 years (5). Incidence rates range from approximately 3/1000 inhabitants per year</w:t>
      </w:r>
      <w:r w:rsidR="007B74B9" w:rsidRPr="007B74B9">
        <w:rPr>
          <w:lang w:val="en-US"/>
        </w:rPr>
        <w:t xml:space="preserve"> at the age of 50 (7) to 9/1000 at the age of 65 (10) and 10/1000 at the age of 80 (7) (11).</w:t>
      </w:r>
    </w:p>
    <w:p w:rsidR="007B74B9" w:rsidRPr="007B74B9" w:rsidRDefault="007B74B9" w:rsidP="007B74B9">
      <w:pPr>
        <w:rPr>
          <w:lang w:val="en-US"/>
        </w:rPr>
      </w:pPr>
      <w:r w:rsidRPr="007B74B9">
        <w:rPr>
          <w:lang w:val="en-US"/>
        </w:rPr>
        <w:t xml:space="preserve"> On average, 10–20% of HZ patients will develop PHN, which can persist for years or even decades after the HZ rash has gone, with rates of 25–50% reported in patients over 50 years old, depend</w:t>
      </w:r>
      <w:r w:rsidR="00291840">
        <w:rPr>
          <w:lang w:val="en-US"/>
        </w:rPr>
        <w:t>ing on the definition used (2,</w:t>
      </w:r>
      <w:r w:rsidRPr="007B74B9">
        <w:rPr>
          <w:lang w:val="en-US"/>
        </w:rPr>
        <w:t>12).</w:t>
      </w:r>
    </w:p>
    <w:p w:rsidR="007B74B9" w:rsidRPr="007B74B9" w:rsidRDefault="007B74B9" w:rsidP="007B74B9">
      <w:pPr>
        <w:rPr>
          <w:lang w:val="en-US"/>
        </w:rPr>
      </w:pPr>
      <w:r w:rsidRPr="007B74B9">
        <w:rPr>
          <w:lang w:val="en-US"/>
        </w:rPr>
        <w:t>The second most frequent a</w:t>
      </w:r>
      <w:r w:rsidR="00291840">
        <w:rPr>
          <w:lang w:val="en-US"/>
        </w:rPr>
        <w:t>re the ophthalmic complications</w:t>
      </w:r>
      <w:r w:rsidRPr="007B74B9">
        <w:rPr>
          <w:lang w:val="en-US"/>
        </w:rPr>
        <w:t xml:space="preserve"> (13)</w:t>
      </w:r>
      <w:r w:rsidR="00291840">
        <w:rPr>
          <w:lang w:val="en-US"/>
        </w:rPr>
        <w:t>.</w:t>
      </w:r>
    </w:p>
    <w:p w:rsidR="007B74B9" w:rsidRPr="007B74B9" w:rsidRDefault="007B74B9" w:rsidP="007B74B9">
      <w:pPr>
        <w:rPr>
          <w:lang w:val="en-US"/>
        </w:rPr>
      </w:pPr>
      <w:r w:rsidRPr="007B74B9">
        <w:rPr>
          <w:lang w:val="en-US"/>
        </w:rPr>
        <w:t>Studies refer need for inpatient care for 1.3% to 4</w:t>
      </w:r>
      <w:r w:rsidR="00291840">
        <w:rPr>
          <w:lang w:val="en-US"/>
        </w:rPr>
        <w:t>.</w:t>
      </w:r>
      <w:r w:rsidRPr="007B74B9">
        <w:rPr>
          <w:lang w:val="en-US"/>
        </w:rPr>
        <w:t>4 % of HZ cases (</w:t>
      </w:r>
      <w:r w:rsidR="00291840">
        <w:rPr>
          <w:lang w:val="en-US"/>
        </w:rPr>
        <w:t>10,14)</w:t>
      </w:r>
      <w:r w:rsidRPr="007B74B9">
        <w:rPr>
          <w:lang w:val="en-US"/>
        </w:rPr>
        <w:t>, depending and almost 2% of PHN (14). Hospitalization rates increased with age, reaching more than 19% of the cases for 80+ patients (10).</w:t>
      </w:r>
    </w:p>
    <w:p w:rsidR="007B74B9" w:rsidRPr="007B74B9" w:rsidRDefault="007B74B9" w:rsidP="007B74B9">
      <w:pPr>
        <w:rPr>
          <w:lang w:val="en-US"/>
        </w:rPr>
      </w:pPr>
      <w:r w:rsidRPr="007B74B9">
        <w:rPr>
          <w:lang w:val="en-US"/>
        </w:rPr>
        <w:t xml:space="preserve">While antiviral therapy reduces the severity and duration of HZ, it does not prevent PHN, which remains a poorly controlled condition, even after standard therapeutic approach (5). </w:t>
      </w:r>
    </w:p>
    <w:p w:rsidR="007B74B9" w:rsidRPr="007B74B9" w:rsidRDefault="007B74B9" w:rsidP="007B74B9">
      <w:pPr>
        <w:rPr>
          <w:lang w:val="en-US"/>
        </w:rPr>
      </w:pPr>
      <w:r w:rsidRPr="007B74B9">
        <w:rPr>
          <w:lang w:val="en-US"/>
        </w:rPr>
        <w:t xml:space="preserve">In terms of zoster prevention, the existing vaccine showed to be safe and effective for immunization of </w:t>
      </w:r>
      <w:proofErr w:type="spellStart"/>
      <w:r w:rsidRPr="007B74B9">
        <w:rPr>
          <w:lang w:val="en-US"/>
        </w:rPr>
        <w:t>immunocompetent</w:t>
      </w:r>
      <w:proofErr w:type="spellEnd"/>
      <w:r w:rsidRPr="007B74B9">
        <w:rPr>
          <w:lang w:val="en-US"/>
        </w:rPr>
        <w:t xml:space="preserve"> individuals with no history of recent zoster</w:t>
      </w:r>
      <w:r w:rsidR="00291840">
        <w:rPr>
          <w:lang w:val="en-US"/>
        </w:rPr>
        <w:t xml:space="preserve"> (15)</w:t>
      </w:r>
      <w:r w:rsidRPr="007B74B9">
        <w:rPr>
          <w:lang w:val="en-US"/>
        </w:rPr>
        <w:t>. The preventive effect of the vaccine has been associated to a boost on host cell-mediated immunity to VZV (16).</w:t>
      </w:r>
    </w:p>
    <w:p w:rsidR="007B74B9" w:rsidRPr="007B74B9" w:rsidRDefault="007B74B9" w:rsidP="007B74B9">
      <w:pPr>
        <w:rPr>
          <w:lang w:val="en-US"/>
        </w:rPr>
      </w:pPr>
      <w:r w:rsidRPr="007B74B9">
        <w:rPr>
          <w:lang w:val="en-US"/>
        </w:rPr>
        <w:t>In the elderly, vaccination significantly decreased shingles incidence, the development of PHN and its severity, and reduced the burden of both disea</w:t>
      </w:r>
      <w:r w:rsidR="00291840">
        <w:rPr>
          <w:lang w:val="en-US"/>
        </w:rPr>
        <w:t>ses (17,</w:t>
      </w:r>
      <w:r w:rsidR="00270BEA">
        <w:rPr>
          <w:lang w:val="en-US"/>
        </w:rPr>
        <w:t>18).</w:t>
      </w:r>
    </w:p>
    <w:p w:rsidR="007B74B9" w:rsidRPr="007B74B9" w:rsidRDefault="007B74B9" w:rsidP="007B74B9">
      <w:pPr>
        <w:rPr>
          <w:lang w:val="en-US"/>
        </w:rPr>
      </w:pPr>
      <w:r w:rsidRPr="007B74B9">
        <w:rPr>
          <w:lang w:val="en-US"/>
        </w:rPr>
        <w:t>The programmatic vaccination of the elderly population is actually considered cost-effective in some countries like Canada (19), US (20), UK (21), Netherlands (22) and is also recommended in Austria (23), Australia (24) and Greece</w:t>
      </w:r>
      <w:r w:rsidR="003C190A">
        <w:rPr>
          <w:lang w:val="en-US"/>
        </w:rPr>
        <w:t xml:space="preserve"> </w:t>
      </w:r>
      <w:r w:rsidRPr="007B74B9">
        <w:rPr>
          <w:lang w:val="en-US"/>
        </w:rPr>
        <w:t>(25).</w:t>
      </w:r>
    </w:p>
    <w:p w:rsidR="007B74B9" w:rsidRPr="007B74B9" w:rsidRDefault="007B74B9" w:rsidP="007B74B9">
      <w:pPr>
        <w:rPr>
          <w:lang w:val="en-US"/>
        </w:rPr>
      </w:pPr>
      <w:r w:rsidRPr="007B74B9">
        <w:rPr>
          <w:lang w:val="en-US"/>
        </w:rPr>
        <w:lastRenderedPageBreak/>
        <w:t>Portugal assists to an accelerated demographic aging process. Portuguese individuals</w:t>
      </w:r>
      <w:r w:rsidR="00270BEA">
        <w:rPr>
          <w:lang w:val="en-US"/>
        </w:rPr>
        <w:t xml:space="preserve"> over 65 years old increased 18.2% in the last decade, from 16.</w:t>
      </w:r>
      <w:r w:rsidRPr="007B74B9">
        <w:rPr>
          <w:lang w:val="en-US"/>
        </w:rPr>
        <w:t>4% of</w:t>
      </w:r>
      <w:r w:rsidR="00270BEA">
        <w:rPr>
          <w:lang w:val="en-US"/>
        </w:rPr>
        <w:t xml:space="preserve"> total population in 2001 to 19.</w:t>
      </w:r>
      <w:r w:rsidRPr="007B74B9">
        <w:rPr>
          <w:lang w:val="en-US"/>
        </w:rPr>
        <w:t>0% in 2011. People reached a</w:t>
      </w:r>
      <w:r w:rsidR="00270BEA">
        <w:rPr>
          <w:lang w:val="en-US"/>
        </w:rPr>
        <w:t xml:space="preserve">n average life expectancy of 82.1 years </w:t>
      </w:r>
      <w:r w:rsidRPr="007B74B9">
        <w:rPr>
          <w:lang w:val="en-US"/>
        </w:rPr>
        <w:t>for wom</w:t>
      </w:r>
      <w:r w:rsidR="00270BEA">
        <w:rPr>
          <w:lang w:val="en-US"/>
        </w:rPr>
        <w:t>en and 76.</w:t>
      </w:r>
      <w:r w:rsidRPr="007B74B9">
        <w:rPr>
          <w:lang w:val="en-US"/>
        </w:rPr>
        <w:t>1 for men between 2008 and 2010</w:t>
      </w:r>
      <w:r w:rsidR="00270BEA">
        <w:rPr>
          <w:lang w:val="en-US"/>
        </w:rPr>
        <w:t xml:space="preserve"> (26).</w:t>
      </w:r>
    </w:p>
    <w:p w:rsidR="007B74B9" w:rsidRPr="007B74B9" w:rsidRDefault="007B74B9" w:rsidP="007B74B9">
      <w:pPr>
        <w:rPr>
          <w:lang w:val="en-US"/>
        </w:rPr>
      </w:pPr>
      <w:r w:rsidRPr="007B74B9">
        <w:rPr>
          <w:lang w:val="en-US"/>
        </w:rPr>
        <w:t>In an ageing population like the Portuguese, is expected that the burden of HZ and PHN rises (2</w:t>
      </w:r>
      <w:r w:rsidR="00270BEA">
        <w:rPr>
          <w:lang w:val="en-US"/>
        </w:rPr>
        <w:t>,3,7</w:t>
      </w:r>
      <w:r w:rsidRPr="007B74B9">
        <w:rPr>
          <w:lang w:val="en-US"/>
        </w:rPr>
        <w:t xml:space="preserve">), nevertheless, a specific surveillance system for zoster does not exist in the country, and data regarding the incidence of HZ and the burden of the disease in Portugal in the last decades was not found. </w:t>
      </w:r>
    </w:p>
    <w:p w:rsidR="007B74B9" w:rsidRPr="007B74B9" w:rsidRDefault="007B74B9" w:rsidP="007B74B9">
      <w:pPr>
        <w:rPr>
          <w:lang w:val="en-US"/>
        </w:rPr>
      </w:pPr>
      <w:r w:rsidRPr="007B74B9">
        <w:rPr>
          <w:lang w:val="en-US"/>
        </w:rPr>
        <w:t xml:space="preserve">In Portugal, the vaccine is still not available. Scaling the burden of disease is important to support public health policies regarding zoster vaccination. </w:t>
      </w:r>
    </w:p>
    <w:p w:rsidR="007B74B9" w:rsidRPr="007B74B9" w:rsidRDefault="007B74B9" w:rsidP="007B74B9">
      <w:pPr>
        <w:rPr>
          <w:lang w:val="en-US"/>
        </w:rPr>
      </w:pPr>
      <w:r w:rsidRPr="007B74B9">
        <w:rPr>
          <w:lang w:val="en-US"/>
        </w:rPr>
        <w:t>This study aimed to characterize the incidence of hospital admission with HZ between 2000 and 2010 and analyze the patient’s characteristics over that period.</w:t>
      </w:r>
    </w:p>
    <w:p w:rsidR="007B74B9" w:rsidRPr="003C190A" w:rsidRDefault="007B74B9" w:rsidP="007B74B9">
      <w:pPr>
        <w:rPr>
          <w:b/>
          <w:lang w:val="en-US"/>
        </w:rPr>
      </w:pPr>
      <w:r w:rsidRPr="003C190A">
        <w:rPr>
          <w:b/>
          <w:lang w:val="en-US"/>
        </w:rPr>
        <w:t>Methods</w:t>
      </w:r>
    </w:p>
    <w:p w:rsidR="007B74B9" w:rsidRPr="007B74B9" w:rsidRDefault="007B74B9" w:rsidP="007B74B9">
      <w:pPr>
        <w:rPr>
          <w:lang w:val="en-US"/>
        </w:rPr>
      </w:pPr>
      <w:r w:rsidRPr="007B74B9">
        <w:rPr>
          <w:lang w:val="en-US"/>
        </w:rPr>
        <w:t>In this study we analyzed retrospectively all the hospital admissions encoded with zoster (ICD-9-CM 053) as primary diagnosis in public health system hospitals in mainland Portugal, between 2000 and 2010. Patients of all ages were included.</w:t>
      </w:r>
    </w:p>
    <w:p w:rsidR="007B74B9" w:rsidRPr="007B74B9" w:rsidRDefault="007B74B9" w:rsidP="007B74B9">
      <w:pPr>
        <w:rPr>
          <w:lang w:val="en-US"/>
        </w:rPr>
      </w:pPr>
      <w:r w:rsidRPr="007B74B9">
        <w:rPr>
          <w:lang w:val="en-US"/>
        </w:rPr>
        <w:t>We searched for herpes zoster with meningitis (ICD 053</w:t>
      </w:r>
      <w:r w:rsidR="003C190A">
        <w:rPr>
          <w:lang w:val="en-US"/>
        </w:rPr>
        <w:t>.</w:t>
      </w:r>
      <w:r w:rsidRPr="007B74B9">
        <w:rPr>
          <w:lang w:val="en-US"/>
        </w:rPr>
        <w:t>00), herpes zoster with unspecified complications of the nervous system (ICD 053</w:t>
      </w:r>
      <w:r w:rsidR="003C190A">
        <w:rPr>
          <w:lang w:val="en-US"/>
        </w:rPr>
        <w:t>.</w:t>
      </w:r>
      <w:r w:rsidRPr="007B74B9">
        <w:rPr>
          <w:lang w:val="en-US"/>
        </w:rPr>
        <w:t>10), geniculate herpes zoster (ICD 053</w:t>
      </w:r>
      <w:r w:rsidR="003C190A">
        <w:rPr>
          <w:lang w:val="en-US"/>
        </w:rPr>
        <w:t>.</w:t>
      </w:r>
      <w:r w:rsidRPr="007B74B9">
        <w:rPr>
          <w:lang w:val="en-US"/>
        </w:rPr>
        <w:t>11), trigeminal post-herpetic neuralgia (ICD 053</w:t>
      </w:r>
      <w:r w:rsidR="003C190A">
        <w:rPr>
          <w:lang w:val="en-US"/>
        </w:rPr>
        <w:t>.</w:t>
      </w:r>
      <w:r w:rsidRPr="007B74B9">
        <w:rPr>
          <w:lang w:val="en-US"/>
        </w:rPr>
        <w:t>12), post-herpetic polyneuropathy (ICD 053</w:t>
      </w:r>
      <w:r w:rsidR="003C190A">
        <w:rPr>
          <w:lang w:val="en-US"/>
        </w:rPr>
        <w:t>.</w:t>
      </w:r>
      <w:r w:rsidRPr="007B74B9">
        <w:rPr>
          <w:lang w:val="en-US"/>
        </w:rPr>
        <w:t>13), herpes zoster with other complications of the nervous system (ICD 053</w:t>
      </w:r>
      <w:r w:rsidR="003C190A">
        <w:rPr>
          <w:lang w:val="en-US"/>
        </w:rPr>
        <w:t>.</w:t>
      </w:r>
      <w:r w:rsidRPr="007B74B9">
        <w:rPr>
          <w:lang w:val="en-US"/>
        </w:rPr>
        <w:t>19), eyelid dermatitis due to herpes zoster (ICD 053</w:t>
      </w:r>
      <w:r w:rsidR="003C190A">
        <w:rPr>
          <w:lang w:val="en-US"/>
        </w:rPr>
        <w:t>.</w:t>
      </w:r>
      <w:r w:rsidRPr="007B74B9">
        <w:rPr>
          <w:lang w:val="en-US"/>
        </w:rPr>
        <w:t xml:space="preserve">20), </w:t>
      </w:r>
      <w:proofErr w:type="spellStart"/>
      <w:r w:rsidRPr="007B74B9">
        <w:rPr>
          <w:lang w:val="en-US"/>
        </w:rPr>
        <w:t>keratoconjunctivitis</w:t>
      </w:r>
      <w:proofErr w:type="spellEnd"/>
      <w:r w:rsidRPr="007B74B9">
        <w:rPr>
          <w:lang w:val="en-US"/>
        </w:rPr>
        <w:t xml:space="preserve"> due to herpes zoster (ICD 053</w:t>
      </w:r>
      <w:r w:rsidR="003C190A">
        <w:rPr>
          <w:lang w:val="en-US"/>
        </w:rPr>
        <w:t>.</w:t>
      </w:r>
      <w:r w:rsidRPr="007B74B9">
        <w:rPr>
          <w:lang w:val="en-US"/>
        </w:rPr>
        <w:t>21), uveitis due to herpes zoster (ICD 053</w:t>
      </w:r>
      <w:r w:rsidR="003C190A">
        <w:rPr>
          <w:lang w:val="en-US"/>
        </w:rPr>
        <w:t>.</w:t>
      </w:r>
      <w:r w:rsidRPr="007B74B9">
        <w:rPr>
          <w:lang w:val="en-US"/>
        </w:rPr>
        <w:t>22), herpes zoster with other ophthalmic complications (ICD 053</w:t>
      </w:r>
      <w:r w:rsidR="003C190A">
        <w:rPr>
          <w:lang w:val="en-US"/>
        </w:rPr>
        <w:t>.</w:t>
      </w:r>
      <w:r w:rsidRPr="007B74B9">
        <w:rPr>
          <w:lang w:val="en-US"/>
        </w:rPr>
        <w:t>29), external otitis due to herpes zoster (ICD 053</w:t>
      </w:r>
      <w:r w:rsidR="003C190A">
        <w:rPr>
          <w:lang w:val="en-US"/>
        </w:rPr>
        <w:t>.</w:t>
      </w:r>
      <w:r w:rsidRPr="007B74B9">
        <w:rPr>
          <w:lang w:val="en-US"/>
        </w:rPr>
        <w:t>71), herpes zoster with other specified complications (ICD 053</w:t>
      </w:r>
      <w:r w:rsidR="003C190A">
        <w:rPr>
          <w:lang w:val="en-US"/>
        </w:rPr>
        <w:t>.</w:t>
      </w:r>
      <w:r w:rsidRPr="007B74B9">
        <w:rPr>
          <w:lang w:val="en-US"/>
        </w:rPr>
        <w:t>79), herpes zoster with unspecified complications (ICD 053</w:t>
      </w:r>
      <w:r w:rsidR="003C190A">
        <w:rPr>
          <w:lang w:val="en-US"/>
        </w:rPr>
        <w:t>.</w:t>
      </w:r>
      <w:r w:rsidRPr="007B74B9">
        <w:rPr>
          <w:lang w:val="en-US"/>
        </w:rPr>
        <w:t>8) and herpes zoster without complications (ICD 05</w:t>
      </w:r>
      <w:r w:rsidR="003C190A">
        <w:rPr>
          <w:lang w:val="en-US"/>
        </w:rPr>
        <w:t>.</w:t>
      </w:r>
      <w:r w:rsidRPr="007B74B9">
        <w:rPr>
          <w:lang w:val="en-US"/>
        </w:rPr>
        <w:t>39) in the Central Administration of the Health System (ACSS) of the Portuguese Ministry of Health database.</w:t>
      </w:r>
    </w:p>
    <w:p w:rsidR="007B74B9" w:rsidRPr="007B74B9" w:rsidRDefault="007B74B9" w:rsidP="007B74B9">
      <w:pPr>
        <w:rPr>
          <w:lang w:val="en-US"/>
        </w:rPr>
      </w:pPr>
      <w:r w:rsidRPr="007B74B9">
        <w:rPr>
          <w:lang w:val="en-US"/>
        </w:rPr>
        <w:t xml:space="preserve">This database contains administrative and clinical data of all admissions to National Health hospitals, which covers almost the whole resident population of mainland Portugal.  The clinical information, including diagnoses and procedures, is encoded from the details of the hospital discharge report by medical staff specially trained in hospital coding, using the International Classification of Diseases, 9th Revision - Clinical Modification (ICD-9-CM). </w:t>
      </w:r>
    </w:p>
    <w:p w:rsidR="007B74B9" w:rsidRPr="007B74B9" w:rsidRDefault="007B74B9" w:rsidP="007B74B9">
      <w:pPr>
        <w:rPr>
          <w:lang w:val="en-US"/>
        </w:rPr>
      </w:pPr>
      <w:r w:rsidRPr="007B74B9">
        <w:rPr>
          <w:lang w:val="en-US"/>
        </w:rPr>
        <w:t>To obtain the relevant indicators for this study we adopted a descriptive statistical analysis approach focused on variables gender, age, immune status, type of HZ disease year of admission, length of hospital stay ad outcome.</w:t>
      </w:r>
    </w:p>
    <w:p w:rsidR="007B74B9" w:rsidRPr="007B74B9" w:rsidRDefault="007B74B9" w:rsidP="007B74B9">
      <w:pPr>
        <w:rPr>
          <w:lang w:val="en-US"/>
        </w:rPr>
      </w:pPr>
      <w:r w:rsidRPr="007B74B9">
        <w:rPr>
          <w:lang w:val="en-US"/>
        </w:rPr>
        <w:t>The analysis of clinical information maintained patient anonymity.</w:t>
      </w:r>
    </w:p>
    <w:p w:rsidR="007B74B9" w:rsidRPr="007B74B9" w:rsidRDefault="007B74B9" w:rsidP="007B74B9">
      <w:pPr>
        <w:rPr>
          <w:lang w:val="en-US"/>
        </w:rPr>
      </w:pPr>
      <w:r w:rsidRPr="007B74B9">
        <w:rPr>
          <w:lang w:val="en-US"/>
        </w:rPr>
        <w:t>The size of the population of mainland Portugal was obtained from the Info line of the National Institute of Statistics (26) and corresponds to the estimates of the resident population at the end of the year, subdivided by age and gender.</w:t>
      </w:r>
    </w:p>
    <w:p w:rsidR="007B74B9" w:rsidRPr="007B74B9" w:rsidRDefault="007B74B9" w:rsidP="007B74B9">
      <w:pPr>
        <w:rPr>
          <w:lang w:val="en-US"/>
        </w:rPr>
      </w:pPr>
      <w:r w:rsidRPr="007B74B9">
        <w:rPr>
          <w:lang w:val="en-US"/>
        </w:rPr>
        <w:lastRenderedPageBreak/>
        <w:t>All the calculations presented were obtained using the Microsoft Excel spreadsheet and SPSS 18. Statistical tests used comprised T tests, Chi Square tests and Pearson correlation. The results of the used statistical tests wer</w:t>
      </w:r>
      <w:r w:rsidR="003C190A">
        <w:rPr>
          <w:lang w:val="en-US"/>
        </w:rPr>
        <w:t>e considered significant if p&lt;0.</w:t>
      </w:r>
      <w:r w:rsidRPr="007B74B9">
        <w:rPr>
          <w:lang w:val="en-US"/>
        </w:rPr>
        <w:t>05.</w:t>
      </w:r>
    </w:p>
    <w:p w:rsidR="007B74B9" w:rsidRPr="003C190A" w:rsidRDefault="007B74B9" w:rsidP="007B74B9">
      <w:pPr>
        <w:rPr>
          <w:b/>
          <w:lang w:val="en-US"/>
        </w:rPr>
      </w:pPr>
      <w:r w:rsidRPr="003C190A">
        <w:rPr>
          <w:b/>
          <w:lang w:val="en-US"/>
        </w:rPr>
        <w:t>Results</w:t>
      </w:r>
    </w:p>
    <w:p w:rsidR="003C190A" w:rsidRPr="003C190A" w:rsidRDefault="003C190A" w:rsidP="007B74B9">
      <w:pPr>
        <w:rPr>
          <w:lang w:val="en-US"/>
        </w:rPr>
      </w:pPr>
      <w:r w:rsidRPr="003C190A">
        <w:rPr>
          <w:rFonts w:cs="Arial"/>
          <w:i/>
          <w:iCs/>
          <w:color w:val="000000"/>
          <w:szCs w:val="24"/>
          <w:lang w:val="en-US"/>
        </w:rPr>
        <w:t>Patient characteristics</w:t>
      </w:r>
      <w:r w:rsidRPr="003C190A">
        <w:rPr>
          <w:lang w:val="en-US"/>
        </w:rPr>
        <w:t xml:space="preserve"> </w:t>
      </w:r>
    </w:p>
    <w:p w:rsidR="007B74B9" w:rsidRPr="007B74B9" w:rsidRDefault="007B74B9" w:rsidP="007B74B9">
      <w:pPr>
        <w:rPr>
          <w:lang w:val="en-US"/>
        </w:rPr>
      </w:pPr>
      <w:r w:rsidRPr="007B74B9">
        <w:rPr>
          <w:lang w:val="en-US"/>
        </w:rPr>
        <w:t xml:space="preserve">In Portugal, here were 1706 hospital admissions with HZ encoded as the primary diagnosis between 2000 and 2010, with an annual frequency that ranged from 131 episodes in 2000 to 182 in 2010, with average of 155 episodes (SD 15.2) per year (Figure 1). </w:t>
      </w:r>
    </w:p>
    <w:p w:rsidR="007B74B9" w:rsidRPr="007B74B9" w:rsidRDefault="007B74B9" w:rsidP="007B74B9">
      <w:pPr>
        <w:rPr>
          <w:lang w:val="en-US"/>
        </w:rPr>
      </w:pPr>
      <w:r w:rsidRPr="007B74B9">
        <w:rPr>
          <w:lang w:val="en-US"/>
        </w:rPr>
        <w:t>The 1706 cases with primary diagnostic of HZ represented 26.4% of the total 6474 episodes with HZ encoded as primary or secondary diagnosis during that period (Table 1).</w:t>
      </w:r>
    </w:p>
    <w:p w:rsidR="007B74B9" w:rsidRPr="007B74B9" w:rsidRDefault="007B74B9" w:rsidP="007B74B9">
      <w:pPr>
        <w:rPr>
          <w:lang w:val="en-US"/>
        </w:rPr>
      </w:pPr>
      <w:r w:rsidRPr="007B74B9">
        <w:rPr>
          <w:lang w:val="en-US"/>
        </w:rPr>
        <w:t>From the 1706 episodes, 54% of the patients were women (N=922) and 46% men (N=784).</w:t>
      </w:r>
    </w:p>
    <w:p w:rsidR="007B74B9" w:rsidRPr="007B74B9" w:rsidRDefault="007B74B9" w:rsidP="007B74B9">
      <w:pPr>
        <w:rPr>
          <w:lang w:val="en-US"/>
        </w:rPr>
      </w:pPr>
      <w:r w:rsidRPr="007B74B9">
        <w:rPr>
          <w:lang w:val="en-US"/>
        </w:rPr>
        <w:t>The average age was 57.1 years (SD: 25.2), with a median age of 64 years. The average age was 55.4 (SD: 25.3) for men and 60.0 (SD: 24.8) for women (p&lt;0,001). The greatest age was 98 years for women and 99 for men and the lowest was 0 years for the both genders. (Figure 2)</w:t>
      </w:r>
    </w:p>
    <w:p w:rsidR="003C190A" w:rsidRDefault="007B74B9" w:rsidP="007B74B9">
      <w:pPr>
        <w:rPr>
          <w:lang w:val="en-US"/>
        </w:rPr>
      </w:pPr>
      <w:r w:rsidRPr="007B74B9">
        <w:rPr>
          <w:lang w:val="en-US"/>
        </w:rPr>
        <w:t>Regarding the distribution o</w:t>
      </w:r>
      <w:r w:rsidR="00377AC8">
        <w:rPr>
          <w:lang w:val="en-US"/>
        </w:rPr>
        <w:t>f the episodes by age group, 12.</w:t>
      </w:r>
      <w:r w:rsidRPr="007B74B9">
        <w:rPr>
          <w:lang w:val="en-US"/>
        </w:rPr>
        <w:t>4% were pediatric patients and 31.2% were adults (18-59 years). 69% of the patients were 50+, 56% were 60+, 41% were 70+ and 19% were 80+.</w:t>
      </w:r>
    </w:p>
    <w:p w:rsidR="003C190A" w:rsidRPr="003C190A" w:rsidRDefault="003C190A" w:rsidP="003C190A">
      <w:pPr>
        <w:rPr>
          <w:i/>
          <w:lang w:val="en-US"/>
        </w:rPr>
      </w:pPr>
      <w:r w:rsidRPr="003C190A">
        <w:rPr>
          <w:i/>
          <w:lang w:val="en-US"/>
        </w:rPr>
        <w:t>Incidence rate</w:t>
      </w:r>
    </w:p>
    <w:p w:rsidR="003C190A" w:rsidRPr="007B74B9" w:rsidRDefault="003C190A" w:rsidP="003C190A">
      <w:pPr>
        <w:rPr>
          <w:lang w:val="en-US"/>
        </w:rPr>
      </w:pPr>
      <w:r w:rsidRPr="007B74B9">
        <w:rPr>
          <w:lang w:val="en-US"/>
        </w:rPr>
        <w:t>Considering the 2000-2009 period and the adult population only, the average annual incidence rate of hospitalization with primary diagnosi</w:t>
      </w:r>
      <w:r w:rsidR="006728D0">
        <w:rPr>
          <w:lang w:val="en-US"/>
        </w:rPr>
        <w:t>s of HZ in Portugal was 1.9/100</w:t>
      </w:r>
      <w:r w:rsidRPr="007B74B9">
        <w:rPr>
          <w:lang w:val="en-US"/>
        </w:rPr>
        <w:t>000 inhabitants. This incidence rate showed a consistent increase with age, ranging from 0.5/100000 for the</w:t>
      </w:r>
      <w:r>
        <w:rPr>
          <w:lang w:val="en-US"/>
        </w:rPr>
        <w:t xml:space="preserve"> </w:t>
      </w:r>
      <w:r w:rsidR="006728D0">
        <w:rPr>
          <w:lang w:val="en-US"/>
        </w:rPr>
        <w:t xml:space="preserve">18–29 age </w:t>
      </w:r>
      <w:proofErr w:type="gramStart"/>
      <w:r w:rsidR="006728D0">
        <w:rPr>
          <w:lang w:val="en-US"/>
        </w:rPr>
        <w:t>group</w:t>
      </w:r>
      <w:proofErr w:type="gramEnd"/>
      <w:r w:rsidR="006728D0">
        <w:rPr>
          <w:lang w:val="en-US"/>
        </w:rPr>
        <w:t xml:space="preserve"> to 0.7/100</w:t>
      </w:r>
      <w:r w:rsidRPr="007B74B9">
        <w:rPr>
          <w:lang w:val="en-US"/>
        </w:rPr>
        <w:t>000 f</w:t>
      </w:r>
      <w:r w:rsidR="006728D0">
        <w:rPr>
          <w:lang w:val="en-US"/>
        </w:rPr>
        <w:t>or the 30-49 age group, 1.7/100</w:t>
      </w:r>
      <w:r w:rsidRPr="007B74B9">
        <w:rPr>
          <w:lang w:val="en-US"/>
        </w:rPr>
        <w:t xml:space="preserve">000 for the 50-64 age group, </w:t>
      </w:r>
      <w:r w:rsidR="006728D0">
        <w:rPr>
          <w:lang w:val="en-US"/>
        </w:rPr>
        <w:t>2.8/100</w:t>
      </w:r>
      <w:r w:rsidRPr="007B74B9">
        <w:rPr>
          <w:lang w:val="en-US"/>
        </w:rPr>
        <w:t>000 f</w:t>
      </w:r>
      <w:r w:rsidR="006728D0">
        <w:rPr>
          <w:lang w:val="en-US"/>
        </w:rPr>
        <w:t>or the 65-74 age group, 5.5/100</w:t>
      </w:r>
      <w:r w:rsidRPr="007B74B9">
        <w:rPr>
          <w:lang w:val="en-US"/>
        </w:rPr>
        <w:t xml:space="preserve">000 for </w:t>
      </w:r>
      <w:r w:rsidR="006728D0">
        <w:rPr>
          <w:lang w:val="en-US"/>
        </w:rPr>
        <w:t>the 75-84 age group and 8.8/100</w:t>
      </w:r>
      <w:r w:rsidRPr="007B74B9">
        <w:rPr>
          <w:lang w:val="en-US"/>
        </w:rPr>
        <w:t>000 for the 85 and older age group.</w:t>
      </w:r>
    </w:p>
    <w:p w:rsidR="007B74B9" w:rsidRPr="003C190A" w:rsidRDefault="007B74B9" w:rsidP="007B74B9">
      <w:pPr>
        <w:rPr>
          <w:i/>
          <w:lang w:val="en-US"/>
        </w:rPr>
      </w:pPr>
      <w:r w:rsidRPr="003C190A">
        <w:rPr>
          <w:i/>
          <w:lang w:val="en-US"/>
        </w:rPr>
        <w:t>Type of disease</w:t>
      </w:r>
    </w:p>
    <w:p w:rsidR="007B74B9" w:rsidRPr="007B74B9" w:rsidRDefault="007B74B9" w:rsidP="007B74B9">
      <w:pPr>
        <w:rPr>
          <w:lang w:val="en-US"/>
        </w:rPr>
      </w:pPr>
      <w:r w:rsidRPr="007B74B9">
        <w:rPr>
          <w:lang w:val="en-US"/>
        </w:rPr>
        <w:t>Regarding to the type of HZ disease, 56.7% of the episodes were f</w:t>
      </w:r>
      <w:r w:rsidR="003C190A">
        <w:rPr>
          <w:lang w:val="en-US"/>
        </w:rPr>
        <w:t>or HZ without complications, 21.</w:t>
      </w:r>
      <w:r w:rsidRPr="007B74B9">
        <w:rPr>
          <w:lang w:val="en-US"/>
        </w:rPr>
        <w:t>0%</w:t>
      </w:r>
      <w:r w:rsidR="003C190A">
        <w:rPr>
          <w:lang w:val="en-US"/>
        </w:rPr>
        <w:t xml:space="preserve"> for nervous system disease, 16.</w:t>
      </w:r>
      <w:r w:rsidRPr="007B74B9">
        <w:rPr>
          <w:lang w:val="en-US"/>
        </w:rPr>
        <w:t>6% for ophth</w:t>
      </w:r>
      <w:r w:rsidR="003C190A">
        <w:rPr>
          <w:lang w:val="en-US"/>
        </w:rPr>
        <w:t>almic disease, 9.</w:t>
      </w:r>
      <w:r w:rsidRPr="007B74B9">
        <w:rPr>
          <w:lang w:val="en-US"/>
        </w:rPr>
        <w:t xml:space="preserve">8% for HZ with other complications and 3.2% for </w:t>
      </w:r>
      <w:proofErr w:type="spellStart"/>
      <w:r w:rsidRPr="007B74B9">
        <w:rPr>
          <w:lang w:val="en-US"/>
        </w:rPr>
        <w:t>otologic</w:t>
      </w:r>
      <w:proofErr w:type="spellEnd"/>
      <w:r w:rsidRPr="007B74B9">
        <w:rPr>
          <w:lang w:val="en-US"/>
        </w:rPr>
        <w:t xml:space="preserve"> disease. (Table 2)</w:t>
      </w:r>
    </w:p>
    <w:p w:rsidR="007B74B9" w:rsidRPr="007B74B9" w:rsidRDefault="007B74B9" w:rsidP="007B74B9">
      <w:pPr>
        <w:rPr>
          <w:lang w:val="en-US"/>
        </w:rPr>
      </w:pPr>
      <w:r w:rsidRPr="007B74B9">
        <w:rPr>
          <w:lang w:val="en-US"/>
        </w:rPr>
        <w:t xml:space="preserve">Table 2 – Number of herpes zoster (HZ) admissions, average age, average hospital stay and mortality by type of HZ disease encoded as primary diagnosis. </w:t>
      </w:r>
    </w:p>
    <w:p w:rsidR="007B74B9" w:rsidRPr="003C190A" w:rsidRDefault="007B74B9" w:rsidP="007B74B9">
      <w:pPr>
        <w:rPr>
          <w:i/>
          <w:lang w:val="en-US"/>
        </w:rPr>
      </w:pPr>
      <w:r w:rsidRPr="003C190A">
        <w:rPr>
          <w:i/>
          <w:lang w:val="en-US"/>
        </w:rPr>
        <w:t>Immune status</w:t>
      </w:r>
    </w:p>
    <w:p w:rsidR="007B74B9" w:rsidRPr="007B74B9" w:rsidRDefault="007B74B9" w:rsidP="007B74B9">
      <w:pPr>
        <w:rPr>
          <w:lang w:val="en-US"/>
        </w:rPr>
      </w:pPr>
      <w:r w:rsidRPr="007B74B9">
        <w:rPr>
          <w:lang w:val="en-US"/>
        </w:rPr>
        <w:t xml:space="preserve">Regarding the immune status, 10.6% of the patients were </w:t>
      </w:r>
      <w:proofErr w:type="spellStart"/>
      <w:r w:rsidRPr="007B74B9">
        <w:rPr>
          <w:lang w:val="en-US"/>
        </w:rPr>
        <w:t>immunocompromised</w:t>
      </w:r>
      <w:proofErr w:type="spellEnd"/>
      <w:r w:rsidRPr="007B74B9">
        <w:rPr>
          <w:lang w:val="en-US"/>
        </w:rPr>
        <w:t xml:space="preserve"> (N=180). From these, 48.9% were HIV/AIDS patients (N=88), </w:t>
      </w:r>
      <w:r w:rsidR="003C190A">
        <w:rPr>
          <w:lang w:val="en-US"/>
        </w:rPr>
        <w:t xml:space="preserve">40.6% were transplant patients </w:t>
      </w:r>
      <w:r w:rsidRPr="007B74B9">
        <w:rPr>
          <w:lang w:val="en-US"/>
        </w:rPr>
        <w:t>(N=73) and 10.6% were oncologic patients on chemotherapy (N=19).</w:t>
      </w:r>
    </w:p>
    <w:p w:rsidR="007B74B9" w:rsidRPr="007B74B9" w:rsidRDefault="007B74B9" w:rsidP="007B74B9">
      <w:pPr>
        <w:rPr>
          <w:lang w:val="en-US"/>
        </w:rPr>
      </w:pPr>
      <w:r w:rsidRPr="007B74B9">
        <w:rPr>
          <w:lang w:val="en-US"/>
        </w:rPr>
        <w:lastRenderedPageBreak/>
        <w:t xml:space="preserve">From the </w:t>
      </w:r>
      <w:proofErr w:type="spellStart"/>
      <w:r w:rsidRPr="007B74B9">
        <w:rPr>
          <w:lang w:val="en-US"/>
        </w:rPr>
        <w:t>immunocompromised</w:t>
      </w:r>
      <w:proofErr w:type="spellEnd"/>
      <w:r w:rsidRPr="007B74B9">
        <w:rPr>
          <w:lang w:val="en-US"/>
        </w:rPr>
        <w:t xml:space="preserve"> patients, 56.7% were male and 42.3% were female. The average age was 41.6 years (SD 25.4). 63% of the patients were 30 to 64 years old.  When comparing to the </w:t>
      </w:r>
      <w:proofErr w:type="spellStart"/>
      <w:r w:rsidRPr="007B74B9">
        <w:rPr>
          <w:lang w:val="en-US"/>
        </w:rPr>
        <w:t>immunocompetent</w:t>
      </w:r>
      <w:proofErr w:type="spellEnd"/>
      <w:r w:rsidRPr="007B74B9">
        <w:rPr>
          <w:lang w:val="en-US"/>
        </w:rPr>
        <w:t xml:space="preserve"> patients, predominance of male gender (p=0.02) and younger age (p&lt;0.001) was evident. </w:t>
      </w:r>
    </w:p>
    <w:p w:rsidR="007B74B9" w:rsidRPr="007B74B9" w:rsidRDefault="007B74B9" w:rsidP="007B74B9">
      <w:pPr>
        <w:rPr>
          <w:lang w:val="en-US"/>
        </w:rPr>
      </w:pPr>
      <w:r w:rsidRPr="007B74B9">
        <w:rPr>
          <w:lang w:val="en-US"/>
        </w:rPr>
        <w:t>76.6% of these patients had uncomplicated HZ (N=136).</w:t>
      </w:r>
    </w:p>
    <w:p w:rsidR="007B74B9" w:rsidRPr="003C190A" w:rsidRDefault="007B74B9" w:rsidP="007B74B9">
      <w:pPr>
        <w:rPr>
          <w:i/>
          <w:lang w:val="en-US"/>
        </w:rPr>
      </w:pPr>
      <w:r w:rsidRPr="003C190A">
        <w:rPr>
          <w:i/>
          <w:lang w:val="en-US"/>
        </w:rPr>
        <w:t>Hospital stay</w:t>
      </w:r>
    </w:p>
    <w:p w:rsidR="007B74B9" w:rsidRPr="007B74B9" w:rsidRDefault="007B74B9" w:rsidP="007B74B9">
      <w:pPr>
        <w:rPr>
          <w:lang w:val="en-US"/>
        </w:rPr>
      </w:pPr>
      <w:r w:rsidRPr="007B74B9">
        <w:rPr>
          <w:lang w:val="en-US"/>
        </w:rPr>
        <w:t>The average length of stay for the admissions encoded with HZ</w:t>
      </w:r>
      <w:r w:rsidR="003C190A">
        <w:rPr>
          <w:lang w:val="en-US"/>
        </w:rPr>
        <w:t xml:space="preserve"> as the primary diagnosis was 9.</w:t>
      </w:r>
      <w:r w:rsidRPr="007B74B9">
        <w:rPr>
          <w:lang w:val="en-US"/>
        </w:rPr>
        <w:t xml:space="preserve">3 days (SD 8,2). </w:t>
      </w:r>
    </w:p>
    <w:p w:rsidR="007B74B9" w:rsidRPr="007B74B9" w:rsidRDefault="007B74B9" w:rsidP="007B74B9">
      <w:pPr>
        <w:rPr>
          <w:lang w:val="en-US"/>
        </w:rPr>
      </w:pPr>
      <w:r w:rsidRPr="007B74B9">
        <w:rPr>
          <w:lang w:val="en-US"/>
        </w:rPr>
        <w:t>The hospital stay length showed a weak positive correlation with age (Pearson =0.195, p&lt;0.001) and a significant difference between age groups (p=0.004). (Table 1)</w:t>
      </w:r>
    </w:p>
    <w:p w:rsidR="007B74B9" w:rsidRPr="007B74B9" w:rsidRDefault="007B74B9" w:rsidP="007B74B9">
      <w:pPr>
        <w:rPr>
          <w:lang w:val="en-US"/>
        </w:rPr>
      </w:pPr>
      <w:r w:rsidRPr="007B74B9">
        <w:rPr>
          <w:lang w:val="en-US"/>
        </w:rPr>
        <w:t>Hospital stays &gt;17 days (percentile 90) were more frequent (p&lt;0.001) for patients 65+ (OR 2.48; CI95%1.75-3.52) and for patients with complicated HZ (OR 2.34; CI95%1.65-3.34).</w:t>
      </w:r>
    </w:p>
    <w:p w:rsidR="007B74B9" w:rsidRPr="007B74B9" w:rsidRDefault="007B74B9" w:rsidP="007B74B9">
      <w:pPr>
        <w:rPr>
          <w:lang w:val="en-US"/>
        </w:rPr>
      </w:pPr>
      <w:r w:rsidRPr="007B74B9">
        <w:rPr>
          <w:lang w:val="en-US"/>
        </w:rPr>
        <w:t>The total 1706 admissions with primary HZ diagnosis accounted for 15898 days of inpatient treatment in Portugal during the 2000-2010 period. These correspond to an average of 1445 annual inpatient treatment days. Of these inpatient days, 65% were related to patients aged 60+.</w:t>
      </w:r>
    </w:p>
    <w:p w:rsidR="007B74B9" w:rsidRPr="006728D0" w:rsidRDefault="007B74B9" w:rsidP="007B74B9">
      <w:pPr>
        <w:rPr>
          <w:i/>
          <w:lang w:val="en-US"/>
        </w:rPr>
      </w:pPr>
      <w:r w:rsidRPr="006728D0">
        <w:rPr>
          <w:i/>
          <w:lang w:val="en-US"/>
        </w:rPr>
        <w:t>Outcome</w:t>
      </w:r>
    </w:p>
    <w:p w:rsidR="007B74B9" w:rsidRPr="007B74B9" w:rsidRDefault="007B74B9" w:rsidP="007B74B9">
      <w:pPr>
        <w:rPr>
          <w:lang w:val="en-US"/>
        </w:rPr>
      </w:pPr>
      <w:r w:rsidRPr="007B74B9">
        <w:rPr>
          <w:lang w:val="en-US"/>
        </w:rPr>
        <w:t>Patients who deceased in the hospital had an average age of 76.8 (SD 13.6),</w:t>
      </w:r>
      <w:r w:rsidR="006728D0">
        <w:rPr>
          <w:lang w:val="en-US"/>
        </w:rPr>
        <w:t xml:space="preserve"> being significantly older (p&lt;0.</w:t>
      </w:r>
      <w:r w:rsidRPr="007B74B9">
        <w:rPr>
          <w:lang w:val="en-US"/>
        </w:rPr>
        <w:t xml:space="preserve">001) then the </w:t>
      </w:r>
      <w:proofErr w:type="spellStart"/>
      <w:r w:rsidRPr="007B74B9">
        <w:rPr>
          <w:lang w:val="en-US"/>
        </w:rPr>
        <w:t>survivers</w:t>
      </w:r>
      <w:proofErr w:type="spellEnd"/>
      <w:r w:rsidRPr="007B74B9">
        <w:rPr>
          <w:lang w:val="en-US"/>
        </w:rPr>
        <w:t>.</w:t>
      </w:r>
    </w:p>
    <w:p w:rsidR="007B74B9" w:rsidRPr="007B74B9" w:rsidRDefault="007B74B9" w:rsidP="007B74B9">
      <w:pPr>
        <w:rPr>
          <w:lang w:val="en-US"/>
        </w:rPr>
      </w:pPr>
      <w:r w:rsidRPr="007B74B9">
        <w:rPr>
          <w:lang w:val="en-US"/>
        </w:rPr>
        <w:t>Regarding the intra-</w:t>
      </w:r>
      <w:proofErr w:type="spellStart"/>
      <w:r w:rsidRPr="007B74B9">
        <w:rPr>
          <w:lang w:val="en-US"/>
        </w:rPr>
        <w:t>hospitalar</w:t>
      </w:r>
      <w:proofErr w:type="spellEnd"/>
      <w:r w:rsidRPr="007B74B9">
        <w:rPr>
          <w:lang w:val="en-US"/>
        </w:rPr>
        <w:t xml:space="preserve"> mortality for the admissions with primary diagnosis of HZ, this study revealed a 1% case fatality rate (N=17). From these patients, 9 were male. Ages ranged from 46 to 93 years, with mean age of 76.8 years (SD 18.1). From the deceased patients, 6 were admitted for uncomplicated HZ; 6 for HZ with nervous system complications including 3 with meningitis; 4 for HZ with ophthalmic complications and 1 for HZ with other complications.</w:t>
      </w:r>
    </w:p>
    <w:p w:rsidR="007B74B9" w:rsidRPr="007B74B9" w:rsidRDefault="007B74B9" w:rsidP="007B74B9">
      <w:pPr>
        <w:rPr>
          <w:lang w:val="en-US"/>
        </w:rPr>
      </w:pPr>
    </w:p>
    <w:p w:rsidR="007B74B9" w:rsidRPr="006728D0" w:rsidRDefault="007B74B9" w:rsidP="007B74B9">
      <w:pPr>
        <w:rPr>
          <w:b/>
          <w:lang w:val="en-US"/>
        </w:rPr>
      </w:pPr>
      <w:r w:rsidRPr="006728D0">
        <w:rPr>
          <w:b/>
          <w:lang w:val="en-US"/>
        </w:rPr>
        <w:t>Discussion</w:t>
      </w:r>
    </w:p>
    <w:p w:rsidR="007B74B9" w:rsidRPr="007B74B9" w:rsidRDefault="007B74B9" w:rsidP="007B74B9">
      <w:pPr>
        <w:rPr>
          <w:lang w:val="en-US"/>
        </w:rPr>
      </w:pPr>
      <w:r w:rsidRPr="007B74B9">
        <w:rPr>
          <w:lang w:val="en-US"/>
        </w:rPr>
        <w:t>The last decade was marked by an evident demographic ageing, predisposing the population to an increase on HZ incidence and burden. In other hand, the first zoster vaccine became available. These two motives led to several studies regarding the incidence and burden of the disease in different settings (10</w:t>
      </w:r>
      <w:r w:rsidR="006728D0">
        <w:rPr>
          <w:lang w:val="en-US"/>
        </w:rPr>
        <w:t>,11,14,27-30)</w:t>
      </w:r>
      <w:r w:rsidRPr="007B74B9">
        <w:rPr>
          <w:lang w:val="en-US"/>
        </w:rPr>
        <w:t>.</w:t>
      </w:r>
    </w:p>
    <w:p w:rsidR="007B74B9" w:rsidRPr="007B74B9" w:rsidRDefault="007B74B9" w:rsidP="007B74B9">
      <w:pPr>
        <w:rPr>
          <w:lang w:val="en-US"/>
        </w:rPr>
      </w:pPr>
      <w:r w:rsidRPr="007B74B9">
        <w:rPr>
          <w:lang w:val="en-US"/>
        </w:rPr>
        <w:t>This study focused on the most severe HZ episodes and showed that, in Portugal, during the 2000-2010 period, 1706 hospital admissions with primary diagnosis of HZ occurred. The majority</w:t>
      </w:r>
      <w:r w:rsidR="006728D0">
        <w:rPr>
          <w:lang w:val="en-US"/>
        </w:rPr>
        <w:t xml:space="preserve"> of the patients were elderly. </w:t>
      </w:r>
      <w:r w:rsidRPr="007B74B9">
        <w:rPr>
          <w:lang w:val="en-US"/>
        </w:rPr>
        <w:t xml:space="preserve">10.6% of the patients had potentially severe </w:t>
      </w:r>
      <w:proofErr w:type="spellStart"/>
      <w:r w:rsidRPr="007B74B9">
        <w:rPr>
          <w:lang w:val="en-US"/>
        </w:rPr>
        <w:t>immunocompromise</w:t>
      </w:r>
      <w:proofErr w:type="spellEnd"/>
      <w:r w:rsidRPr="007B74B9">
        <w:rPr>
          <w:lang w:val="en-US"/>
        </w:rPr>
        <w:t xml:space="preserve">. The predominant disease was uncomplicated HZ, followed by nervous system and ophthalmic HZ. Mean hospital stay length was 9.3 days, increasing with age. There was a 1% case fatality rate. Considering the 2000-2009 period and the adult population only, </w:t>
      </w:r>
      <w:r w:rsidRPr="007B74B9">
        <w:rPr>
          <w:lang w:val="en-US"/>
        </w:rPr>
        <w:lastRenderedPageBreak/>
        <w:t>the average annual incidence rate of hospitalization with primary diagnosi</w:t>
      </w:r>
      <w:r w:rsidR="006728D0">
        <w:rPr>
          <w:lang w:val="en-US"/>
        </w:rPr>
        <w:t>s of HZ in Portugal was 1.9/100</w:t>
      </w:r>
      <w:r w:rsidRPr="007B74B9">
        <w:rPr>
          <w:lang w:val="en-US"/>
        </w:rPr>
        <w:t xml:space="preserve">000 inhabitants, increasing with age. </w:t>
      </w:r>
    </w:p>
    <w:p w:rsidR="007B74B9" w:rsidRPr="007B74B9" w:rsidRDefault="007B74B9" w:rsidP="007B74B9">
      <w:pPr>
        <w:rPr>
          <w:lang w:val="en-US"/>
        </w:rPr>
      </w:pPr>
      <w:r w:rsidRPr="007B74B9">
        <w:rPr>
          <w:lang w:val="en-US"/>
        </w:rPr>
        <w:t xml:space="preserve">Our study has </w:t>
      </w:r>
      <w:proofErr w:type="spellStart"/>
      <w:r w:rsidRPr="007B74B9">
        <w:rPr>
          <w:lang w:val="en-US"/>
        </w:rPr>
        <w:t>potencial</w:t>
      </w:r>
      <w:proofErr w:type="spellEnd"/>
      <w:r w:rsidRPr="007B74B9">
        <w:rPr>
          <w:lang w:val="en-US"/>
        </w:rPr>
        <w:t xml:space="preserve"> limitations. The Portuguese Ministry of Health database is essentially administrative. The clinical information is coded from discharge documents; this work is carried out exclusively by medical doctors who have been formally trained in hospital coding, to make the process more rigorous. The Ministry of Health carries out regular audits, both internal and external, of this codification process.</w:t>
      </w:r>
    </w:p>
    <w:p w:rsidR="007B74B9" w:rsidRPr="007B74B9" w:rsidRDefault="007B74B9" w:rsidP="007B74B9">
      <w:pPr>
        <w:rPr>
          <w:lang w:val="en-US"/>
        </w:rPr>
      </w:pPr>
      <w:r w:rsidRPr="007B74B9">
        <w:rPr>
          <w:lang w:val="en-US"/>
        </w:rPr>
        <w:t xml:space="preserve">We included patients of all ages in the study and didn’t exclude patients with underlying immunosuppressive conditions. We didn´t identify as </w:t>
      </w:r>
      <w:proofErr w:type="spellStart"/>
      <w:r w:rsidRPr="007B74B9">
        <w:rPr>
          <w:lang w:val="en-US"/>
        </w:rPr>
        <w:t>immunocompromised</w:t>
      </w:r>
      <w:proofErr w:type="spellEnd"/>
      <w:r w:rsidRPr="007B74B9">
        <w:rPr>
          <w:lang w:val="en-US"/>
        </w:rPr>
        <w:t xml:space="preserve"> the patients with oncologic disease not submitted to chemotherapy. Comparing to other studies, we present a lower percentage of </w:t>
      </w:r>
      <w:proofErr w:type="spellStart"/>
      <w:r w:rsidRPr="007B74B9">
        <w:rPr>
          <w:lang w:val="en-US"/>
        </w:rPr>
        <w:t>immunocompromised</w:t>
      </w:r>
      <w:proofErr w:type="spellEnd"/>
      <w:r w:rsidRPr="007B74B9">
        <w:rPr>
          <w:lang w:val="en-US"/>
        </w:rPr>
        <w:t xml:space="preserve"> patients, fact that can be related to this methodological difference. </w:t>
      </w:r>
    </w:p>
    <w:p w:rsidR="007B74B9" w:rsidRPr="007B74B9" w:rsidRDefault="007B74B9" w:rsidP="007B74B9">
      <w:pPr>
        <w:rPr>
          <w:lang w:val="en-US"/>
        </w:rPr>
      </w:pPr>
      <w:r w:rsidRPr="007B74B9">
        <w:rPr>
          <w:lang w:val="en-US"/>
        </w:rPr>
        <w:t>Data for calculating incidence rates was only accessible for adults (&gt;17 years) and for the period between 2000-2010, and so we could not calculate incidence rates for pediatric patients and for year 2011.</w:t>
      </w:r>
    </w:p>
    <w:p w:rsidR="007B74B9" w:rsidRPr="007B74B9" w:rsidRDefault="007B74B9" w:rsidP="007B74B9">
      <w:pPr>
        <w:rPr>
          <w:lang w:val="en-US"/>
        </w:rPr>
      </w:pPr>
      <w:r w:rsidRPr="007B74B9">
        <w:rPr>
          <w:lang w:val="en-US"/>
        </w:rPr>
        <w:t>Apart from these limitations, the methodologies are similar to those which have been used in other countries (10</w:t>
      </w:r>
      <w:proofErr w:type="gramStart"/>
      <w:r w:rsidR="006728D0">
        <w:rPr>
          <w:lang w:val="en-US"/>
        </w:rPr>
        <w:t>,14,27</w:t>
      </w:r>
      <w:proofErr w:type="gramEnd"/>
      <w:r w:rsidRPr="007B74B9">
        <w:rPr>
          <w:lang w:val="en-US"/>
        </w:rPr>
        <w:t>).</w:t>
      </w:r>
    </w:p>
    <w:p w:rsidR="007B74B9" w:rsidRPr="007B74B9" w:rsidRDefault="007B74B9" w:rsidP="007B74B9">
      <w:pPr>
        <w:rPr>
          <w:lang w:val="en-US"/>
        </w:rPr>
      </w:pPr>
      <w:r w:rsidRPr="007B74B9">
        <w:rPr>
          <w:lang w:val="en-US"/>
        </w:rPr>
        <w:t>One advantage of this study is that it covers a period of 10 years, a fact that can minimize the impact of years that deviate from the norm.</w:t>
      </w:r>
    </w:p>
    <w:p w:rsidR="007B74B9" w:rsidRPr="007B74B9" w:rsidRDefault="007B74B9" w:rsidP="007B74B9">
      <w:pPr>
        <w:rPr>
          <w:lang w:val="en-US"/>
        </w:rPr>
      </w:pPr>
      <w:r w:rsidRPr="007B74B9">
        <w:rPr>
          <w:lang w:val="en-US"/>
        </w:rPr>
        <w:t>Comparing our study to the studies cited above, the main difference found was in the incidence rate of the episodes.  We</w:t>
      </w:r>
      <w:r w:rsidR="006728D0">
        <w:rPr>
          <w:lang w:val="en-US"/>
        </w:rPr>
        <w:t xml:space="preserve"> observed a 1.9/100</w:t>
      </w:r>
      <w:r w:rsidRPr="007B74B9">
        <w:rPr>
          <w:lang w:val="en-US"/>
        </w:rPr>
        <w:t xml:space="preserve">000 inhabitants average annual incidence rate of hospitalization with primary diagnosis of HZ in Portugal. Although methods  were not identical, this rate is lower than the observed in all the other studies, ranging from </w:t>
      </w:r>
      <w:r w:rsidR="006728D0">
        <w:rPr>
          <w:lang w:val="en-US"/>
        </w:rPr>
        <w:t>4.4/100</w:t>
      </w:r>
      <w:r w:rsidRPr="007B74B9">
        <w:rPr>
          <w:lang w:val="en-US"/>
        </w:rPr>
        <w:t>000 in England and Wales (10),to 8,4/</w:t>
      </w:r>
      <w:r w:rsidR="006728D0">
        <w:rPr>
          <w:lang w:val="en-US"/>
        </w:rPr>
        <w:t>100000 in Spain (30), 10.34/100</w:t>
      </w:r>
      <w:r w:rsidRPr="007B74B9">
        <w:rPr>
          <w:lang w:val="en-US"/>
        </w:rPr>
        <w:t>000 in Italy (14), 16.1/100000 in the U.S (28) and 28/100000 in Australia, in patients aged 50+ (27).</w:t>
      </w:r>
    </w:p>
    <w:p w:rsidR="007B74B9" w:rsidRPr="007B74B9" w:rsidRDefault="006728D0" w:rsidP="007B74B9">
      <w:pPr>
        <w:rPr>
          <w:lang w:val="en-US"/>
        </w:rPr>
      </w:pPr>
      <w:r>
        <w:rPr>
          <w:lang w:val="en-US"/>
        </w:rPr>
        <w:t xml:space="preserve">Regarding the </w:t>
      </w:r>
      <w:r w:rsidR="007B74B9" w:rsidRPr="007B74B9">
        <w:rPr>
          <w:lang w:val="en-US"/>
        </w:rPr>
        <w:t xml:space="preserve">length of </w:t>
      </w:r>
      <w:r>
        <w:rPr>
          <w:lang w:val="en-US"/>
        </w:rPr>
        <w:t>the hospital stay, o</w:t>
      </w:r>
      <w:r w:rsidR="007B74B9" w:rsidRPr="007B74B9">
        <w:rPr>
          <w:lang w:val="en-US"/>
        </w:rPr>
        <w:t>ur average</w:t>
      </w:r>
      <w:r>
        <w:rPr>
          <w:lang w:val="en-US"/>
        </w:rPr>
        <w:t xml:space="preserve"> was 9.</w:t>
      </w:r>
      <w:r w:rsidR="007B74B9" w:rsidRPr="007B74B9">
        <w:rPr>
          <w:lang w:val="en-US"/>
        </w:rPr>
        <w:t>3 days, within the average lengths observed in the other studies of 6.8 days in Australia, in 6,8 patients aged 50+ (27)</w:t>
      </w:r>
      <w:r>
        <w:rPr>
          <w:lang w:val="en-US"/>
        </w:rPr>
        <w:t>, 7.8 to 8 days in Italia (14,</w:t>
      </w:r>
      <w:r w:rsidR="007B74B9" w:rsidRPr="007B74B9">
        <w:rPr>
          <w:lang w:val="en-US"/>
        </w:rPr>
        <w:t>29), 8,3 days in Taiwan (11), and 10.8 days in the UK (10).</w:t>
      </w:r>
    </w:p>
    <w:p w:rsidR="007B74B9" w:rsidRPr="007B74B9" w:rsidRDefault="007B74B9" w:rsidP="007B74B9">
      <w:pPr>
        <w:rPr>
          <w:lang w:val="en-US"/>
        </w:rPr>
      </w:pPr>
      <w:r w:rsidRPr="007B74B9">
        <w:rPr>
          <w:lang w:val="en-US"/>
        </w:rPr>
        <w:t>Relating to case fatality rate, our average (1%) was once more within the values o</w:t>
      </w:r>
      <w:r w:rsidR="006728D0">
        <w:rPr>
          <w:lang w:val="en-US"/>
        </w:rPr>
        <w:t>bserved in t</w:t>
      </w:r>
      <w:r w:rsidR="00606C9A">
        <w:rPr>
          <w:lang w:val="en-US"/>
        </w:rPr>
        <w:t>he other studies: 0.5% in the UK (10), 1.9% in the U</w:t>
      </w:r>
      <w:r w:rsidR="006728D0">
        <w:rPr>
          <w:lang w:val="en-US"/>
        </w:rPr>
        <w:t>S (28) and 3.</w:t>
      </w:r>
      <w:r w:rsidRPr="007B74B9">
        <w:rPr>
          <w:lang w:val="en-US"/>
        </w:rPr>
        <w:t>6% in Spain (30).</w:t>
      </w:r>
    </w:p>
    <w:p w:rsidR="007B74B9" w:rsidRPr="007B74B9" w:rsidRDefault="007B74B9" w:rsidP="007B74B9">
      <w:pPr>
        <w:rPr>
          <w:lang w:val="en-US"/>
        </w:rPr>
      </w:pPr>
      <w:r w:rsidRPr="007B74B9">
        <w:rPr>
          <w:lang w:val="en-US"/>
        </w:rPr>
        <w:t>The relation between advancing age and the increased incidence of HZ requiring hospitalization, the increased in hospital stay length and the increased case fatality rate was ob</w:t>
      </w:r>
      <w:r w:rsidR="006728D0">
        <w:rPr>
          <w:lang w:val="en-US"/>
        </w:rPr>
        <w:t>served in several studies (10,11,</w:t>
      </w:r>
      <w:r w:rsidRPr="007B74B9">
        <w:rPr>
          <w:lang w:val="en-US"/>
        </w:rPr>
        <w:t>27).</w:t>
      </w:r>
      <w:r w:rsidR="0049786C">
        <w:rPr>
          <w:lang w:val="en-US"/>
        </w:rPr>
        <w:t xml:space="preserve"> </w:t>
      </w:r>
      <w:r w:rsidRPr="007B74B9">
        <w:rPr>
          <w:lang w:val="en-US"/>
        </w:rPr>
        <w:t>The proportion between genders and disease types was also consonant with what was obser</w:t>
      </w:r>
      <w:r w:rsidR="0049786C">
        <w:rPr>
          <w:lang w:val="en-US"/>
        </w:rPr>
        <w:t xml:space="preserve">ved in the other studies </w:t>
      </w:r>
      <w:r w:rsidR="006728D0">
        <w:rPr>
          <w:lang w:val="en-US"/>
        </w:rPr>
        <w:t>(11,</w:t>
      </w:r>
      <w:r w:rsidRPr="007B74B9">
        <w:rPr>
          <w:lang w:val="en-US"/>
        </w:rPr>
        <w:t>27).</w:t>
      </w:r>
    </w:p>
    <w:p w:rsidR="007B74B9" w:rsidRPr="006728D0" w:rsidRDefault="007B74B9" w:rsidP="007B74B9">
      <w:pPr>
        <w:rPr>
          <w:b/>
          <w:lang w:val="en-US"/>
        </w:rPr>
      </w:pPr>
      <w:r w:rsidRPr="006728D0">
        <w:rPr>
          <w:b/>
          <w:lang w:val="en-US"/>
        </w:rPr>
        <w:t>Conclusion</w:t>
      </w:r>
    </w:p>
    <w:p w:rsidR="007B74B9" w:rsidRPr="007B74B9" w:rsidRDefault="007B74B9" w:rsidP="007B74B9">
      <w:pPr>
        <w:rPr>
          <w:lang w:val="en-US"/>
        </w:rPr>
      </w:pPr>
      <w:r w:rsidRPr="007B74B9">
        <w:rPr>
          <w:lang w:val="en-US"/>
        </w:rPr>
        <w:t xml:space="preserve">This study confirms that, in Portugal, severe Herpes Zoster is related to ageing and associated with significant morbidity, mortality and health resources allocation. </w:t>
      </w:r>
    </w:p>
    <w:p w:rsidR="00547AF3" w:rsidRDefault="007B74B9" w:rsidP="007B74B9">
      <w:pPr>
        <w:rPr>
          <w:lang w:val="en-US"/>
        </w:rPr>
      </w:pPr>
      <w:r w:rsidRPr="007B74B9">
        <w:rPr>
          <w:lang w:val="en-US"/>
        </w:rPr>
        <w:lastRenderedPageBreak/>
        <w:t>Knowledge of the incidence rate of HZ and PHN in primary care settings would be fundamental to completely scale the burden of disease in our country.</w:t>
      </w:r>
    </w:p>
    <w:p w:rsidR="00D712F5" w:rsidRDefault="00D712F5" w:rsidP="007B74B9">
      <w:pPr>
        <w:rPr>
          <w:lang w:val="en-US"/>
        </w:rPr>
      </w:pPr>
    </w:p>
    <w:p w:rsidR="00D712F5" w:rsidRPr="006728D0" w:rsidRDefault="00D712F5" w:rsidP="007B74B9">
      <w:pPr>
        <w:rPr>
          <w:b/>
          <w:lang w:val="en-US"/>
        </w:rPr>
      </w:pPr>
      <w:r w:rsidRPr="006728D0">
        <w:rPr>
          <w:b/>
          <w:lang w:val="en-US"/>
        </w:rPr>
        <w:t>References</w:t>
      </w:r>
    </w:p>
    <w:p w:rsidR="00D712F5" w:rsidRPr="00D712F5" w:rsidRDefault="006728D0" w:rsidP="006728D0">
      <w:pPr>
        <w:ind w:left="426" w:hanging="426"/>
        <w:rPr>
          <w:lang w:val="en-US"/>
        </w:rPr>
      </w:pPr>
      <w:r>
        <w:rPr>
          <w:lang w:val="en-US"/>
        </w:rPr>
        <w:t>1.</w:t>
      </w:r>
      <w:r>
        <w:rPr>
          <w:lang w:val="en-US"/>
        </w:rPr>
        <w:tab/>
      </w:r>
      <w:proofErr w:type="spellStart"/>
      <w:r w:rsidR="00D712F5" w:rsidRPr="00D712F5">
        <w:rPr>
          <w:lang w:val="en-US"/>
        </w:rPr>
        <w:t>Lungu</w:t>
      </w:r>
      <w:proofErr w:type="spellEnd"/>
      <w:r w:rsidR="00D712F5" w:rsidRPr="00D712F5">
        <w:rPr>
          <w:lang w:val="en-US"/>
        </w:rPr>
        <w:t xml:space="preserve"> O, </w:t>
      </w:r>
      <w:proofErr w:type="spellStart"/>
      <w:r w:rsidR="00D712F5" w:rsidRPr="00D712F5">
        <w:rPr>
          <w:lang w:val="en-US"/>
        </w:rPr>
        <w:t>Annunziato</w:t>
      </w:r>
      <w:proofErr w:type="spellEnd"/>
      <w:r w:rsidR="00D712F5" w:rsidRPr="00D712F5">
        <w:rPr>
          <w:lang w:val="en-US"/>
        </w:rPr>
        <w:t xml:space="preserve"> PW, </w:t>
      </w:r>
      <w:proofErr w:type="spellStart"/>
      <w:r w:rsidR="00D712F5" w:rsidRPr="00D712F5">
        <w:rPr>
          <w:lang w:val="en-US"/>
        </w:rPr>
        <w:t>Gershon</w:t>
      </w:r>
      <w:proofErr w:type="spellEnd"/>
      <w:r w:rsidR="00D712F5" w:rsidRPr="00D712F5">
        <w:rPr>
          <w:lang w:val="en-US"/>
        </w:rPr>
        <w:t xml:space="preserve"> A, </w:t>
      </w:r>
      <w:proofErr w:type="spellStart"/>
      <w:r w:rsidR="00D712F5" w:rsidRPr="00D712F5">
        <w:rPr>
          <w:lang w:val="en-US"/>
        </w:rPr>
        <w:t>Staugaitis</w:t>
      </w:r>
      <w:proofErr w:type="spellEnd"/>
      <w:r w:rsidR="00D712F5" w:rsidRPr="00D712F5">
        <w:rPr>
          <w:lang w:val="en-US"/>
        </w:rPr>
        <w:t xml:space="preserve"> SM, </w:t>
      </w:r>
      <w:proofErr w:type="spellStart"/>
      <w:r w:rsidR="00D712F5" w:rsidRPr="00D712F5">
        <w:rPr>
          <w:lang w:val="en-US"/>
        </w:rPr>
        <w:t>Josefson</w:t>
      </w:r>
      <w:proofErr w:type="spellEnd"/>
      <w:r w:rsidR="00D712F5" w:rsidRPr="00D712F5">
        <w:rPr>
          <w:lang w:val="en-US"/>
        </w:rPr>
        <w:t xml:space="preserve"> D, </w:t>
      </w:r>
      <w:proofErr w:type="spellStart"/>
      <w:r w:rsidR="00D712F5" w:rsidRPr="00D712F5">
        <w:rPr>
          <w:lang w:val="en-US"/>
        </w:rPr>
        <w:t>LaRussa</w:t>
      </w:r>
      <w:proofErr w:type="spellEnd"/>
      <w:r w:rsidR="00D712F5" w:rsidRPr="00D712F5">
        <w:rPr>
          <w:lang w:val="en-US"/>
        </w:rPr>
        <w:t xml:space="preserve"> P, Silverstein SJ. </w:t>
      </w:r>
      <w:proofErr w:type="gramStart"/>
      <w:r w:rsidR="00D712F5" w:rsidRPr="00D712F5">
        <w:rPr>
          <w:lang w:val="en-US"/>
        </w:rPr>
        <w:t>Reactivated and latent varicella-zoster virus in human dorsal root ganglia.</w:t>
      </w:r>
      <w:proofErr w:type="gramEnd"/>
      <w:r w:rsidR="00D712F5" w:rsidRPr="00D712F5">
        <w:rPr>
          <w:lang w:val="en-US"/>
        </w:rPr>
        <w:t xml:space="preserve"> </w:t>
      </w:r>
      <w:proofErr w:type="spellStart"/>
      <w:r w:rsidR="00D712F5" w:rsidRPr="00D712F5">
        <w:rPr>
          <w:lang w:val="en-US"/>
        </w:rPr>
        <w:t>Proc</w:t>
      </w:r>
      <w:proofErr w:type="spellEnd"/>
      <w:r w:rsidR="00D712F5" w:rsidRPr="00D712F5">
        <w:rPr>
          <w:lang w:val="en-US"/>
        </w:rPr>
        <w:t xml:space="preserve"> </w:t>
      </w:r>
      <w:proofErr w:type="spellStart"/>
      <w:r w:rsidR="00D712F5" w:rsidRPr="00D712F5">
        <w:rPr>
          <w:lang w:val="en-US"/>
        </w:rPr>
        <w:t>Natl</w:t>
      </w:r>
      <w:proofErr w:type="spellEnd"/>
      <w:r w:rsidR="00D712F5" w:rsidRPr="00D712F5">
        <w:rPr>
          <w:lang w:val="en-US"/>
        </w:rPr>
        <w:t xml:space="preserve"> </w:t>
      </w:r>
      <w:proofErr w:type="spellStart"/>
      <w:r w:rsidR="00D712F5" w:rsidRPr="00D712F5">
        <w:rPr>
          <w:lang w:val="en-US"/>
        </w:rPr>
        <w:t>Acad</w:t>
      </w:r>
      <w:proofErr w:type="spellEnd"/>
      <w:r w:rsidR="00D712F5" w:rsidRPr="00D712F5">
        <w:rPr>
          <w:lang w:val="en-US"/>
        </w:rPr>
        <w:t xml:space="preserve"> </w:t>
      </w:r>
      <w:proofErr w:type="spellStart"/>
      <w:r w:rsidR="00D712F5" w:rsidRPr="00D712F5">
        <w:rPr>
          <w:lang w:val="en-US"/>
        </w:rPr>
        <w:t>Sci</w:t>
      </w:r>
      <w:proofErr w:type="spellEnd"/>
      <w:r w:rsidR="00D712F5" w:rsidRPr="00D712F5">
        <w:rPr>
          <w:lang w:val="en-US"/>
        </w:rPr>
        <w:t xml:space="preserve"> USA 1995</w:t>
      </w:r>
      <w:proofErr w:type="gramStart"/>
      <w:r w:rsidR="00D712F5" w:rsidRPr="00D712F5">
        <w:rPr>
          <w:lang w:val="en-US"/>
        </w:rPr>
        <w:t>;92:10980</w:t>
      </w:r>
      <w:proofErr w:type="gramEnd"/>
      <w:r w:rsidR="00D712F5" w:rsidRPr="00D712F5">
        <w:rPr>
          <w:lang w:val="en-US"/>
        </w:rPr>
        <w:t xml:space="preserve">–10984. </w:t>
      </w:r>
    </w:p>
    <w:p w:rsidR="00D712F5" w:rsidRPr="00D712F5" w:rsidRDefault="006728D0" w:rsidP="006728D0">
      <w:pPr>
        <w:ind w:left="426" w:hanging="426"/>
        <w:rPr>
          <w:lang w:val="en-US"/>
        </w:rPr>
      </w:pPr>
      <w:r>
        <w:rPr>
          <w:lang w:val="en-US"/>
        </w:rPr>
        <w:t>2.</w:t>
      </w:r>
      <w:r>
        <w:rPr>
          <w:lang w:val="en-US"/>
        </w:rPr>
        <w:tab/>
      </w:r>
      <w:r w:rsidR="00D712F5" w:rsidRPr="00D712F5">
        <w:rPr>
          <w:lang w:val="en-US"/>
        </w:rPr>
        <w:t xml:space="preserve">Lukas K, </w:t>
      </w:r>
      <w:proofErr w:type="spellStart"/>
      <w:r w:rsidR="00D712F5" w:rsidRPr="00D712F5">
        <w:rPr>
          <w:lang w:val="en-US"/>
        </w:rPr>
        <w:t>Edte</w:t>
      </w:r>
      <w:proofErr w:type="spellEnd"/>
      <w:r w:rsidR="00D712F5" w:rsidRPr="00D712F5">
        <w:rPr>
          <w:lang w:val="en-US"/>
        </w:rPr>
        <w:t xml:space="preserve"> A, Bertrand I. The impact of herpes zoster and post-herpetic neuralgia on quality of life: patient-reported outcomes in six European countries. J Public Health2012</w:t>
      </w:r>
      <w:proofErr w:type="gramStart"/>
      <w:r w:rsidR="00D712F5" w:rsidRPr="00D712F5">
        <w:rPr>
          <w:lang w:val="en-US"/>
        </w:rPr>
        <w:t>;20:441</w:t>
      </w:r>
      <w:proofErr w:type="gramEnd"/>
      <w:r w:rsidR="00D712F5" w:rsidRPr="00D712F5">
        <w:rPr>
          <w:lang w:val="en-US"/>
        </w:rPr>
        <w:t xml:space="preserve">–451. </w:t>
      </w:r>
    </w:p>
    <w:p w:rsidR="00D712F5" w:rsidRPr="00D712F5" w:rsidRDefault="006728D0" w:rsidP="006728D0">
      <w:pPr>
        <w:ind w:left="426" w:hanging="426"/>
        <w:rPr>
          <w:lang w:val="en-US"/>
        </w:rPr>
      </w:pPr>
      <w:r>
        <w:rPr>
          <w:lang w:val="en-US"/>
        </w:rPr>
        <w:t>3.</w:t>
      </w:r>
      <w:r>
        <w:rPr>
          <w:lang w:val="en-US"/>
        </w:rPr>
        <w:tab/>
      </w:r>
      <w:r w:rsidR="00D712F5" w:rsidRPr="00D712F5">
        <w:rPr>
          <w:lang w:val="en-US"/>
        </w:rPr>
        <w:t xml:space="preserve">Arvin </w:t>
      </w:r>
      <w:proofErr w:type="spellStart"/>
      <w:r w:rsidR="00D712F5" w:rsidRPr="00D712F5">
        <w:rPr>
          <w:lang w:val="en-US"/>
        </w:rPr>
        <w:t>A.Aging</w:t>
      </w:r>
      <w:proofErr w:type="spellEnd"/>
      <w:r w:rsidR="00D712F5" w:rsidRPr="00D712F5">
        <w:rPr>
          <w:lang w:val="en-US"/>
        </w:rPr>
        <w:t xml:space="preserve">, immunity, and the varicella-zoster virus. N </w:t>
      </w:r>
      <w:proofErr w:type="spellStart"/>
      <w:r w:rsidR="00D712F5" w:rsidRPr="00D712F5">
        <w:rPr>
          <w:lang w:val="en-US"/>
        </w:rPr>
        <w:t>Engl</w:t>
      </w:r>
      <w:proofErr w:type="spellEnd"/>
      <w:r w:rsidR="00D712F5" w:rsidRPr="00D712F5">
        <w:rPr>
          <w:lang w:val="en-US"/>
        </w:rPr>
        <w:t xml:space="preserve"> J Med 2005</w:t>
      </w:r>
      <w:proofErr w:type="gramStart"/>
      <w:r w:rsidR="00D712F5" w:rsidRPr="00D712F5">
        <w:rPr>
          <w:lang w:val="en-US"/>
        </w:rPr>
        <w:t>;352:2266</w:t>
      </w:r>
      <w:proofErr w:type="gramEnd"/>
      <w:r w:rsidR="00D712F5" w:rsidRPr="00D712F5">
        <w:rPr>
          <w:lang w:val="en-US"/>
        </w:rPr>
        <w:t xml:space="preserve">–2267. </w:t>
      </w:r>
    </w:p>
    <w:p w:rsidR="00D712F5" w:rsidRPr="00D712F5" w:rsidRDefault="006728D0" w:rsidP="006728D0">
      <w:pPr>
        <w:ind w:left="426" w:hanging="426"/>
        <w:rPr>
          <w:lang w:val="en-US"/>
        </w:rPr>
      </w:pPr>
      <w:r>
        <w:rPr>
          <w:lang w:val="en-US"/>
        </w:rPr>
        <w:t>4.</w:t>
      </w:r>
      <w:r>
        <w:rPr>
          <w:lang w:val="en-US"/>
        </w:rPr>
        <w:tab/>
      </w:r>
      <w:proofErr w:type="spellStart"/>
      <w:r w:rsidR="00D712F5" w:rsidRPr="00D712F5">
        <w:rPr>
          <w:lang w:val="en-US"/>
        </w:rPr>
        <w:t>Schmader</w:t>
      </w:r>
      <w:proofErr w:type="spellEnd"/>
      <w:r w:rsidR="00D712F5" w:rsidRPr="00D712F5">
        <w:rPr>
          <w:lang w:val="en-US"/>
        </w:rPr>
        <w:t xml:space="preserve"> K, </w:t>
      </w:r>
      <w:proofErr w:type="spellStart"/>
      <w:r w:rsidR="00D712F5" w:rsidRPr="00D712F5">
        <w:rPr>
          <w:lang w:val="en-US"/>
        </w:rPr>
        <w:t>Gnann</w:t>
      </w:r>
      <w:proofErr w:type="spellEnd"/>
      <w:r w:rsidR="00D712F5" w:rsidRPr="00D712F5">
        <w:rPr>
          <w:lang w:val="en-US"/>
        </w:rPr>
        <w:t xml:space="preserve"> JW </w:t>
      </w:r>
      <w:proofErr w:type="spellStart"/>
      <w:r w:rsidR="00D712F5" w:rsidRPr="00D712F5">
        <w:rPr>
          <w:lang w:val="en-US"/>
        </w:rPr>
        <w:t>Jr</w:t>
      </w:r>
      <w:proofErr w:type="spellEnd"/>
      <w:r w:rsidR="00D712F5" w:rsidRPr="00D712F5">
        <w:rPr>
          <w:lang w:val="en-US"/>
        </w:rPr>
        <w:t xml:space="preserve">, Watson CP. </w:t>
      </w:r>
      <w:proofErr w:type="gramStart"/>
      <w:r w:rsidR="00D712F5" w:rsidRPr="00D712F5">
        <w:rPr>
          <w:lang w:val="en-US"/>
        </w:rPr>
        <w:t>The epidemiological, clinical, and pathological rationale for the herpes zoster vaccine.</w:t>
      </w:r>
      <w:proofErr w:type="gramEnd"/>
      <w:r w:rsidR="00D712F5" w:rsidRPr="00D712F5">
        <w:rPr>
          <w:lang w:val="en-US"/>
        </w:rPr>
        <w:t xml:space="preserve"> J Infect Dis 2008</w:t>
      </w:r>
      <w:proofErr w:type="gramStart"/>
      <w:r w:rsidR="00D712F5" w:rsidRPr="00D712F5">
        <w:rPr>
          <w:lang w:val="en-US"/>
        </w:rPr>
        <w:t>;197</w:t>
      </w:r>
      <w:proofErr w:type="gramEnd"/>
      <w:r w:rsidR="00D712F5" w:rsidRPr="00D712F5">
        <w:rPr>
          <w:lang w:val="en-US"/>
        </w:rPr>
        <w:t>(</w:t>
      </w:r>
      <w:proofErr w:type="spellStart"/>
      <w:r w:rsidR="00D712F5" w:rsidRPr="00D712F5">
        <w:rPr>
          <w:lang w:val="en-US"/>
        </w:rPr>
        <w:t>Suppl</w:t>
      </w:r>
      <w:proofErr w:type="spellEnd"/>
      <w:r w:rsidR="00D712F5" w:rsidRPr="00D712F5">
        <w:rPr>
          <w:lang w:val="en-US"/>
        </w:rPr>
        <w:t xml:space="preserve"> 2):S207–S215. </w:t>
      </w:r>
    </w:p>
    <w:p w:rsidR="00D712F5" w:rsidRPr="00D712F5" w:rsidRDefault="006728D0" w:rsidP="006728D0">
      <w:pPr>
        <w:ind w:left="426" w:hanging="426"/>
        <w:rPr>
          <w:lang w:val="en-US"/>
        </w:rPr>
      </w:pPr>
      <w:r>
        <w:rPr>
          <w:lang w:val="en-US"/>
        </w:rPr>
        <w:t>5.</w:t>
      </w:r>
      <w:r>
        <w:rPr>
          <w:lang w:val="en-US"/>
        </w:rPr>
        <w:tab/>
      </w:r>
      <w:proofErr w:type="spellStart"/>
      <w:r w:rsidR="00D712F5" w:rsidRPr="00D712F5">
        <w:rPr>
          <w:lang w:val="en-US"/>
        </w:rPr>
        <w:t>Schmader</w:t>
      </w:r>
      <w:proofErr w:type="spellEnd"/>
      <w:r w:rsidR="00D712F5" w:rsidRPr="00D712F5">
        <w:rPr>
          <w:lang w:val="en-US"/>
        </w:rPr>
        <w:t xml:space="preserve"> K. Herpes zoster in older adults. </w:t>
      </w:r>
      <w:proofErr w:type="spellStart"/>
      <w:r w:rsidR="00D712F5" w:rsidRPr="00D712F5">
        <w:rPr>
          <w:lang w:val="en-US"/>
        </w:rPr>
        <w:t>Clin</w:t>
      </w:r>
      <w:proofErr w:type="spellEnd"/>
      <w:r w:rsidR="00D712F5" w:rsidRPr="00D712F5">
        <w:rPr>
          <w:lang w:val="en-US"/>
        </w:rPr>
        <w:t xml:space="preserve"> Infect Dis 2001</w:t>
      </w:r>
      <w:proofErr w:type="gramStart"/>
      <w:r w:rsidR="00D712F5" w:rsidRPr="00D712F5">
        <w:rPr>
          <w:lang w:val="en-US"/>
        </w:rPr>
        <w:t>;32:1481</w:t>
      </w:r>
      <w:proofErr w:type="gramEnd"/>
      <w:r w:rsidR="00D712F5" w:rsidRPr="00D712F5">
        <w:rPr>
          <w:lang w:val="en-US"/>
        </w:rPr>
        <w:t xml:space="preserve">–1486. </w:t>
      </w:r>
    </w:p>
    <w:p w:rsidR="00D712F5" w:rsidRPr="00D712F5" w:rsidRDefault="006728D0" w:rsidP="006728D0">
      <w:pPr>
        <w:ind w:left="426" w:hanging="426"/>
        <w:rPr>
          <w:lang w:val="en-US"/>
        </w:rPr>
      </w:pPr>
      <w:r>
        <w:rPr>
          <w:lang w:val="en-US"/>
        </w:rPr>
        <w:t>6.</w:t>
      </w:r>
      <w:r>
        <w:rPr>
          <w:lang w:val="en-US"/>
        </w:rPr>
        <w:tab/>
      </w:r>
      <w:proofErr w:type="spellStart"/>
      <w:r w:rsidR="00D712F5" w:rsidRPr="00D712F5">
        <w:rPr>
          <w:lang w:val="en-US"/>
        </w:rPr>
        <w:t>Schmader</w:t>
      </w:r>
      <w:proofErr w:type="spellEnd"/>
      <w:r w:rsidR="00D712F5" w:rsidRPr="00D712F5">
        <w:rPr>
          <w:lang w:val="en-US"/>
        </w:rPr>
        <w:t xml:space="preserve"> KE. </w:t>
      </w:r>
      <w:proofErr w:type="gramStart"/>
      <w:r w:rsidR="00D712F5" w:rsidRPr="00D712F5">
        <w:rPr>
          <w:lang w:val="en-US"/>
        </w:rPr>
        <w:t xml:space="preserve">Epidemiology and impact on quality of life of </w:t>
      </w:r>
      <w:proofErr w:type="spellStart"/>
      <w:r w:rsidR="00D712F5" w:rsidRPr="00D712F5">
        <w:rPr>
          <w:lang w:val="en-US"/>
        </w:rPr>
        <w:t>postherpetic</w:t>
      </w:r>
      <w:proofErr w:type="spellEnd"/>
      <w:r w:rsidR="00D712F5" w:rsidRPr="00D712F5">
        <w:rPr>
          <w:lang w:val="en-US"/>
        </w:rPr>
        <w:t xml:space="preserve"> neuralgia and painful diabetic </w:t>
      </w:r>
      <w:proofErr w:type="spellStart"/>
      <w:r w:rsidR="00D712F5" w:rsidRPr="00D712F5">
        <w:rPr>
          <w:lang w:val="en-US"/>
        </w:rPr>
        <w:t>neu-ropathy</w:t>
      </w:r>
      <w:proofErr w:type="spellEnd"/>
      <w:r w:rsidR="00D712F5" w:rsidRPr="00D712F5">
        <w:rPr>
          <w:lang w:val="en-US"/>
        </w:rPr>
        <w:t>.</w:t>
      </w:r>
      <w:proofErr w:type="gramEnd"/>
      <w:r w:rsidR="00D712F5" w:rsidRPr="00D712F5">
        <w:rPr>
          <w:lang w:val="en-US"/>
        </w:rPr>
        <w:t xml:space="preserve"> </w:t>
      </w:r>
      <w:proofErr w:type="spellStart"/>
      <w:r w:rsidR="00D712F5" w:rsidRPr="00D712F5">
        <w:rPr>
          <w:lang w:val="en-US"/>
        </w:rPr>
        <w:t>Clin</w:t>
      </w:r>
      <w:proofErr w:type="spellEnd"/>
      <w:r w:rsidR="00D712F5" w:rsidRPr="00D712F5">
        <w:rPr>
          <w:lang w:val="en-US"/>
        </w:rPr>
        <w:t xml:space="preserve"> J Pain 2002; 18:350-4. </w:t>
      </w:r>
    </w:p>
    <w:p w:rsidR="00D712F5" w:rsidRPr="00D712F5" w:rsidRDefault="006728D0" w:rsidP="006728D0">
      <w:pPr>
        <w:ind w:left="426" w:hanging="426"/>
        <w:rPr>
          <w:lang w:val="en-US"/>
        </w:rPr>
      </w:pPr>
      <w:r>
        <w:rPr>
          <w:lang w:val="en-US"/>
        </w:rPr>
        <w:t>7.</w:t>
      </w:r>
      <w:r>
        <w:rPr>
          <w:lang w:val="en-US"/>
        </w:rPr>
        <w:tab/>
      </w:r>
      <w:r w:rsidR="00D712F5" w:rsidRPr="00D712F5">
        <w:rPr>
          <w:lang w:val="en-US"/>
        </w:rPr>
        <w:t xml:space="preserve">Gauthier A, Breuer J, Carrington D, Martin M, </w:t>
      </w:r>
      <w:proofErr w:type="spellStart"/>
      <w:r w:rsidR="00D712F5" w:rsidRPr="00D712F5">
        <w:rPr>
          <w:lang w:val="en-US"/>
        </w:rPr>
        <w:t>Rémy</w:t>
      </w:r>
      <w:proofErr w:type="spellEnd"/>
      <w:r w:rsidR="00D712F5" w:rsidRPr="00D712F5">
        <w:rPr>
          <w:lang w:val="en-US"/>
        </w:rPr>
        <w:t xml:space="preserve"> V. Epidemiology and cost of herpes zoster and post-herpetic neuralgia in the United Kingdom. </w:t>
      </w:r>
      <w:proofErr w:type="spellStart"/>
      <w:r w:rsidR="00D712F5" w:rsidRPr="00D712F5">
        <w:rPr>
          <w:lang w:val="en-US"/>
        </w:rPr>
        <w:t>Epidemiol</w:t>
      </w:r>
      <w:proofErr w:type="spellEnd"/>
      <w:r w:rsidR="00D712F5" w:rsidRPr="00D712F5">
        <w:rPr>
          <w:lang w:val="en-US"/>
        </w:rPr>
        <w:t xml:space="preserve"> Infect 2009</w:t>
      </w:r>
      <w:proofErr w:type="gramStart"/>
      <w:r w:rsidR="00D712F5" w:rsidRPr="00D712F5">
        <w:rPr>
          <w:lang w:val="en-US"/>
        </w:rPr>
        <w:t>;137:38</w:t>
      </w:r>
      <w:proofErr w:type="gramEnd"/>
      <w:r w:rsidR="00D712F5" w:rsidRPr="00D712F5">
        <w:rPr>
          <w:lang w:val="en-US"/>
        </w:rPr>
        <w:t xml:space="preserve">–47. </w:t>
      </w:r>
    </w:p>
    <w:p w:rsidR="00D712F5" w:rsidRPr="00D712F5" w:rsidRDefault="00D712F5" w:rsidP="006728D0">
      <w:pPr>
        <w:ind w:left="426" w:hanging="426"/>
        <w:rPr>
          <w:lang w:val="en-US"/>
        </w:rPr>
      </w:pPr>
      <w:r w:rsidRPr="00D712F5">
        <w:rPr>
          <w:lang w:val="en-US"/>
        </w:rPr>
        <w:t xml:space="preserve">8. </w:t>
      </w:r>
      <w:r w:rsidR="006728D0">
        <w:rPr>
          <w:lang w:val="en-US"/>
        </w:rPr>
        <w:tab/>
      </w:r>
      <w:r w:rsidRPr="00D712F5">
        <w:rPr>
          <w:lang w:val="en-US"/>
        </w:rPr>
        <w:t xml:space="preserve">Yawn </w:t>
      </w:r>
      <w:proofErr w:type="gramStart"/>
      <w:r w:rsidRPr="00D712F5">
        <w:rPr>
          <w:lang w:val="en-US"/>
        </w:rPr>
        <w:t>BP ,</w:t>
      </w:r>
      <w:proofErr w:type="gramEnd"/>
      <w:r w:rsidRPr="00D712F5">
        <w:rPr>
          <w:lang w:val="en-US"/>
        </w:rPr>
        <w:t xml:space="preserve"> </w:t>
      </w:r>
      <w:proofErr w:type="spellStart"/>
      <w:r w:rsidRPr="00D712F5">
        <w:rPr>
          <w:lang w:val="en-US"/>
        </w:rPr>
        <w:t>Saddier</w:t>
      </w:r>
      <w:proofErr w:type="spellEnd"/>
      <w:r w:rsidRPr="00D712F5">
        <w:rPr>
          <w:lang w:val="en-US"/>
        </w:rPr>
        <w:t xml:space="preserve"> P , </w:t>
      </w:r>
      <w:proofErr w:type="spellStart"/>
      <w:r w:rsidRPr="00D712F5">
        <w:rPr>
          <w:lang w:val="en-US"/>
        </w:rPr>
        <w:t>Wollan</w:t>
      </w:r>
      <w:proofErr w:type="spellEnd"/>
      <w:r w:rsidRPr="00D712F5">
        <w:rPr>
          <w:lang w:val="en-US"/>
        </w:rPr>
        <w:t xml:space="preserve"> PC, St </w:t>
      </w:r>
      <w:proofErr w:type="spellStart"/>
      <w:r w:rsidRPr="00D712F5">
        <w:rPr>
          <w:lang w:val="en-US"/>
        </w:rPr>
        <w:t>Sauver</w:t>
      </w:r>
      <w:proofErr w:type="spellEnd"/>
      <w:r w:rsidRPr="00D712F5">
        <w:rPr>
          <w:lang w:val="en-US"/>
        </w:rPr>
        <w:t xml:space="preserve"> JL, Kurland MJ, </w:t>
      </w:r>
      <w:proofErr w:type="spellStart"/>
      <w:r w:rsidRPr="00D712F5">
        <w:rPr>
          <w:lang w:val="en-US"/>
        </w:rPr>
        <w:t>Sy</w:t>
      </w:r>
      <w:proofErr w:type="spellEnd"/>
      <w:r w:rsidRPr="00D712F5">
        <w:rPr>
          <w:lang w:val="en-US"/>
        </w:rPr>
        <w:t xml:space="preserve"> LS. A population-based study of the incidence and complication rates of herpes zoster before zoster vaccine introducti</w:t>
      </w:r>
      <w:r w:rsidR="006728D0">
        <w:rPr>
          <w:lang w:val="en-US"/>
        </w:rPr>
        <w:t xml:space="preserve">on. Mayo </w:t>
      </w:r>
      <w:proofErr w:type="spellStart"/>
      <w:r w:rsidR="006728D0">
        <w:rPr>
          <w:lang w:val="en-US"/>
        </w:rPr>
        <w:t>Clin</w:t>
      </w:r>
      <w:proofErr w:type="spellEnd"/>
      <w:r w:rsidR="006728D0">
        <w:rPr>
          <w:lang w:val="en-US"/>
        </w:rPr>
        <w:t xml:space="preserve"> </w:t>
      </w:r>
      <w:proofErr w:type="spellStart"/>
      <w:r w:rsidR="006728D0">
        <w:rPr>
          <w:lang w:val="en-US"/>
        </w:rPr>
        <w:t>Proc</w:t>
      </w:r>
      <w:proofErr w:type="spellEnd"/>
      <w:r w:rsidR="006728D0">
        <w:rPr>
          <w:lang w:val="en-US"/>
        </w:rPr>
        <w:t xml:space="preserve"> 82:1341–1349.</w:t>
      </w:r>
    </w:p>
    <w:p w:rsidR="00D712F5" w:rsidRPr="00D712F5" w:rsidRDefault="006728D0" w:rsidP="006728D0">
      <w:pPr>
        <w:ind w:left="426" w:hanging="426"/>
        <w:rPr>
          <w:lang w:val="en-US"/>
        </w:rPr>
      </w:pPr>
      <w:r>
        <w:rPr>
          <w:lang w:val="en-US"/>
        </w:rPr>
        <w:t>9.</w:t>
      </w:r>
      <w:r>
        <w:rPr>
          <w:lang w:val="en-US"/>
        </w:rPr>
        <w:tab/>
      </w:r>
      <w:r w:rsidR="00D712F5" w:rsidRPr="00D712F5">
        <w:rPr>
          <w:lang w:val="en-US"/>
        </w:rPr>
        <w:t xml:space="preserve">Donahue JG, </w:t>
      </w:r>
      <w:proofErr w:type="spellStart"/>
      <w:r w:rsidR="00D712F5" w:rsidRPr="00D712F5">
        <w:rPr>
          <w:lang w:val="en-US"/>
        </w:rPr>
        <w:t>Choo</w:t>
      </w:r>
      <w:proofErr w:type="spellEnd"/>
      <w:r w:rsidR="00D712F5" w:rsidRPr="00D712F5">
        <w:rPr>
          <w:lang w:val="en-US"/>
        </w:rPr>
        <w:t xml:space="preserve"> PW, Manson JE, Platt R. </w:t>
      </w:r>
      <w:proofErr w:type="gramStart"/>
      <w:r w:rsidR="00D712F5" w:rsidRPr="00D712F5">
        <w:rPr>
          <w:lang w:val="en-US"/>
        </w:rPr>
        <w:t>The incidence of herpes zoster.</w:t>
      </w:r>
      <w:proofErr w:type="gramEnd"/>
      <w:r w:rsidR="00D712F5" w:rsidRPr="00D712F5">
        <w:rPr>
          <w:lang w:val="en-US"/>
        </w:rPr>
        <w:t xml:space="preserve"> Arch Intern Med 1995; 155:1605-9. </w:t>
      </w:r>
    </w:p>
    <w:p w:rsidR="00D712F5" w:rsidRPr="00D712F5" w:rsidRDefault="006728D0" w:rsidP="006728D0">
      <w:pPr>
        <w:ind w:left="426" w:hanging="426"/>
        <w:rPr>
          <w:lang w:val="en-US"/>
        </w:rPr>
      </w:pPr>
      <w:r>
        <w:rPr>
          <w:lang w:val="en-US"/>
        </w:rPr>
        <w:t>10.</w:t>
      </w:r>
      <w:r>
        <w:rPr>
          <w:lang w:val="en-US"/>
        </w:rPr>
        <w:tab/>
      </w:r>
      <w:proofErr w:type="spellStart"/>
      <w:r w:rsidR="00D712F5" w:rsidRPr="00D712F5">
        <w:rPr>
          <w:lang w:val="en-US"/>
        </w:rPr>
        <w:t>Brisson</w:t>
      </w:r>
      <w:proofErr w:type="spellEnd"/>
      <w:r w:rsidR="00D712F5" w:rsidRPr="00D712F5">
        <w:rPr>
          <w:lang w:val="en-US"/>
        </w:rPr>
        <w:t xml:space="preserve"> M, Edmunds WJ. </w:t>
      </w:r>
      <w:proofErr w:type="gramStart"/>
      <w:r w:rsidR="00D712F5" w:rsidRPr="00D712F5">
        <w:rPr>
          <w:lang w:val="en-US"/>
        </w:rPr>
        <w:t>Epidemiology of Varicella-Zoster Virus in England and Wales.</w:t>
      </w:r>
      <w:proofErr w:type="gramEnd"/>
      <w:r w:rsidR="00D712F5" w:rsidRPr="00D712F5">
        <w:rPr>
          <w:lang w:val="en-US"/>
        </w:rPr>
        <w:t xml:space="preserve"> Journal of </w:t>
      </w:r>
      <w:r>
        <w:rPr>
          <w:lang w:val="en-US"/>
        </w:rPr>
        <w:t>Medical Virology 2003</w:t>
      </w:r>
      <w:proofErr w:type="gramStart"/>
      <w:r>
        <w:rPr>
          <w:lang w:val="en-US"/>
        </w:rPr>
        <w:t>;70:S9</w:t>
      </w:r>
      <w:proofErr w:type="gramEnd"/>
      <w:r>
        <w:rPr>
          <w:lang w:val="en-US"/>
        </w:rPr>
        <w:t>–S14</w:t>
      </w:r>
      <w:r w:rsidR="00D712F5" w:rsidRPr="00D712F5">
        <w:rPr>
          <w:lang w:val="en-US"/>
        </w:rPr>
        <w:t xml:space="preserve">. </w:t>
      </w:r>
    </w:p>
    <w:p w:rsidR="00D712F5" w:rsidRPr="00D712F5" w:rsidRDefault="006728D0" w:rsidP="006728D0">
      <w:pPr>
        <w:ind w:left="426" w:hanging="426"/>
        <w:rPr>
          <w:lang w:val="en-US"/>
        </w:rPr>
      </w:pPr>
      <w:r>
        <w:rPr>
          <w:lang w:val="en-US"/>
        </w:rPr>
        <w:t>11.</w:t>
      </w:r>
      <w:r>
        <w:rPr>
          <w:lang w:val="en-US"/>
        </w:rPr>
        <w:tab/>
      </w:r>
      <w:r w:rsidR="00D712F5" w:rsidRPr="00D712F5">
        <w:rPr>
          <w:lang w:val="en-US"/>
        </w:rPr>
        <w:t xml:space="preserve">Lin YH, Huang LM, Chang IS. </w:t>
      </w:r>
      <w:proofErr w:type="gramStart"/>
      <w:r w:rsidR="00D712F5" w:rsidRPr="00D712F5">
        <w:rPr>
          <w:lang w:val="en-US"/>
        </w:rPr>
        <w:t xml:space="preserve">Disease burden and epidemiology of herpes zoster in </w:t>
      </w:r>
      <w:proofErr w:type="spellStart"/>
      <w:r w:rsidR="00D712F5" w:rsidRPr="00D712F5">
        <w:rPr>
          <w:lang w:val="en-US"/>
        </w:rPr>
        <w:t>prevaccine</w:t>
      </w:r>
      <w:proofErr w:type="spellEnd"/>
      <w:r w:rsidR="00D712F5" w:rsidRPr="00D712F5">
        <w:rPr>
          <w:lang w:val="en-US"/>
        </w:rPr>
        <w:t xml:space="preserve"> Taiwan.</w:t>
      </w:r>
      <w:proofErr w:type="gramEnd"/>
      <w:r w:rsidR="00D712F5" w:rsidRPr="00D712F5">
        <w:rPr>
          <w:lang w:val="en-US"/>
        </w:rPr>
        <w:t xml:space="preserve"> Vaccine 2010</w:t>
      </w:r>
      <w:proofErr w:type="gramStart"/>
      <w:r w:rsidR="00D712F5" w:rsidRPr="00D712F5">
        <w:rPr>
          <w:lang w:val="en-US"/>
        </w:rPr>
        <w:t>;28:1217</w:t>
      </w:r>
      <w:proofErr w:type="gramEnd"/>
      <w:r w:rsidR="00D712F5" w:rsidRPr="00D712F5">
        <w:rPr>
          <w:lang w:val="en-US"/>
        </w:rPr>
        <w:t xml:space="preserve">–1220. </w:t>
      </w:r>
    </w:p>
    <w:p w:rsidR="00D712F5" w:rsidRPr="00D712F5" w:rsidRDefault="006728D0" w:rsidP="006728D0">
      <w:pPr>
        <w:ind w:left="426" w:hanging="426"/>
        <w:rPr>
          <w:lang w:val="en-US"/>
        </w:rPr>
      </w:pPr>
      <w:r>
        <w:rPr>
          <w:lang w:val="en-US"/>
        </w:rPr>
        <w:t>12.</w:t>
      </w:r>
      <w:r>
        <w:rPr>
          <w:lang w:val="en-US"/>
        </w:rPr>
        <w:tab/>
      </w:r>
      <w:r w:rsidR="00D712F5" w:rsidRPr="00D712F5">
        <w:rPr>
          <w:lang w:val="en-US"/>
        </w:rPr>
        <w:t xml:space="preserve">Scott FT, </w:t>
      </w:r>
      <w:proofErr w:type="spellStart"/>
      <w:r w:rsidR="00D712F5" w:rsidRPr="00D712F5">
        <w:rPr>
          <w:lang w:val="en-US"/>
        </w:rPr>
        <w:t>Leedham</w:t>
      </w:r>
      <w:proofErr w:type="spellEnd"/>
      <w:r w:rsidR="00D712F5" w:rsidRPr="00D712F5">
        <w:rPr>
          <w:lang w:val="en-US"/>
        </w:rPr>
        <w:t xml:space="preserve">-Green ME, Barrett-Muir </w:t>
      </w:r>
      <w:proofErr w:type="gramStart"/>
      <w:r w:rsidR="00D712F5" w:rsidRPr="00D712F5">
        <w:rPr>
          <w:lang w:val="en-US"/>
        </w:rPr>
        <w:t>WY ,et</w:t>
      </w:r>
      <w:proofErr w:type="gramEnd"/>
      <w:r w:rsidR="00D712F5" w:rsidRPr="00D712F5">
        <w:rPr>
          <w:lang w:val="en-US"/>
        </w:rPr>
        <w:t xml:space="preserve"> al. </w:t>
      </w:r>
      <w:proofErr w:type="gramStart"/>
      <w:r w:rsidR="00D712F5" w:rsidRPr="00D712F5">
        <w:rPr>
          <w:lang w:val="en-US"/>
        </w:rPr>
        <w:t xml:space="preserve">A study of shingles and the development of </w:t>
      </w:r>
      <w:proofErr w:type="spellStart"/>
      <w:r w:rsidR="00D712F5" w:rsidRPr="00D712F5">
        <w:rPr>
          <w:lang w:val="en-US"/>
        </w:rPr>
        <w:t>postherpetic</w:t>
      </w:r>
      <w:proofErr w:type="spellEnd"/>
      <w:r w:rsidR="00D712F5" w:rsidRPr="00D712F5">
        <w:rPr>
          <w:lang w:val="en-US"/>
        </w:rPr>
        <w:t xml:space="preserve"> neuralgia in East London.</w:t>
      </w:r>
      <w:proofErr w:type="gramEnd"/>
      <w:r w:rsidR="00D712F5" w:rsidRPr="00D712F5">
        <w:rPr>
          <w:lang w:val="en-US"/>
        </w:rPr>
        <w:t xml:space="preserve"> J Med </w:t>
      </w:r>
      <w:proofErr w:type="spellStart"/>
      <w:r w:rsidR="00D712F5" w:rsidRPr="00D712F5">
        <w:rPr>
          <w:lang w:val="en-US"/>
        </w:rPr>
        <w:t>Virol</w:t>
      </w:r>
      <w:proofErr w:type="spellEnd"/>
      <w:r w:rsidR="00D712F5" w:rsidRPr="00D712F5">
        <w:rPr>
          <w:lang w:val="en-US"/>
        </w:rPr>
        <w:t xml:space="preserve"> 2003</w:t>
      </w:r>
      <w:proofErr w:type="gramStart"/>
      <w:r w:rsidR="00D712F5" w:rsidRPr="00D712F5">
        <w:rPr>
          <w:lang w:val="en-US"/>
        </w:rPr>
        <w:t>;70</w:t>
      </w:r>
      <w:proofErr w:type="gramEnd"/>
      <w:r w:rsidR="00D712F5" w:rsidRPr="00D712F5">
        <w:rPr>
          <w:lang w:val="en-US"/>
        </w:rPr>
        <w:t>(</w:t>
      </w:r>
      <w:proofErr w:type="spellStart"/>
      <w:r w:rsidR="00D712F5" w:rsidRPr="00D712F5">
        <w:rPr>
          <w:lang w:val="en-US"/>
        </w:rPr>
        <w:t>Suppl</w:t>
      </w:r>
      <w:proofErr w:type="spellEnd"/>
      <w:r w:rsidR="00D712F5" w:rsidRPr="00D712F5">
        <w:rPr>
          <w:lang w:val="en-US"/>
        </w:rPr>
        <w:t xml:space="preserve"> 1):S24–S30. </w:t>
      </w:r>
    </w:p>
    <w:p w:rsidR="00D712F5" w:rsidRPr="00D712F5" w:rsidRDefault="006728D0" w:rsidP="006728D0">
      <w:pPr>
        <w:ind w:left="426" w:hanging="426"/>
        <w:rPr>
          <w:lang w:val="en-US"/>
        </w:rPr>
      </w:pPr>
      <w:r>
        <w:rPr>
          <w:lang w:val="en-US"/>
        </w:rPr>
        <w:t>13.</w:t>
      </w:r>
      <w:r>
        <w:rPr>
          <w:lang w:val="en-US"/>
        </w:rPr>
        <w:tab/>
      </w:r>
      <w:proofErr w:type="spellStart"/>
      <w:r w:rsidR="00D712F5" w:rsidRPr="00D712F5">
        <w:rPr>
          <w:lang w:val="en-US"/>
        </w:rPr>
        <w:t>Volpi</w:t>
      </w:r>
      <w:proofErr w:type="spellEnd"/>
      <w:r w:rsidR="00D712F5" w:rsidRPr="00D712F5">
        <w:rPr>
          <w:lang w:val="en-US"/>
        </w:rPr>
        <w:t xml:space="preserve"> A. Severe complications of herpes zoster. Herpes 2007; 14 (</w:t>
      </w:r>
      <w:proofErr w:type="spellStart"/>
      <w:r w:rsidR="00D712F5" w:rsidRPr="00D712F5">
        <w:rPr>
          <w:lang w:val="en-US"/>
        </w:rPr>
        <w:t>Suppl</w:t>
      </w:r>
      <w:proofErr w:type="spellEnd"/>
      <w:r w:rsidR="00D712F5" w:rsidRPr="00D712F5">
        <w:rPr>
          <w:lang w:val="en-US"/>
        </w:rPr>
        <w:t xml:space="preserve"> 2): 35-9. </w:t>
      </w:r>
    </w:p>
    <w:p w:rsidR="00D712F5" w:rsidRPr="00D712F5" w:rsidRDefault="006728D0" w:rsidP="006728D0">
      <w:pPr>
        <w:ind w:left="426" w:hanging="426"/>
        <w:rPr>
          <w:lang w:val="en-US"/>
        </w:rPr>
      </w:pPr>
      <w:r>
        <w:rPr>
          <w:lang w:val="en-US"/>
        </w:rPr>
        <w:lastRenderedPageBreak/>
        <w:t>14.</w:t>
      </w:r>
      <w:r>
        <w:rPr>
          <w:lang w:val="en-US"/>
        </w:rPr>
        <w:tab/>
      </w:r>
      <w:proofErr w:type="spellStart"/>
      <w:r w:rsidR="00D712F5" w:rsidRPr="00D712F5">
        <w:rPr>
          <w:lang w:val="en-US"/>
        </w:rPr>
        <w:t>Gialloreti</w:t>
      </w:r>
      <w:proofErr w:type="spellEnd"/>
      <w:r w:rsidR="00D712F5" w:rsidRPr="00D712F5">
        <w:rPr>
          <w:lang w:val="en-US"/>
        </w:rPr>
        <w:t xml:space="preserve"> LE, </w:t>
      </w:r>
      <w:proofErr w:type="spellStart"/>
      <w:r w:rsidR="00D712F5" w:rsidRPr="00D712F5">
        <w:rPr>
          <w:lang w:val="en-US"/>
        </w:rPr>
        <w:t>Merito</w:t>
      </w:r>
      <w:proofErr w:type="spellEnd"/>
      <w:r w:rsidR="00D712F5" w:rsidRPr="00D712F5">
        <w:rPr>
          <w:lang w:val="en-US"/>
        </w:rPr>
        <w:t xml:space="preserve"> M, </w:t>
      </w:r>
      <w:proofErr w:type="spellStart"/>
      <w:r w:rsidR="00D712F5" w:rsidRPr="00D712F5">
        <w:rPr>
          <w:lang w:val="en-US"/>
        </w:rPr>
        <w:t>Pezzotti</w:t>
      </w:r>
      <w:proofErr w:type="spellEnd"/>
      <w:r w:rsidR="00D712F5" w:rsidRPr="00D712F5">
        <w:rPr>
          <w:lang w:val="en-US"/>
        </w:rPr>
        <w:t xml:space="preserve"> P et al. Epidemiology and economic burden of herpes zoster and post-herpetic neuralgia in Italy: A retrospective, population-based study. BMC Infectious Diseases 2010, 10:230. </w:t>
      </w:r>
    </w:p>
    <w:p w:rsidR="00D712F5" w:rsidRPr="00D712F5" w:rsidRDefault="006728D0" w:rsidP="006728D0">
      <w:pPr>
        <w:ind w:left="426" w:hanging="426"/>
        <w:rPr>
          <w:lang w:val="en-US"/>
        </w:rPr>
      </w:pPr>
      <w:r>
        <w:rPr>
          <w:rFonts w:hint="eastAsia"/>
          <w:lang w:val="en-US"/>
        </w:rPr>
        <w:t>15.</w:t>
      </w:r>
      <w:r>
        <w:rPr>
          <w:rFonts w:hint="eastAsia"/>
          <w:lang w:val="en-US"/>
        </w:rPr>
        <w:tab/>
      </w:r>
      <w:proofErr w:type="spellStart"/>
      <w:r w:rsidR="00D712F5" w:rsidRPr="00D712F5">
        <w:rPr>
          <w:rFonts w:hint="eastAsia"/>
          <w:lang w:val="en-US"/>
        </w:rPr>
        <w:t>Arnou</w:t>
      </w:r>
      <w:proofErr w:type="spellEnd"/>
      <w:r w:rsidR="00D712F5" w:rsidRPr="00D712F5">
        <w:rPr>
          <w:rFonts w:hint="eastAsia"/>
          <w:lang w:val="en-US"/>
        </w:rPr>
        <w:t xml:space="preserve"> R, </w:t>
      </w:r>
      <w:proofErr w:type="spellStart"/>
      <w:r w:rsidR="00D712F5" w:rsidRPr="00D712F5">
        <w:rPr>
          <w:rFonts w:hint="eastAsia"/>
          <w:lang w:val="en-US"/>
        </w:rPr>
        <w:t>Fiquet</w:t>
      </w:r>
      <w:proofErr w:type="spellEnd"/>
      <w:r w:rsidR="00D712F5" w:rsidRPr="00D712F5">
        <w:rPr>
          <w:rFonts w:hint="eastAsia"/>
          <w:lang w:val="en-US"/>
        </w:rPr>
        <w:t xml:space="preserve"> A, Thomas A et al Immunogenicity and safety of ZOSTAVAX® approaching expiry potency in individuals aged </w:t>
      </w:r>
      <w:r w:rsidR="00D712F5" w:rsidRPr="00D712F5">
        <w:rPr>
          <w:rFonts w:hint="eastAsia"/>
          <w:lang w:val="en-US"/>
        </w:rPr>
        <w:t>≥</w:t>
      </w:r>
      <w:r w:rsidR="00D712F5" w:rsidRPr="00D712F5">
        <w:rPr>
          <w:rFonts w:hint="eastAsia"/>
          <w:lang w:val="en-US"/>
        </w:rPr>
        <w:t xml:space="preserve">50 years. Human Vaccines 7:10, 1060-1065. </w:t>
      </w:r>
    </w:p>
    <w:p w:rsidR="00D712F5" w:rsidRPr="00D712F5" w:rsidRDefault="006728D0" w:rsidP="006728D0">
      <w:pPr>
        <w:ind w:left="426" w:hanging="426"/>
        <w:rPr>
          <w:lang w:val="en-US"/>
        </w:rPr>
      </w:pPr>
      <w:r>
        <w:rPr>
          <w:lang w:val="en-US"/>
        </w:rPr>
        <w:t>16.</w:t>
      </w:r>
      <w:r>
        <w:rPr>
          <w:lang w:val="en-US"/>
        </w:rPr>
        <w:tab/>
      </w:r>
      <w:proofErr w:type="spellStart"/>
      <w:r w:rsidR="00D712F5" w:rsidRPr="00D712F5">
        <w:rPr>
          <w:lang w:val="en-US"/>
        </w:rPr>
        <w:t>Gilden</w:t>
      </w:r>
      <w:proofErr w:type="spellEnd"/>
      <w:r w:rsidR="00D712F5" w:rsidRPr="00D712F5">
        <w:rPr>
          <w:lang w:val="en-US"/>
        </w:rPr>
        <w:t xml:space="preserve"> D. Efficacy of live zoster vaccine in preventing zoster and </w:t>
      </w:r>
      <w:proofErr w:type="spellStart"/>
      <w:r w:rsidR="00D712F5" w:rsidRPr="00D712F5">
        <w:rPr>
          <w:lang w:val="en-US"/>
        </w:rPr>
        <w:t>postherpetic</w:t>
      </w:r>
      <w:proofErr w:type="spellEnd"/>
      <w:r w:rsidR="00D712F5" w:rsidRPr="00D712F5">
        <w:rPr>
          <w:lang w:val="en-US"/>
        </w:rPr>
        <w:t xml:space="preserve"> neuralgia. J Intern Med. 2011 </w:t>
      </w:r>
      <w:proofErr w:type="gramStart"/>
      <w:r w:rsidR="00D712F5" w:rsidRPr="00D712F5">
        <w:rPr>
          <w:lang w:val="en-US"/>
        </w:rPr>
        <w:t>May ;</w:t>
      </w:r>
      <w:proofErr w:type="gramEnd"/>
      <w:r w:rsidR="00D712F5" w:rsidRPr="00D712F5">
        <w:rPr>
          <w:lang w:val="en-US"/>
        </w:rPr>
        <w:t xml:space="preserve"> 269(5): 496–506. </w:t>
      </w:r>
    </w:p>
    <w:p w:rsidR="00D712F5" w:rsidRPr="00D712F5" w:rsidRDefault="006728D0" w:rsidP="006728D0">
      <w:pPr>
        <w:ind w:left="426" w:hanging="426"/>
        <w:rPr>
          <w:lang w:val="en-US"/>
        </w:rPr>
      </w:pPr>
      <w:r>
        <w:rPr>
          <w:lang w:val="en-US"/>
        </w:rPr>
        <w:t>17.</w:t>
      </w:r>
      <w:r>
        <w:rPr>
          <w:lang w:val="en-US"/>
        </w:rPr>
        <w:tab/>
      </w:r>
      <w:proofErr w:type="spellStart"/>
      <w:r w:rsidR="00D712F5" w:rsidRPr="00D712F5">
        <w:rPr>
          <w:lang w:val="en-US"/>
        </w:rPr>
        <w:t>Zussman</w:t>
      </w:r>
      <w:proofErr w:type="spellEnd"/>
      <w:r w:rsidR="00D712F5" w:rsidRPr="00D712F5">
        <w:rPr>
          <w:lang w:val="en-US"/>
        </w:rPr>
        <w:t xml:space="preserve"> J, Young L. Zoster vaccine live for the prevention of shingles in the elderly </w:t>
      </w:r>
      <w:proofErr w:type="spellStart"/>
      <w:r w:rsidR="00D712F5" w:rsidRPr="00D712F5">
        <w:rPr>
          <w:lang w:val="en-US"/>
        </w:rPr>
        <w:t>patient.Clin</w:t>
      </w:r>
      <w:proofErr w:type="spellEnd"/>
      <w:r w:rsidR="00D712F5" w:rsidRPr="00D712F5">
        <w:rPr>
          <w:lang w:val="en-US"/>
        </w:rPr>
        <w:t xml:space="preserve"> </w:t>
      </w:r>
      <w:proofErr w:type="spellStart"/>
      <w:r w:rsidR="00D712F5" w:rsidRPr="00D712F5">
        <w:rPr>
          <w:lang w:val="en-US"/>
        </w:rPr>
        <w:t>Interv</w:t>
      </w:r>
      <w:proofErr w:type="spellEnd"/>
      <w:r w:rsidR="00D712F5" w:rsidRPr="00D712F5">
        <w:rPr>
          <w:lang w:val="en-US"/>
        </w:rPr>
        <w:t xml:space="preserve"> Aging. 2008 June; 3(2): 241–250. </w:t>
      </w:r>
    </w:p>
    <w:p w:rsidR="00D712F5" w:rsidRPr="00D712F5" w:rsidRDefault="006728D0" w:rsidP="006728D0">
      <w:pPr>
        <w:ind w:left="426" w:hanging="426"/>
        <w:rPr>
          <w:lang w:val="en-US"/>
        </w:rPr>
      </w:pPr>
      <w:r>
        <w:rPr>
          <w:lang w:val="en-US"/>
        </w:rPr>
        <w:t>18.</w:t>
      </w:r>
      <w:r>
        <w:rPr>
          <w:lang w:val="en-US"/>
        </w:rPr>
        <w:tab/>
      </w:r>
      <w:proofErr w:type="spellStart"/>
      <w:r w:rsidR="00D712F5" w:rsidRPr="00D712F5">
        <w:rPr>
          <w:lang w:val="en-US"/>
        </w:rPr>
        <w:t>Schmader</w:t>
      </w:r>
      <w:proofErr w:type="spellEnd"/>
      <w:r w:rsidR="00D712F5" w:rsidRPr="00D712F5">
        <w:rPr>
          <w:lang w:val="en-US"/>
        </w:rPr>
        <w:t xml:space="preserve"> KE, Johnson GR, </w:t>
      </w:r>
      <w:proofErr w:type="spellStart"/>
      <w:r w:rsidR="00D712F5" w:rsidRPr="00D712F5">
        <w:rPr>
          <w:lang w:val="en-US"/>
        </w:rPr>
        <w:t>Saddier</w:t>
      </w:r>
      <w:proofErr w:type="spellEnd"/>
      <w:r w:rsidR="00D712F5" w:rsidRPr="00D712F5">
        <w:rPr>
          <w:lang w:val="en-US"/>
        </w:rPr>
        <w:t xml:space="preserve"> P, et al. Effect of a Zoster Vaccine on Herpes Zoster-Related Interference with Functional Status and Health-Related Quality of Life Measures in Older Adults. J Am </w:t>
      </w:r>
      <w:proofErr w:type="spellStart"/>
      <w:r w:rsidR="00D712F5" w:rsidRPr="00D712F5">
        <w:rPr>
          <w:lang w:val="en-US"/>
        </w:rPr>
        <w:t>Geriatr</w:t>
      </w:r>
      <w:proofErr w:type="spellEnd"/>
      <w:r w:rsidR="00D712F5" w:rsidRPr="00D712F5">
        <w:rPr>
          <w:lang w:val="en-US"/>
        </w:rPr>
        <w:t xml:space="preserve"> Soc. 2010 </w:t>
      </w:r>
      <w:proofErr w:type="gramStart"/>
      <w:r w:rsidR="00D712F5" w:rsidRPr="00D712F5">
        <w:rPr>
          <w:lang w:val="en-US"/>
        </w:rPr>
        <w:t>September ;</w:t>
      </w:r>
      <w:proofErr w:type="gramEnd"/>
      <w:r w:rsidR="00D712F5" w:rsidRPr="00D712F5">
        <w:rPr>
          <w:lang w:val="en-US"/>
        </w:rPr>
        <w:t xml:space="preserve"> 58(9): 1634–1641. </w:t>
      </w:r>
    </w:p>
    <w:p w:rsidR="00D712F5" w:rsidRPr="00D712F5" w:rsidRDefault="006728D0" w:rsidP="006728D0">
      <w:pPr>
        <w:ind w:left="426" w:hanging="426"/>
        <w:rPr>
          <w:lang w:val="en-US"/>
        </w:rPr>
      </w:pPr>
      <w:r>
        <w:rPr>
          <w:lang w:val="en-US"/>
        </w:rPr>
        <w:t>19.</w:t>
      </w:r>
      <w:r>
        <w:rPr>
          <w:lang w:val="en-US"/>
        </w:rPr>
        <w:tab/>
      </w:r>
      <w:proofErr w:type="spellStart"/>
      <w:r w:rsidR="00D712F5" w:rsidRPr="00D712F5">
        <w:rPr>
          <w:lang w:val="en-US"/>
        </w:rPr>
        <w:t>Brisson</w:t>
      </w:r>
      <w:proofErr w:type="spellEnd"/>
      <w:r w:rsidR="00D712F5" w:rsidRPr="00D712F5">
        <w:rPr>
          <w:lang w:val="en-US"/>
        </w:rPr>
        <w:t xml:space="preserve"> M, </w:t>
      </w:r>
      <w:proofErr w:type="spellStart"/>
      <w:r w:rsidR="00D712F5" w:rsidRPr="00D712F5">
        <w:rPr>
          <w:lang w:val="en-US"/>
        </w:rPr>
        <w:t>Pellissier</w:t>
      </w:r>
      <w:proofErr w:type="spellEnd"/>
      <w:r w:rsidR="00D712F5" w:rsidRPr="00D712F5">
        <w:rPr>
          <w:lang w:val="en-US"/>
        </w:rPr>
        <w:t xml:space="preserve"> JM, Camden S, </w:t>
      </w:r>
      <w:proofErr w:type="spellStart"/>
      <w:r w:rsidR="00D712F5" w:rsidRPr="00D712F5">
        <w:rPr>
          <w:lang w:val="en-US"/>
        </w:rPr>
        <w:t>Quach</w:t>
      </w:r>
      <w:proofErr w:type="spellEnd"/>
      <w:r w:rsidR="00D712F5" w:rsidRPr="00D712F5">
        <w:rPr>
          <w:lang w:val="en-US"/>
        </w:rPr>
        <w:t xml:space="preserve"> C, De </w:t>
      </w:r>
      <w:proofErr w:type="spellStart"/>
      <w:r w:rsidR="00D712F5" w:rsidRPr="00D712F5">
        <w:rPr>
          <w:lang w:val="en-US"/>
        </w:rPr>
        <w:t>Wals</w:t>
      </w:r>
      <w:proofErr w:type="spellEnd"/>
      <w:r w:rsidR="00D712F5" w:rsidRPr="00D712F5">
        <w:rPr>
          <w:lang w:val="en-US"/>
        </w:rPr>
        <w:t xml:space="preserve"> P. </w:t>
      </w:r>
      <w:proofErr w:type="gramStart"/>
      <w:r w:rsidR="00D712F5" w:rsidRPr="00D712F5">
        <w:rPr>
          <w:lang w:val="en-US"/>
        </w:rPr>
        <w:t>The potential cost-effectiveness of vaccination against herpes zoster and post-herpetic neuralgia.</w:t>
      </w:r>
      <w:proofErr w:type="gramEnd"/>
      <w:r w:rsidR="00D712F5" w:rsidRPr="00D712F5">
        <w:rPr>
          <w:lang w:val="en-US"/>
        </w:rPr>
        <w:t xml:space="preserve"> Hum </w:t>
      </w:r>
      <w:proofErr w:type="spellStart"/>
      <w:r w:rsidR="00D712F5" w:rsidRPr="00D712F5">
        <w:rPr>
          <w:lang w:val="en-US"/>
        </w:rPr>
        <w:t>Vaccin</w:t>
      </w:r>
      <w:proofErr w:type="spellEnd"/>
      <w:r w:rsidR="00D712F5" w:rsidRPr="00D712F5">
        <w:rPr>
          <w:lang w:val="en-US"/>
        </w:rPr>
        <w:t xml:space="preserve">. </w:t>
      </w:r>
      <w:proofErr w:type="gramStart"/>
      <w:r w:rsidR="00D712F5" w:rsidRPr="00D712F5">
        <w:rPr>
          <w:lang w:val="en-US"/>
        </w:rPr>
        <w:t>2008; 4:238–45.</w:t>
      </w:r>
      <w:proofErr w:type="gramEnd"/>
      <w:r w:rsidR="00D712F5" w:rsidRPr="00D712F5">
        <w:rPr>
          <w:lang w:val="en-US"/>
        </w:rPr>
        <w:t xml:space="preserve"> . </w:t>
      </w:r>
    </w:p>
    <w:p w:rsidR="00D712F5" w:rsidRPr="00D712F5" w:rsidRDefault="00D712F5" w:rsidP="006728D0">
      <w:pPr>
        <w:ind w:left="426" w:hanging="426"/>
        <w:rPr>
          <w:lang w:val="en-US"/>
        </w:rPr>
      </w:pPr>
      <w:r w:rsidRPr="00D712F5">
        <w:rPr>
          <w:lang w:val="en-US"/>
        </w:rPr>
        <w:t xml:space="preserve">20. </w:t>
      </w:r>
      <w:proofErr w:type="spellStart"/>
      <w:r w:rsidRPr="00D712F5">
        <w:rPr>
          <w:lang w:val="en-US"/>
        </w:rPr>
        <w:t>Pellissier</w:t>
      </w:r>
      <w:proofErr w:type="spellEnd"/>
      <w:r w:rsidRPr="00D712F5">
        <w:rPr>
          <w:lang w:val="en-US"/>
        </w:rPr>
        <w:t xml:space="preserve"> JM, </w:t>
      </w:r>
      <w:proofErr w:type="spellStart"/>
      <w:r w:rsidRPr="00D712F5">
        <w:rPr>
          <w:lang w:val="en-US"/>
        </w:rPr>
        <w:t>Brisson</w:t>
      </w:r>
      <w:proofErr w:type="spellEnd"/>
      <w:r w:rsidRPr="00D712F5">
        <w:rPr>
          <w:lang w:val="en-US"/>
        </w:rPr>
        <w:t xml:space="preserve"> M, Levin MJ. </w:t>
      </w:r>
      <w:proofErr w:type="gramStart"/>
      <w:r w:rsidRPr="00D712F5">
        <w:rPr>
          <w:lang w:val="en-US"/>
        </w:rPr>
        <w:t xml:space="preserve">Evaluation of the cost-effectiveness in the United States of a vaccine to prevent herpes zoster and </w:t>
      </w:r>
      <w:proofErr w:type="spellStart"/>
      <w:r w:rsidRPr="00D712F5">
        <w:rPr>
          <w:lang w:val="en-US"/>
        </w:rPr>
        <w:t>postherpetic</w:t>
      </w:r>
      <w:proofErr w:type="spellEnd"/>
      <w:r w:rsidRPr="00D712F5">
        <w:rPr>
          <w:lang w:val="en-US"/>
        </w:rPr>
        <w:t xml:space="preserve"> neuralgia in older adults.</w:t>
      </w:r>
      <w:proofErr w:type="gramEnd"/>
      <w:r w:rsidRPr="00D712F5">
        <w:rPr>
          <w:lang w:val="en-US"/>
        </w:rPr>
        <w:t xml:space="preserve"> Vaccine. </w:t>
      </w:r>
      <w:proofErr w:type="gramStart"/>
      <w:r w:rsidRPr="00D712F5">
        <w:rPr>
          <w:lang w:val="en-US"/>
        </w:rPr>
        <w:t>2007; 25:8326–37.</w:t>
      </w:r>
      <w:proofErr w:type="gramEnd"/>
      <w:r w:rsidRPr="00D712F5">
        <w:rPr>
          <w:lang w:val="en-US"/>
        </w:rPr>
        <w:t xml:space="preserve"> </w:t>
      </w:r>
    </w:p>
    <w:p w:rsidR="00D712F5" w:rsidRPr="00D712F5" w:rsidRDefault="006728D0" w:rsidP="006728D0">
      <w:pPr>
        <w:ind w:left="426" w:hanging="426"/>
        <w:rPr>
          <w:lang w:val="en-US"/>
        </w:rPr>
      </w:pPr>
      <w:r>
        <w:rPr>
          <w:lang w:val="en-US"/>
        </w:rPr>
        <w:t>21.</w:t>
      </w:r>
      <w:r>
        <w:rPr>
          <w:lang w:val="en-US"/>
        </w:rPr>
        <w:tab/>
      </w:r>
      <w:r w:rsidR="00D712F5" w:rsidRPr="00D712F5">
        <w:rPr>
          <w:lang w:val="en-US"/>
        </w:rPr>
        <w:t xml:space="preserve">van </w:t>
      </w:r>
      <w:proofErr w:type="spellStart"/>
      <w:r w:rsidR="00D712F5" w:rsidRPr="00D712F5">
        <w:rPr>
          <w:lang w:val="en-US"/>
        </w:rPr>
        <w:t>Hoek</w:t>
      </w:r>
      <w:proofErr w:type="spellEnd"/>
      <w:r w:rsidR="00D712F5" w:rsidRPr="00D712F5">
        <w:rPr>
          <w:lang w:val="en-US"/>
        </w:rPr>
        <w:t xml:space="preserve"> AJ, Gay N, </w:t>
      </w:r>
      <w:proofErr w:type="spellStart"/>
      <w:r w:rsidR="00D712F5" w:rsidRPr="00D712F5">
        <w:rPr>
          <w:lang w:val="en-US"/>
        </w:rPr>
        <w:t>Melegaro</w:t>
      </w:r>
      <w:proofErr w:type="spellEnd"/>
      <w:r w:rsidR="00D712F5" w:rsidRPr="00D712F5">
        <w:rPr>
          <w:lang w:val="en-US"/>
        </w:rPr>
        <w:t xml:space="preserve"> A, </w:t>
      </w:r>
      <w:proofErr w:type="spellStart"/>
      <w:r w:rsidR="00D712F5" w:rsidRPr="00D712F5">
        <w:rPr>
          <w:lang w:val="en-US"/>
        </w:rPr>
        <w:t>Opstelten</w:t>
      </w:r>
      <w:proofErr w:type="spellEnd"/>
      <w:r w:rsidR="00D712F5" w:rsidRPr="00D712F5">
        <w:rPr>
          <w:lang w:val="en-US"/>
        </w:rPr>
        <w:t xml:space="preserve"> W, Edmunds WJ. Estimating the cost-effectiveness of vaccination against herpes zoster in England and Wales. Vaccine. </w:t>
      </w:r>
      <w:proofErr w:type="gramStart"/>
      <w:r w:rsidR="00D712F5" w:rsidRPr="00D712F5">
        <w:rPr>
          <w:lang w:val="en-US"/>
        </w:rPr>
        <w:t>2009; 27:1454–67.</w:t>
      </w:r>
      <w:proofErr w:type="gramEnd"/>
      <w:r w:rsidR="00D712F5" w:rsidRPr="00D712F5">
        <w:rPr>
          <w:lang w:val="en-US"/>
        </w:rPr>
        <w:t xml:space="preserve"> . </w:t>
      </w:r>
    </w:p>
    <w:p w:rsidR="00D712F5" w:rsidRPr="00D712F5" w:rsidRDefault="006728D0" w:rsidP="006728D0">
      <w:pPr>
        <w:ind w:left="426" w:hanging="426"/>
        <w:rPr>
          <w:lang w:val="en-US"/>
        </w:rPr>
      </w:pPr>
      <w:proofErr w:type="gramStart"/>
      <w:r>
        <w:rPr>
          <w:lang w:val="en-US"/>
        </w:rPr>
        <w:t>22.</w:t>
      </w:r>
      <w:r>
        <w:rPr>
          <w:lang w:val="en-US"/>
        </w:rPr>
        <w:tab/>
      </w:r>
      <w:r w:rsidR="00D712F5" w:rsidRPr="00D712F5">
        <w:rPr>
          <w:lang w:val="en-US"/>
        </w:rPr>
        <w:t xml:space="preserve">van </w:t>
      </w:r>
      <w:proofErr w:type="spellStart"/>
      <w:r w:rsidR="00D712F5" w:rsidRPr="00D712F5">
        <w:rPr>
          <w:lang w:val="en-US"/>
        </w:rPr>
        <w:t>Lier</w:t>
      </w:r>
      <w:proofErr w:type="spellEnd"/>
      <w:r w:rsidR="00D712F5" w:rsidRPr="00D712F5">
        <w:rPr>
          <w:lang w:val="en-US"/>
        </w:rPr>
        <w:t xml:space="preserve"> et al. Assessing the potential effects and cost-effectiveness of programmatic herpes zoster vaccination of elderly in the Netherlands.</w:t>
      </w:r>
      <w:proofErr w:type="gramEnd"/>
      <w:r w:rsidR="00D712F5" w:rsidRPr="00D712F5">
        <w:rPr>
          <w:lang w:val="en-US"/>
        </w:rPr>
        <w:t xml:space="preserve"> BMC Health Services Research 2010, 10:237. </w:t>
      </w:r>
    </w:p>
    <w:p w:rsidR="00D712F5" w:rsidRPr="00D712F5" w:rsidRDefault="006728D0" w:rsidP="006728D0">
      <w:pPr>
        <w:ind w:left="426" w:hanging="426"/>
        <w:rPr>
          <w:lang w:val="en-US"/>
        </w:rPr>
      </w:pPr>
      <w:r>
        <w:rPr>
          <w:lang w:val="en-US"/>
        </w:rPr>
        <w:t>23.</w:t>
      </w:r>
      <w:r>
        <w:rPr>
          <w:lang w:val="en-US"/>
        </w:rPr>
        <w:tab/>
      </w:r>
      <w:r w:rsidR="00D712F5" w:rsidRPr="00D712F5">
        <w:rPr>
          <w:lang w:val="en-US"/>
        </w:rPr>
        <w:t xml:space="preserve">Supreme Health Council. Vaccination Plan 2010 - Evidence-based recommendations of the Supreme Health Council. Austria. October 2009. </w:t>
      </w:r>
    </w:p>
    <w:p w:rsidR="00D712F5" w:rsidRPr="00D712F5" w:rsidRDefault="006728D0" w:rsidP="006728D0">
      <w:pPr>
        <w:ind w:left="426" w:hanging="426"/>
        <w:rPr>
          <w:lang w:val="en-US"/>
        </w:rPr>
      </w:pPr>
      <w:r>
        <w:rPr>
          <w:lang w:val="en-US"/>
        </w:rPr>
        <w:t>24.</w:t>
      </w:r>
      <w:r>
        <w:rPr>
          <w:lang w:val="en-US"/>
        </w:rPr>
        <w:tab/>
      </w:r>
      <w:r w:rsidR="00D712F5" w:rsidRPr="00D712F5">
        <w:rPr>
          <w:lang w:val="en-US"/>
        </w:rPr>
        <w:t xml:space="preserve">Pharmaceutical Benefits Advisory Committee </w:t>
      </w:r>
      <w:r w:rsidR="00BA2EE0">
        <w:rPr>
          <w:lang w:val="en-US"/>
        </w:rPr>
        <w:t xml:space="preserve">- </w:t>
      </w:r>
      <w:r w:rsidR="00D712F5" w:rsidRPr="00D712F5">
        <w:rPr>
          <w:lang w:val="en-US"/>
        </w:rPr>
        <w:t xml:space="preserve">Public Summary Document - </w:t>
      </w:r>
      <w:r w:rsidR="00BA2EE0">
        <w:rPr>
          <w:lang w:val="en-US"/>
        </w:rPr>
        <w:t xml:space="preserve">March 2008 PBAC Meeting. </w:t>
      </w:r>
      <w:r w:rsidR="00D712F5" w:rsidRPr="00D712F5">
        <w:rPr>
          <w:lang w:val="en-US"/>
        </w:rPr>
        <w:t>Australia</w:t>
      </w:r>
      <w:proofErr w:type="gramStart"/>
      <w:r w:rsidR="00BA2EE0">
        <w:rPr>
          <w:lang w:val="en-US"/>
        </w:rPr>
        <w:t>,</w:t>
      </w:r>
      <w:r w:rsidR="00BA2EE0" w:rsidRPr="00D712F5">
        <w:rPr>
          <w:lang w:val="en-US"/>
        </w:rPr>
        <w:t>2008</w:t>
      </w:r>
      <w:proofErr w:type="gramEnd"/>
      <w:r w:rsidR="00D712F5" w:rsidRPr="00D712F5">
        <w:rPr>
          <w:lang w:val="en-US"/>
        </w:rPr>
        <w:t xml:space="preserve">. </w:t>
      </w:r>
    </w:p>
    <w:p w:rsidR="00D712F5" w:rsidRPr="00E169D1" w:rsidRDefault="006728D0" w:rsidP="006728D0">
      <w:pPr>
        <w:ind w:left="426" w:hanging="426"/>
      </w:pPr>
      <w:proofErr w:type="gramStart"/>
      <w:r>
        <w:rPr>
          <w:lang w:val="en-US"/>
        </w:rPr>
        <w:t>25.</w:t>
      </w:r>
      <w:r>
        <w:rPr>
          <w:lang w:val="en-US"/>
        </w:rPr>
        <w:tab/>
      </w:r>
      <w:r w:rsidR="00D712F5" w:rsidRPr="00D712F5">
        <w:rPr>
          <w:lang w:val="en-US"/>
        </w:rPr>
        <w:t>Greek Ministry of Health.</w:t>
      </w:r>
      <w:proofErr w:type="gramEnd"/>
      <w:r w:rsidR="00D712F5" w:rsidRPr="00D712F5">
        <w:rPr>
          <w:lang w:val="en-US"/>
        </w:rPr>
        <w:t xml:space="preserve"> </w:t>
      </w:r>
      <w:proofErr w:type="gramStart"/>
      <w:r w:rsidR="00D712F5" w:rsidRPr="00D712F5">
        <w:rPr>
          <w:lang w:val="en-US"/>
        </w:rPr>
        <w:t xml:space="preserve">2012 National Vaccination </w:t>
      </w:r>
      <w:proofErr w:type="spellStart"/>
      <w:r w:rsidR="00D712F5" w:rsidRPr="00D712F5">
        <w:rPr>
          <w:lang w:val="en-US"/>
        </w:rPr>
        <w:t>Programme</w:t>
      </w:r>
      <w:proofErr w:type="spellEnd"/>
      <w:r w:rsidR="00D712F5" w:rsidRPr="00D712F5">
        <w:rPr>
          <w:lang w:val="en-US"/>
        </w:rPr>
        <w:t xml:space="preserve"> for Adults.</w:t>
      </w:r>
      <w:proofErr w:type="gramEnd"/>
      <w:r w:rsidR="00D712F5" w:rsidRPr="00D712F5">
        <w:rPr>
          <w:lang w:val="en-US"/>
        </w:rPr>
        <w:t xml:space="preserve"> </w:t>
      </w:r>
      <w:proofErr w:type="spellStart"/>
      <w:r w:rsidR="00D712F5" w:rsidRPr="00E169D1">
        <w:t>Greece</w:t>
      </w:r>
      <w:proofErr w:type="spellEnd"/>
      <w:r w:rsidR="00D712F5" w:rsidRPr="00E169D1">
        <w:t xml:space="preserve">, 2011. </w:t>
      </w:r>
    </w:p>
    <w:p w:rsidR="00D712F5" w:rsidRPr="00D712F5" w:rsidRDefault="006728D0" w:rsidP="006728D0">
      <w:pPr>
        <w:ind w:left="426" w:hanging="426"/>
      </w:pPr>
      <w:r>
        <w:t>26.</w:t>
      </w:r>
      <w:r>
        <w:tab/>
      </w:r>
      <w:r w:rsidR="00D712F5" w:rsidRPr="00D712F5">
        <w:t xml:space="preserve">Instituto Nacional de Estatística. Estimativas Provisórias de População Residente, Portugal, NUTS II, NUTS III e Municípios. Instituto Nacional de Estatística (www.ine.pt). </w:t>
      </w:r>
    </w:p>
    <w:p w:rsidR="00D712F5" w:rsidRPr="00D712F5" w:rsidRDefault="006728D0" w:rsidP="006728D0">
      <w:pPr>
        <w:ind w:left="426" w:hanging="426"/>
        <w:rPr>
          <w:lang w:val="en-US"/>
        </w:rPr>
      </w:pPr>
      <w:r w:rsidRPr="00E169D1">
        <w:rPr>
          <w:lang w:val="en-US"/>
        </w:rPr>
        <w:t>27.</w:t>
      </w:r>
      <w:r w:rsidRPr="00E169D1">
        <w:rPr>
          <w:lang w:val="en-US"/>
        </w:rPr>
        <w:tab/>
      </w:r>
      <w:r w:rsidR="00D712F5" w:rsidRPr="00E169D1">
        <w:rPr>
          <w:lang w:val="en-US"/>
        </w:rPr>
        <w:t xml:space="preserve">Stein NA, Britt H, Harrison C, et al. </w:t>
      </w:r>
      <w:r w:rsidR="00D712F5" w:rsidRPr="00D712F5">
        <w:rPr>
          <w:lang w:val="en-US"/>
        </w:rPr>
        <w:t>Herpes Zoster burden of illness and health care resource utilization in the Australian population aged 50 years and older. Vaccine 2009</w:t>
      </w:r>
      <w:proofErr w:type="gramStart"/>
      <w:r w:rsidR="00D712F5" w:rsidRPr="00D712F5">
        <w:rPr>
          <w:lang w:val="en-US"/>
        </w:rPr>
        <w:t>;27:520</w:t>
      </w:r>
      <w:proofErr w:type="gramEnd"/>
      <w:r w:rsidR="00D712F5" w:rsidRPr="00D712F5">
        <w:rPr>
          <w:lang w:val="en-US"/>
        </w:rPr>
        <w:t xml:space="preserve">-529. </w:t>
      </w:r>
    </w:p>
    <w:p w:rsidR="00D712F5" w:rsidRPr="00D712F5" w:rsidRDefault="006728D0" w:rsidP="006728D0">
      <w:pPr>
        <w:ind w:left="426" w:hanging="426"/>
        <w:rPr>
          <w:lang w:val="en-US"/>
        </w:rPr>
      </w:pPr>
      <w:r>
        <w:rPr>
          <w:lang w:val="en-US"/>
        </w:rPr>
        <w:t>28.</w:t>
      </w:r>
      <w:r>
        <w:rPr>
          <w:lang w:val="en-US"/>
        </w:rPr>
        <w:tab/>
      </w:r>
      <w:r w:rsidR="00D712F5" w:rsidRPr="00D712F5">
        <w:rPr>
          <w:lang w:val="en-US"/>
        </w:rPr>
        <w:t xml:space="preserve">Lin F, </w:t>
      </w:r>
      <w:proofErr w:type="spellStart"/>
      <w:r w:rsidR="00D712F5" w:rsidRPr="00D712F5">
        <w:rPr>
          <w:lang w:val="en-US"/>
        </w:rPr>
        <w:t>Hadler</w:t>
      </w:r>
      <w:proofErr w:type="spellEnd"/>
      <w:r w:rsidR="00D712F5" w:rsidRPr="00D712F5">
        <w:rPr>
          <w:lang w:val="en-US"/>
        </w:rPr>
        <w:t xml:space="preserve"> JL. Epidemiology of Primary Varicella and Herpes Zoster </w:t>
      </w:r>
      <w:proofErr w:type="spellStart"/>
      <w:r w:rsidR="00D712F5" w:rsidRPr="00D712F5">
        <w:rPr>
          <w:lang w:val="en-US"/>
        </w:rPr>
        <w:t>Hospitalizations</w:t>
      </w:r>
      <w:proofErr w:type="gramStart"/>
      <w:r w:rsidR="00D712F5" w:rsidRPr="00D712F5">
        <w:rPr>
          <w:lang w:val="en-US"/>
        </w:rPr>
        <w:t>:The</w:t>
      </w:r>
      <w:proofErr w:type="spellEnd"/>
      <w:proofErr w:type="gramEnd"/>
      <w:r w:rsidR="00D712F5" w:rsidRPr="00D712F5">
        <w:rPr>
          <w:lang w:val="en-US"/>
        </w:rPr>
        <w:t xml:space="preserve"> Pre–Varicella Vaccine Era. The Journal of Infectious Diseases 2000</w:t>
      </w:r>
      <w:proofErr w:type="gramStart"/>
      <w:r w:rsidR="00D712F5" w:rsidRPr="00D712F5">
        <w:rPr>
          <w:lang w:val="en-US"/>
        </w:rPr>
        <w:t>;181:1897</w:t>
      </w:r>
      <w:proofErr w:type="gramEnd"/>
      <w:r w:rsidR="00D712F5" w:rsidRPr="00D712F5">
        <w:rPr>
          <w:lang w:val="en-US"/>
        </w:rPr>
        <w:t xml:space="preserve">–905. </w:t>
      </w:r>
    </w:p>
    <w:p w:rsidR="00D712F5" w:rsidRPr="00D712F5" w:rsidRDefault="006728D0" w:rsidP="006728D0">
      <w:pPr>
        <w:ind w:left="426" w:hanging="426"/>
        <w:rPr>
          <w:lang w:val="en-US"/>
        </w:rPr>
      </w:pPr>
      <w:r>
        <w:rPr>
          <w:lang w:val="en-US"/>
        </w:rPr>
        <w:lastRenderedPageBreak/>
        <w:t>29.</w:t>
      </w:r>
      <w:r>
        <w:rPr>
          <w:lang w:val="en-US"/>
        </w:rPr>
        <w:tab/>
      </w:r>
      <w:proofErr w:type="spellStart"/>
      <w:r w:rsidR="00D712F5" w:rsidRPr="00D712F5">
        <w:rPr>
          <w:lang w:val="en-US"/>
        </w:rPr>
        <w:t>Gabutti</w:t>
      </w:r>
      <w:proofErr w:type="spellEnd"/>
      <w:r w:rsidR="00D712F5" w:rsidRPr="00D712F5">
        <w:rPr>
          <w:lang w:val="en-US"/>
        </w:rPr>
        <w:t xml:space="preserve"> G, </w:t>
      </w:r>
      <w:proofErr w:type="spellStart"/>
      <w:r w:rsidR="00D712F5" w:rsidRPr="00D712F5">
        <w:rPr>
          <w:lang w:val="en-US"/>
        </w:rPr>
        <w:t>Serenelli</w:t>
      </w:r>
      <w:proofErr w:type="spellEnd"/>
      <w:r w:rsidR="00D712F5" w:rsidRPr="00D712F5">
        <w:rPr>
          <w:lang w:val="en-US"/>
        </w:rPr>
        <w:t xml:space="preserve"> C, </w:t>
      </w:r>
      <w:proofErr w:type="spellStart"/>
      <w:r w:rsidR="00D712F5" w:rsidRPr="00D712F5">
        <w:rPr>
          <w:lang w:val="en-US"/>
        </w:rPr>
        <w:t>Sarno</w:t>
      </w:r>
      <w:proofErr w:type="spellEnd"/>
      <w:r w:rsidR="00D712F5" w:rsidRPr="00D712F5">
        <w:rPr>
          <w:lang w:val="en-US"/>
        </w:rPr>
        <w:t xml:space="preserve"> O, et al. Epidemiologic features of patients affected by herpes zoster: Database analysis of the Ferrara University Dermatology Unit, Italy. </w:t>
      </w:r>
      <w:proofErr w:type="spellStart"/>
      <w:r w:rsidR="00D712F5" w:rsidRPr="00D712F5">
        <w:rPr>
          <w:lang w:val="en-US"/>
        </w:rPr>
        <w:t>Médecine</w:t>
      </w:r>
      <w:proofErr w:type="spellEnd"/>
      <w:r w:rsidR="00D712F5" w:rsidRPr="00D712F5">
        <w:rPr>
          <w:lang w:val="en-US"/>
        </w:rPr>
        <w:t xml:space="preserve"> </w:t>
      </w:r>
      <w:proofErr w:type="gramStart"/>
      <w:r w:rsidR="00D712F5" w:rsidRPr="00D712F5">
        <w:rPr>
          <w:lang w:val="en-US"/>
        </w:rPr>
        <w:t>et</w:t>
      </w:r>
      <w:proofErr w:type="gramEnd"/>
      <w:r w:rsidR="00D712F5" w:rsidRPr="00D712F5">
        <w:rPr>
          <w:lang w:val="en-US"/>
        </w:rPr>
        <w:t xml:space="preserve"> maladies </w:t>
      </w:r>
      <w:proofErr w:type="spellStart"/>
      <w:r w:rsidR="00D712F5" w:rsidRPr="00D712F5">
        <w:rPr>
          <w:lang w:val="en-US"/>
        </w:rPr>
        <w:t>infectieuses</w:t>
      </w:r>
      <w:proofErr w:type="spellEnd"/>
      <w:r w:rsidR="00D712F5" w:rsidRPr="00D712F5">
        <w:rPr>
          <w:lang w:val="en-US"/>
        </w:rPr>
        <w:t xml:space="preserve"> 2010; 40: 268-272. </w:t>
      </w:r>
    </w:p>
    <w:p w:rsidR="00D712F5" w:rsidRPr="00D712F5" w:rsidRDefault="006728D0" w:rsidP="006728D0">
      <w:pPr>
        <w:ind w:left="426" w:hanging="426"/>
        <w:rPr>
          <w:lang w:val="en-US"/>
        </w:rPr>
      </w:pPr>
      <w:r>
        <w:rPr>
          <w:lang w:val="en-US"/>
        </w:rPr>
        <w:t>30.</w:t>
      </w:r>
      <w:r>
        <w:rPr>
          <w:lang w:val="en-US"/>
        </w:rPr>
        <w:tab/>
      </w:r>
      <w:r w:rsidR="00D712F5" w:rsidRPr="00D712F5">
        <w:rPr>
          <w:lang w:val="en-US"/>
        </w:rPr>
        <w:t>Gil A, San-Martín M, Carrasco P, et al. Epidemiology of severe varicella–zoster virus infection in Spain. Vaccine 2004</w:t>
      </w:r>
      <w:proofErr w:type="gramStart"/>
      <w:r w:rsidR="00D712F5" w:rsidRPr="00D712F5">
        <w:rPr>
          <w:lang w:val="en-US"/>
        </w:rPr>
        <w:t>;22</w:t>
      </w:r>
      <w:proofErr w:type="gramEnd"/>
      <w:r w:rsidR="00D712F5" w:rsidRPr="00D712F5">
        <w:rPr>
          <w:lang w:val="en-US"/>
        </w:rPr>
        <w:t xml:space="preserve">: 3947–3951. </w:t>
      </w:r>
    </w:p>
    <w:p w:rsidR="0049700F" w:rsidRDefault="0049700F">
      <w:pPr>
        <w:rPr>
          <w:b/>
          <w:lang w:val="en-US"/>
        </w:rPr>
      </w:pPr>
      <w:r>
        <w:rPr>
          <w:b/>
          <w:lang w:val="en-US"/>
        </w:rPr>
        <w:br w:type="page"/>
      </w:r>
    </w:p>
    <w:p w:rsidR="0049700F" w:rsidRPr="006728D0" w:rsidRDefault="0049700F" w:rsidP="0049700F">
      <w:pPr>
        <w:rPr>
          <w:b/>
          <w:lang w:val="en-US"/>
        </w:rPr>
      </w:pPr>
      <w:r>
        <w:rPr>
          <w:b/>
          <w:lang w:val="en-US"/>
        </w:rPr>
        <w:lastRenderedPageBreak/>
        <w:t>Figures and Tables</w:t>
      </w:r>
    </w:p>
    <w:p w:rsidR="0049700F" w:rsidRPr="0049700F" w:rsidRDefault="0049700F" w:rsidP="0049700F">
      <w:pPr>
        <w:rPr>
          <w:lang w:val="en-US"/>
        </w:rPr>
      </w:pPr>
      <w:r w:rsidRPr="0049700F">
        <w:rPr>
          <w:lang w:val="en-US"/>
        </w:rPr>
        <w:t>Figure 1 – Hospital admissions with primary diagnosis of HZ per year and subpopulation (pediatric patients were considered to be 0-17 years and adult 18-59 years).</w:t>
      </w:r>
    </w:p>
    <w:p w:rsidR="0049700F" w:rsidRPr="0049700F" w:rsidRDefault="0049700F" w:rsidP="0049700F">
      <w:pPr>
        <w:rPr>
          <w:lang w:val="en-US"/>
        </w:rPr>
      </w:pPr>
    </w:p>
    <w:p w:rsidR="0049700F" w:rsidRPr="0049700F" w:rsidRDefault="0049700F" w:rsidP="0049700F">
      <w:pPr>
        <w:rPr>
          <w:lang w:val="en-US"/>
        </w:rPr>
      </w:pPr>
      <w:r w:rsidRPr="0049700F">
        <w:rPr>
          <w:lang w:val="en-US"/>
        </w:rPr>
        <w:t>Figure 2 – Hospital admissions with primary diagnosis of HZ per age.</w:t>
      </w:r>
    </w:p>
    <w:p w:rsidR="0049700F" w:rsidRPr="0049700F" w:rsidRDefault="0049700F" w:rsidP="0049700F">
      <w:pPr>
        <w:rPr>
          <w:lang w:val="en-US"/>
        </w:rPr>
      </w:pPr>
    </w:p>
    <w:p w:rsidR="0049700F" w:rsidRPr="0049700F" w:rsidRDefault="0049700F" w:rsidP="0049700F">
      <w:pPr>
        <w:rPr>
          <w:lang w:val="en-US"/>
        </w:rPr>
      </w:pPr>
      <w:r w:rsidRPr="0049700F">
        <w:rPr>
          <w:lang w:val="en-US"/>
        </w:rPr>
        <w:t>Table 1 – Frequency of cases, gender distribution, length of hospital stay, case fatality rate and percentage of cases with HZ as primary diagnosis (HZ) per age group.</w:t>
      </w:r>
    </w:p>
    <w:p w:rsidR="0049700F" w:rsidRDefault="0049700F" w:rsidP="0049700F">
      <w:pPr>
        <w:rPr>
          <w:lang w:val="en-US"/>
        </w:rPr>
      </w:pPr>
    </w:p>
    <w:p w:rsidR="0049700F" w:rsidRPr="0049700F" w:rsidRDefault="0049700F" w:rsidP="0049700F">
      <w:pPr>
        <w:rPr>
          <w:lang w:val="en-US"/>
        </w:rPr>
      </w:pPr>
      <w:r w:rsidRPr="0049700F">
        <w:rPr>
          <w:lang w:val="en-US"/>
        </w:rPr>
        <w:t xml:space="preserve">Table 2 – Number of herpes zoster (HZ) admissions, average age, average hospital stay and case fatality rate per type of HZ disease encoded. </w:t>
      </w:r>
    </w:p>
    <w:p w:rsidR="0049700F" w:rsidRPr="0049700F" w:rsidRDefault="0049700F" w:rsidP="0049700F">
      <w:pPr>
        <w:autoSpaceDE w:val="0"/>
        <w:autoSpaceDN w:val="0"/>
        <w:adjustRightInd w:val="0"/>
        <w:spacing w:after="0" w:line="240" w:lineRule="auto"/>
        <w:rPr>
          <w:rFonts w:ascii="Times New Roman" w:hAnsi="Times New Roman" w:cs="Times New Roman"/>
          <w:sz w:val="24"/>
          <w:szCs w:val="24"/>
          <w:lang w:val="en-US"/>
        </w:rPr>
      </w:pPr>
    </w:p>
    <w:p w:rsidR="009B35D7" w:rsidRDefault="009B35D7">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B35D7" w:rsidRPr="009B35D7" w:rsidRDefault="009B35D7" w:rsidP="009B35D7">
      <w:pPr>
        <w:rPr>
          <w:b/>
          <w:sz w:val="28"/>
          <w:lang w:val="en-US"/>
        </w:rPr>
      </w:pPr>
      <w:r w:rsidRPr="009B35D7">
        <w:rPr>
          <w:b/>
          <w:sz w:val="28"/>
          <w:lang w:val="en-US"/>
        </w:rPr>
        <w:lastRenderedPageBreak/>
        <w:t>Tables</w:t>
      </w:r>
    </w:p>
    <w:p w:rsidR="009B35D7" w:rsidRPr="00D54763" w:rsidRDefault="009B35D7" w:rsidP="009B35D7">
      <w:pPr>
        <w:rPr>
          <w:lang w:val="en-US"/>
        </w:rPr>
      </w:pPr>
    </w:p>
    <w:p w:rsidR="009B35D7" w:rsidRPr="00D54763" w:rsidRDefault="009B35D7" w:rsidP="009B35D7">
      <w:pPr>
        <w:spacing w:after="0"/>
        <w:rPr>
          <w:rFonts w:ascii="Arial" w:eastAsia="Calibri" w:hAnsi="Arial" w:cs="Times New Roman"/>
          <w:color w:val="000000"/>
          <w:sz w:val="24"/>
          <w:lang w:val="en-US"/>
        </w:rPr>
      </w:pPr>
      <w:r w:rsidRPr="00D54763">
        <w:rPr>
          <w:rFonts w:ascii="Arial" w:eastAsia="Calibri" w:hAnsi="Arial" w:cs="Times New Roman"/>
          <w:color w:val="000000"/>
          <w:sz w:val="24"/>
          <w:lang w:val="en-US"/>
        </w:rPr>
        <w:t>Table 1 – Frequency of cases, gender distribution, length of hospital stay, case fatality rate and percentage of cases with HZ as primary diagnosis (HZ) per age group.</w:t>
      </w:r>
    </w:p>
    <w:p w:rsidR="009B35D7" w:rsidRPr="00D54763" w:rsidRDefault="009B35D7" w:rsidP="009B35D7">
      <w:pPr>
        <w:spacing w:after="0"/>
        <w:rPr>
          <w:lang w:val="en-US"/>
        </w:rPr>
      </w:pPr>
    </w:p>
    <w:tbl>
      <w:tblPr>
        <w:tblpPr w:leftFromText="141" w:rightFromText="141" w:vertAnchor="text" w:tblpY="1"/>
        <w:tblOverlap w:val="never"/>
        <w:tblW w:w="65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5"/>
        <w:gridCol w:w="669"/>
        <w:gridCol w:w="582"/>
        <w:gridCol w:w="1077"/>
        <w:gridCol w:w="799"/>
        <w:gridCol w:w="659"/>
        <w:gridCol w:w="531"/>
        <w:gridCol w:w="800"/>
        <w:gridCol w:w="970"/>
      </w:tblGrid>
      <w:tr w:rsidR="009B35D7" w:rsidRPr="00D54763" w:rsidTr="00B34A87">
        <w:trPr>
          <w:trHeight w:val="416"/>
        </w:trPr>
        <w:tc>
          <w:tcPr>
            <w:tcW w:w="1125" w:type="dxa"/>
            <w:vMerge w:val="restart"/>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Age groups</w:t>
            </w:r>
          </w:p>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(years)</w:t>
            </w:r>
          </w:p>
        </w:tc>
        <w:tc>
          <w:tcPr>
            <w:tcW w:w="1204" w:type="dxa"/>
            <w:gridSpan w:val="2"/>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Gender</w:t>
            </w:r>
          </w:p>
        </w:tc>
        <w:tc>
          <w:tcPr>
            <w:tcW w:w="596" w:type="dxa"/>
            <w:vMerge w:val="restart"/>
            <w:shd w:val="clear" w:color="auto" w:fill="DDDDDD"/>
            <w:vAlign w:val="center"/>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Frequency</w:t>
            </w:r>
          </w:p>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(N)</w:t>
            </w:r>
          </w:p>
        </w:tc>
        <w:tc>
          <w:tcPr>
            <w:tcW w:w="799" w:type="dxa"/>
            <w:vMerge w:val="restart"/>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 of total N</w:t>
            </w:r>
          </w:p>
        </w:tc>
        <w:tc>
          <w:tcPr>
            <w:tcW w:w="1440" w:type="dxa"/>
            <w:gridSpan w:val="2"/>
            <w:vMerge w:val="restart"/>
            <w:shd w:val="clear" w:color="auto" w:fill="DDDDDD"/>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Hospital stay (days)</w:t>
            </w:r>
          </w:p>
        </w:tc>
        <w:tc>
          <w:tcPr>
            <w:tcW w:w="597" w:type="dxa"/>
            <w:vMerge w:val="restart"/>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Case Fatality Rate</w:t>
            </w:r>
          </w:p>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w:t>
            </w:r>
          </w:p>
        </w:tc>
        <w:tc>
          <w:tcPr>
            <w:tcW w:w="800" w:type="dxa"/>
            <w:vMerge w:val="restart"/>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Primary diagnosis</w:t>
            </w:r>
          </w:p>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w:t>
            </w:r>
          </w:p>
        </w:tc>
      </w:tr>
      <w:tr w:rsidR="009B35D7" w:rsidRPr="00D54763" w:rsidTr="00B34A87">
        <w:trPr>
          <w:trHeight w:val="269"/>
        </w:trPr>
        <w:tc>
          <w:tcPr>
            <w:tcW w:w="1125" w:type="dxa"/>
            <w:vMerge/>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p>
        </w:tc>
        <w:tc>
          <w:tcPr>
            <w:tcW w:w="635" w:type="dxa"/>
            <w:vMerge w:val="restart"/>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Masc.</w:t>
            </w:r>
          </w:p>
        </w:tc>
        <w:tc>
          <w:tcPr>
            <w:tcW w:w="569" w:type="dxa"/>
            <w:vMerge w:val="restart"/>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Fem.</w:t>
            </w:r>
          </w:p>
        </w:tc>
        <w:tc>
          <w:tcPr>
            <w:tcW w:w="596" w:type="dxa"/>
            <w:vMerge/>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p>
        </w:tc>
        <w:tc>
          <w:tcPr>
            <w:tcW w:w="799" w:type="dxa"/>
            <w:vMerge/>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p>
        </w:tc>
        <w:tc>
          <w:tcPr>
            <w:tcW w:w="1440" w:type="dxa"/>
            <w:gridSpan w:val="2"/>
            <w:vMerge/>
            <w:shd w:val="clear" w:color="auto" w:fill="DDDDDD"/>
          </w:tcPr>
          <w:p w:rsidR="009B35D7" w:rsidRPr="00D54763" w:rsidRDefault="009B35D7" w:rsidP="00B34A87">
            <w:pPr>
              <w:spacing w:after="0" w:line="240" w:lineRule="auto"/>
              <w:jc w:val="center"/>
              <w:rPr>
                <w:rFonts w:eastAsia="Calibri" w:cs="Times New Roman"/>
                <w:color w:val="000000"/>
                <w:lang w:val="en-US"/>
              </w:rPr>
            </w:pPr>
          </w:p>
        </w:tc>
        <w:tc>
          <w:tcPr>
            <w:tcW w:w="597" w:type="dxa"/>
            <w:vMerge/>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p>
        </w:tc>
        <w:tc>
          <w:tcPr>
            <w:tcW w:w="800" w:type="dxa"/>
            <w:vMerge/>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p>
        </w:tc>
      </w:tr>
      <w:tr w:rsidR="009B35D7" w:rsidRPr="00D54763" w:rsidTr="00B34A87">
        <w:trPr>
          <w:trHeight w:val="284"/>
        </w:trPr>
        <w:tc>
          <w:tcPr>
            <w:tcW w:w="1125" w:type="dxa"/>
            <w:vMerge/>
            <w:vAlign w:val="center"/>
            <w:hideMark/>
          </w:tcPr>
          <w:p w:rsidR="009B35D7" w:rsidRPr="00D54763" w:rsidRDefault="009B35D7" w:rsidP="00B34A87">
            <w:pPr>
              <w:spacing w:after="0" w:line="240" w:lineRule="auto"/>
              <w:rPr>
                <w:rFonts w:eastAsia="Calibri" w:cs="Times New Roman"/>
                <w:color w:val="000000"/>
                <w:lang w:val="en-US"/>
              </w:rPr>
            </w:pPr>
          </w:p>
        </w:tc>
        <w:tc>
          <w:tcPr>
            <w:tcW w:w="635" w:type="dxa"/>
            <w:vMerge/>
            <w:shd w:val="clear" w:color="auto" w:fill="DDDDDD"/>
            <w:vAlign w:val="center"/>
            <w:hideMark/>
          </w:tcPr>
          <w:p w:rsidR="009B35D7" w:rsidRPr="00D54763" w:rsidRDefault="009B35D7" w:rsidP="00B34A87">
            <w:pPr>
              <w:spacing w:after="0" w:line="240" w:lineRule="auto"/>
              <w:rPr>
                <w:rFonts w:eastAsia="Calibri" w:cs="Times New Roman"/>
                <w:color w:val="000000"/>
                <w:lang w:val="en-US"/>
              </w:rPr>
            </w:pPr>
          </w:p>
        </w:tc>
        <w:tc>
          <w:tcPr>
            <w:tcW w:w="569" w:type="dxa"/>
            <w:vMerge/>
            <w:shd w:val="clear" w:color="auto" w:fill="DDDDDD"/>
            <w:vAlign w:val="center"/>
            <w:hideMark/>
          </w:tcPr>
          <w:p w:rsidR="009B35D7" w:rsidRPr="00D54763" w:rsidRDefault="009B35D7" w:rsidP="00B34A87">
            <w:pPr>
              <w:spacing w:after="0" w:line="240" w:lineRule="auto"/>
              <w:rPr>
                <w:rFonts w:eastAsia="Calibri" w:cs="Times New Roman"/>
                <w:color w:val="000000"/>
                <w:lang w:val="en-US"/>
              </w:rPr>
            </w:pPr>
          </w:p>
        </w:tc>
        <w:tc>
          <w:tcPr>
            <w:tcW w:w="596" w:type="dxa"/>
            <w:vMerge/>
            <w:shd w:val="clear" w:color="auto" w:fill="DDDDDD"/>
            <w:vAlign w:val="center"/>
            <w:hideMark/>
          </w:tcPr>
          <w:p w:rsidR="009B35D7" w:rsidRPr="00D54763" w:rsidRDefault="009B35D7" w:rsidP="00B34A87">
            <w:pPr>
              <w:spacing w:after="0" w:line="240" w:lineRule="auto"/>
              <w:rPr>
                <w:rFonts w:eastAsia="Calibri" w:cs="Times New Roman"/>
                <w:color w:val="000000"/>
                <w:lang w:val="en-US"/>
              </w:rPr>
            </w:pPr>
          </w:p>
        </w:tc>
        <w:tc>
          <w:tcPr>
            <w:tcW w:w="799" w:type="dxa"/>
            <w:vMerge/>
            <w:shd w:val="clear" w:color="auto" w:fill="DDDDDD"/>
            <w:vAlign w:val="center"/>
            <w:hideMark/>
          </w:tcPr>
          <w:p w:rsidR="009B35D7" w:rsidRPr="00D54763" w:rsidRDefault="009B35D7" w:rsidP="00B34A87">
            <w:pPr>
              <w:spacing w:after="0" w:line="240" w:lineRule="auto"/>
              <w:rPr>
                <w:rFonts w:eastAsia="Calibri" w:cs="Times New Roman"/>
                <w:color w:val="000000"/>
                <w:lang w:val="en-US"/>
              </w:rPr>
            </w:pPr>
          </w:p>
        </w:tc>
        <w:tc>
          <w:tcPr>
            <w:tcW w:w="873" w:type="dxa"/>
            <w:shd w:val="clear" w:color="auto" w:fill="DDDDDD"/>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Mean</w:t>
            </w:r>
          </w:p>
        </w:tc>
        <w:tc>
          <w:tcPr>
            <w:tcW w:w="567" w:type="dxa"/>
            <w:shd w:val="clear" w:color="auto" w:fill="DDDDDD"/>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SD</w:t>
            </w:r>
          </w:p>
        </w:tc>
        <w:tc>
          <w:tcPr>
            <w:tcW w:w="597" w:type="dxa"/>
            <w:vMerge/>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p>
        </w:tc>
        <w:tc>
          <w:tcPr>
            <w:tcW w:w="800" w:type="dxa"/>
            <w:vMerge/>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0-14</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102</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87</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189</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11,1%</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6.3</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3.8</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0,0%</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59,4%</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15-29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59</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46</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105</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6,2%</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7.6</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6.1</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0,0%</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31,7%</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30-39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62</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53</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115</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6,7%</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7.5</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4.7</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0,0%</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24,2%</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40-49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64</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64</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128</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7,5%</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8,4</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5.6</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0,8%</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26,3%</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50-59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101</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106</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207</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12,1%</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9.2</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6.6</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1,0%</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28,4%</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60-69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119</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150</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269</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15,8%</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9.5</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9.3</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0,4%</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25,6%</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70-79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168</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194</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362</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21,2%</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10.4</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9.7</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0,8%</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22,4%</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80-89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92</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186</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278</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16,3%</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11.1</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8.9</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2,9%</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22,1%</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90-99</w:t>
            </w:r>
          </w:p>
        </w:tc>
        <w:tc>
          <w:tcPr>
            <w:tcW w:w="635"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17</w:t>
            </w:r>
          </w:p>
        </w:tc>
        <w:tc>
          <w:tcPr>
            <w:tcW w:w="569" w:type="dxa"/>
            <w:shd w:val="clear" w:color="auto" w:fill="auto"/>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36</w:t>
            </w:r>
          </w:p>
        </w:tc>
        <w:tc>
          <w:tcPr>
            <w:tcW w:w="596"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53</w:t>
            </w:r>
          </w:p>
        </w:tc>
        <w:tc>
          <w:tcPr>
            <w:tcW w:w="799"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3,1%</w:t>
            </w:r>
          </w:p>
        </w:tc>
        <w:tc>
          <w:tcPr>
            <w:tcW w:w="873"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12.3</w:t>
            </w:r>
          </w:p>
        </w:tc>
        <w:tc>
          <w:tcPr>
            <w:tcW w:w="567" w:type="dxa"/>
          </w:tcPr>
          <w:p w:rsidR="009B35D7" w:rsidRPr="00D54763" w:rsidRDefault="009B35D7" w:rsidP="00B34A87">
            <w:pPr>
              <w:spacing w:after="0" w:line="240" w:lineRule="auto"/>
              <w:jc w:val="right"/>
              <w:rPr>
                <w:rFonts w:eastAsia="Calibri" w:cs="Times New Roman"/>
                <w:color w:val="000000"/>
                <w:lang w:val="en-US"/>
              </w:rPr>
            </w:pPr>
            <w:r w:rsidRPr="00D54763">
              <w:rPr>
                <w:lang w:val="en-US"/>
              </w:rPr>
              <w:t>12.9</w:t>
            </w:r>
          </w:p>
        </w:tc>
        <w:tc>
          <w:tcPr>
            <w:tcW w:w="597" w:type="dxa"/>
            <w:shd w:val="clear" w:color="auto" w:fill="auto"/>
            <w:vAlign w:val="center"/>
            <w:hideMark/>
          </w:tcPr>
          <w:p w:rsidR="009B35D7" w:rsidRPr="00D54763" w:rsidRDefault="009B35D7" w:rsidP="00B34A87">
            <w:pPr>
              <w:spacing w:after="0" w:line="240" w:lineRule="auto"/>
              <w:jc w:val="right"/>
              <w:rPr>
                <w:rFonts w:eastAsia="Calibri" w:cs="Times New Roman"/>
                <w:color w:val="000000"/>
                <w:lang w:val="en-US"/>
              </w:rPr>
            </w:pPr>
            <w:r w:rsidRPr="00D54763">
              <w:rPr>
                <w:rFonts w:eastAsia="Calibri" w:cs="Times New Roman"/>
                <w:color w:val="000000"/>
                <w:lang w:val="en-US"/>
              </w:rPr>
              <w:t>3,8%</w:t>
            </w:r>
          </w:p>
        </w:tc>
        <w:tc>
          <w:tcPr>
            <w:tcW w:w="800" w:type="dxa"/>
            <w:shd w:val="clear" w:color="auto" w:fill="auto"/>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25,5%</w:t>
            </w:r>
          </w:p>
        </w:tc>
      </w:tr>
      <w:tr w:rsidR="009B35D7" w:rsidRPr="00D54763" w:rsidTr="00B34A87">
        <w:trPr>
          <w:trHeight w:val="330"/>
        </w:trPr>
        <w:tc>
          <w:tcPr>
            <w:tcW w:w="1125"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Total</w:t>
            </w:r>
          </w:p>
        </w:tc>
        <w:tc>
          <w:tcPr>
            <w:tcW w:w="635" w:type="dxa"/>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784</w:t>
            </w:r>
          </w:p>
        </w:tc>
        <w:tc>
          <w:tcPr>
            <w:tcW w:w="569" w:type="dxa"/>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922</w:t>
            </w:r>
          </w:p>
        </w:tc>
        <w:tc>
          <w:tcPr>
            <w:tcW w:w="596"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1706</w:t>
            </w:r>
          </w:p>
        </w:tc>
        <w:tc>
          <w:tcPr>
            <w:tcW w:w="799"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100,0%</w:t>
            </w:r>
          </w:p>
        </w:tc>
        <w:tc>
          <w:tcPr>
            <w:tcW w:w="873" w:type="dxa"/>
            <w:shd w:val="clear" w:color="auto" w:fill="DDDDDD"/>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9.3</w:t>
            </w:r>
          </w:p>
        </w:tc>
        <w:tc>
          <w:tcPr>
            <w:tcW w:w="567" w:type="dxa"/>
            <w:shd w:val="clear" w:color="auto" w:fill="DDDDDD"/>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8.2</w:t>
            </w:r>
          </w:p>
        </w:tc>
        <w:tc>
          <w:tcPr>
            <w:tcW w:w="597" w:type="dxa"/>
            <w:shd w:val="clear" w:color="auto" w:fill="DDDDDD"/>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1,0%</w:t>
            </w:r>
          </w:p>
        </w:tc>
        <w:tc>
          <w:tcPr>
            <w:tcW w:w="800" w:type="dxa"/>
            <w:shd w:val="clear" w:color="auto" w:fill="DDDDDD"/>
            <w:noWrap/>
            <w:vAlign w:val="center"/>
            <w:hideMark/>
          </w:tcPr>
          <w:p w:rsidR="009B35D7" w:rsidRPr="00D54763" w:rsidRDefault="009B35D7" w:rsidP="00B34A87">
            <w:pPr>
              <w:spacing w:after="0" w:line="240" w:lineRule="auto"/>
              <w:jc w:val="center"/>
              <w:rPr>
                <w:rFonts w:eastAsia="Calibri" w:cs="Times New Roman"/>
                <w:color w:val="000000"/>
                <w:lang w:val="en-US"/>
              </w:rPr>
            </w:pPr>
            <w:r w:rsidRPr="00D54763">
              <w:rPr>
                <w:rFonts w:eastAsia="Calibri" w:cs="Times New Roman"/>
                <w:color w:val="000000"/>
                <w:lang w:val="en-US"/>
              </w:rPr>
              <w:t>26,4%</w:t>
            </w:r>
          </w:p>
        </w:tc>
      </w:tr>
    </w:tbl>
    <w:p w:rsidR="009B35D7" w:rsidRPr="00D54763" w:rsidRDefault="009B35D7" w:rsidP="009B35D7">
      <w:pPr>
        <w:rPr>
          <w:lang w:val="en-US"/>
        </w:rPr>
      </w:pPr>
      <w:r w:rsidRPr="00D54763">
        <w:rPr>
          <w:lang w:val="en-US"/>
        </w:rPr>
        <w:br w:type="textWrapping" w:clear="all"/>
      </w:r>
    </w:p>
    <w:p w:rsidR="009B35D7" w:rsidRPr="00D54763" w:rsidRDefault="009B35D7" w:rsidP="009B35D7">
      <w:pPr>
        <w:spacing w:after="0" w:line="360" w:lineRule="auto"/>
        <w:rPr>
          <w:rFonts w:ascii="Arial" w:eastAsia="Calibri" w:hAnsi="Arial" w:cs="Times New Roman"/>
          <w:color w:val="000000"/>
          <w:sz w:val="24"/>
          <w:lang w:val="en-US"/>
        </w:rPr>
      </w:pPr>
    </w:p>
    <w:p w:rsidR="009B35D7" w:rsidRPr="00D54763" w:rsidRDefault="009B35D7" w:rsidP="009B35D7">
      <w:pPr>
        <w:spacing w:after="0" w:line="360" w:lineRule="auto"/>
        <w:ind w:firstLine="142"/>
        <w:rPr>
          <w:rFonts w:cstheme="minorHAnsi"/>
          <w:color w:val="002060"/>
          <w:sz w:val="24"/>
          <w:szCs w:val="24"/>
          <w:lang w:val="en-US"/>
        </w:rPr>
      </w:pPr>
    </w:p>
    <w:p w:rsidR="009B35D7" w:rsidRDefault="009B35D7" w:rsidP="009B35D7">
      <w:pPr>
        <w:rPr>
          <w:rFonts w:ascii="Arial" w:eastAsia="Calibri" w:hAnsi="Arial" w:cs="Times New Roman"/>
          <w:color w:val="000000"/>
          <w:sz w:val="24"/>
          <w:lang w:val="en-US"/>
        </w:rPr>
      </w:pPr>
      <w:r>
        <w:rPr>
          <w:rFonts w:ascii="Arial" w:eastAsia="Calibri" w:hAnsi="Arial" w:cs="Times New Roman"/>
          <w:color w:val="000000"/>
          <w:sz w:val="24"/>
          <w:lang w:val="en-US"/>
        </w:rPr>
        <w:br w:type="page"/>
      </w:r>
    </w:p>
    <w:p w:rsidR="009B35D7" w:rsidRPr="00D54763" w:rsidRDefault="009B35D7" w:rsidP="009B35D7">
      <w:pPr>
        <w:spacing w:after="0" w:line="360" w:lineRule="auto"/>
        <w:rPr>
          <w:rFonts w:ascii="Arial" w:eastAsia="Calibri" w:hAnsi="Arial" w:cs="Times New Roman"/>
          <w:color w:val="000000"/>
          <w:sz w:val="24"/>
          <w:lang w:val="en-US"/>
        </w:rPr>
      </w:pPr>
      <w:r w:rsidRPr="00D54763">
        <w:rPr>
          <w:rFonts w:ascii="Arial" w:eastAsia="Calibri" w:hAnsi="Arial" w:cs="Times New Roman"/>
          <w:color w:val="000000"/>
          <w:sz w:val="24"/>
          <w:lang w:val="en-US"/>
        </w:rPr>
        <w:lastRenderedPageBreak/>
        <w:t xml:space="preserve">Table 2 – Number of herpes zoster (HZ) admissions, average age, average hospital stay and case fatality rate per type of HZ disease encoded. </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6"/>
        <w:gridCol w:w="708"/>
        <w:gridCol w:w="851"/>
        <w:gridCol w:w="709"/>
        <w:gridCol w:w="708"/>
        <w:gridCol w:w="709"/>
        <w:gridCol w:w="709"/>
        <w:gridCol w:w="709"/>
        <w:gridCol w:w="850"/>
        <w:gridCol w:w="709"/>
        <w:gridCol w:w="709"/>
      </w:tblGrid>
      <w:tr w:rsidR="009B35D7" w:rsidRPr="00AB0FD9" w:rsidTr="00B34A87">
        <w:trPr>
          <w:trHeight w:val="270"/>
        </w:trPr>
        <w:tc>
          <w:tcPr>
            <w:tcW w:w="2836" w:type="dxa"/>
            <w:tcBorders>
              <w:top w:val="nil"/>
              <w:left w:val="nil"/>
              <w:bottom w:val="single" w:sz="4" w:space="0" w:color="auto"/>
              <w:right w:val="nil"/>
            </w:tcBorders>
            <w:shd w:val="clear" w:color="auto" w:fill="auto"/>
            <w:noWrap/>
            <w:vAlign w:val="bottom"/>
            <w:hideMark/>
          </w:tcPr>
          <w:p w:rsidR="009B35D7" w:rsidRPr="00AB0FD9" w:rsidRDefault="009B35D7" w:rsidP="00B34A87">
            <w:pPr>
              <w:spacing w:after="0" w:line="240" w:lineRule="auto"/>
              <w:rPr>
                <w:rFonts w:ascii="Calibri" w:eastAsia="Times New Roman" w:hAnsi="Calibri" w:cs="Calibri"/>
                <w:color w:val="000000"/>
                <w:sz w:val="20"/>
                <w:szCs w:val="20"/>
                <w:lang w:val="en-US"/>
              </w:rPr>
            </w:pPr>
          </w:p>
        </w:tc>
        <w:tc>
          <w:tcPr>
            <w:tcW w:w="708" w:type="dxa"/>
            <w:tcBorders>
              <w:top w:val="nil"/>
              <w:left w:val="nil"/>
              <w:bottom w:val="single" w:sz="4" w:space="0" w:color="auto"/>
              <w:right w:val="nil"/>
            </w:tcBorders>
            <w:shd w:val="clear" w:color="auto" w:fill="auto"/>
            <w:noWrap/>
            <w:vAlign w:val="bottom"/>
            <w:hideMark/>
          </w:tcPr>
          <w:p w:rsidR="009B35D7" w:rsidRPr="00AB0FD9" w:rsidRDefault="009B35D7" w:rsidP="00B34A87">
            <w:pPr>
              <w:spacing w:after="0" w:line="240" w:lineRule="auto"/>
              <w:rPr>
                <w:rFonts w:ascii="Calibri" w:eastAsia="Times New Roman" w:hAnsi="Calibri" w:cs="Calibri"/>
                <w:color w:val="000000"/>
                <w:sz w:val="20"/>
                <w:szCs w:val="20"/>
                <w:lang w:val="en-US"/>
              </w:rPr>
            </w:pPr>
          </w:p>
        </w:tc>
        <w:tc>
          <w:tcPr>
            <w:tcW w:w="851" w:type="dxa"/>
            <w:tcBorders>
              <w:top w:val="nil"/>
              <w:left w:val="nil"/>
              <w:bottom w:val="single" w:sz="4" w:space="0" w:color="auto"/>
              <w:right w:val="single" w:sz="4" w:space="0" w:color="auto"/>
            </w:tcBorders>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lang w:val="en-US"/>
              </w:rPr>
            </w:pPr>
          </w:p>
        </w:tc>
        <w:tc>
          <w:tcPr>
            <w:tcW w:w="1417" w:type="dxa"/>
            <w:gridSpan w:val="2"/>
            <w:tcBorders>
              <w:left w:val="single" w:sz="4" w:space="0" w:color="auto"/>
            </w:tcBorders>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proofErr w:type="spellStart"/>
            <w:r w:rsidRPr="00AB0FD9">
              <w:rPr>
                <w:rFonts w:ascii="Calibri" w:eastAsia="Times New Roman" w:hAnsi="Calibri" w:cs="Calibri"/>
                <w:color w:val="000000"/>
                <w:sz w:val="20"/>
                <w:szCs w:val="20"/>
              </w:rPr>
              <w:t>Gender</w:t>
            </w:r>
            <w:proofErr w:type="spellEnd"/>
          </w:p>
        </w:tc>
        <w:tc>
          <w:tcPr>
            <w:tcW w:w="1418" w:type="dxa"/>
            <w:gridSpan w:val="2"/>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Age (</w:t>
            </w:r>
            <w:proofErr w:type="spellStart"/>
            <w:r w:rsidRPr="00AB0FD9">
              <w:rPr>
                <w:rFonts w:ascii="Calibri" w:eastAsia="Times New Roman" w:hAnsi="Calibri" w:cs="Calibri"/>
                <w:color w:val="000000"/>
                <w:sz w:val="20"/>
                <w:szCs w:val="20"/>
              </w:rPr>
              <w:t>years</w:t>
            </w:r>
            <w:proofErr w:type="spellEnd"/>
            <w:r w:rsidRPr="00AB0FD9">
              <w:rPr>
                <w:rFonts w:ascii="Calibri" w:eastAsia="Times New Roman" w:hAnsi="Calibri" w:cs="Calibri"/>
                <w:color w:val="000000"/>
                <w:sz w:val="20"/>
                <w:szCs w:val="20"/>
              </w:rPr>
              <w:t>)</w:t>
            </w:r>
          </w:p>
        </w:tc>
        <w:tc>
          <w:tcPr>
            <w:tcW w:w="1559" w:type="dxa"/>
            <w:gridSpan w:val="2"/>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 xml:space="preserve">Hospital </w:t>
            </w:r>
            <w:proofErr w:type="spellStart"/>
            <w:r w:rsidRPr="00AB0FD9">
              <w:rPr>
                <w:rFonts w:ascii="Calibri" w:eastAsia="Times New Roman" w:hAnsi="Calibri" w:cs="Calibri"/>
                <w:color w:val="000000"/>
                <w:sz w:val="20"/>
                <w:szCs w:val="20"/>
              </w:rPr>
              <w:t>Stay</w:t>
            </w:r>
            <w:proofErr w:type="spellEnd"/>
            <w:r w:rsidRPr="00AB0FD9">
              <w:rPr>
                <w:rFonts w:ascii="Calibri" w:eastAsia="Times New Roman" w:hAnsi="Calibri" w:cs="Calibri"/>
                <w:color w:val="000000"/>
                <w:sz w:val="20"/>
                <w:szCs w:val="20"/>
              </w:rPr>
              <w:t xml:space="preserve"> (</w:t>
            </w:r>
            <w:proofErr w:type="spellStart"/>
            <w:r w:rsidRPr="00AB0FD9">
              <w:rPr>
                <w:rFonts w:ascii="Calibri" w:eastAsia="Times New Roman" w:hAnsi="Calibri" w:cs="Calibri"/>
                <w:color w:val="000000"/>
                <w:sz w:val="20"/>
                <w:szCs w:val="20"/>
              </w:rPr>
              <w:t>days</w:t>
            </w:r>
            <w:proofErr w:type="spellEnd"/>
            <w:r w:rsidRPr="00AB0FD9">
              <w:rPr>
                <w:rFonts w:ascii="Calibri" w:eastAsia="Times New Roman" w:hAnsi="Calibri" w:cs="Calibri"/>
                <w:color w:val="000000"/>
                <w:sz w:val="20"/>
                <w:szCs w:val="20"/>
              </w:rPr>
              <w:t>)</w:t>
            </w:r>
          </w:p>
        </w:tc>
        <w:tc>
          <w:tcPr>
            <w:tcW w:w="1418" w:type="dxa"/>
            <w:gridSpan w:val="2"/>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proofErr w:type="spellStart"/>
            <w:r w:rsidRPr="00AB0FD9">
              <w:rPr>
                <w:rFonts w:ascii="Calibri" w:eastAsia="Times New Roman" w:hAnsi="Calibri" w:cs="Calibri"/>
                <w:color w:val="000000"/>
                <w:sz w:val="20"/>
                <w:szCs w:val="20"/>
              </w:rPr>
              <w:t>Mortality</w:t>
            </w:r>
            <w:proofErr w:type="spellEnd"/>
          </w:p>
        </w:tc>
      </w:tr>
      <w:tr w:rsidR="009B35D7" w:rsidRPr="00AB0FD9" w:rsidTr="00B34A87">
        <w:trPr>
          <w:trHeight w:val="270"/>
        </w:trPr>
        <w:tc>
          <w:tcPr>
            <w:tcW w:w="2836" w:type="dxa"/>
            <w:tcBorders>
              <w:top w:val="single" w:sz="4" w:space="0" w:color="auto"/>
            </w:tcBorders>
            <w:shd w:val="clear" w:color="auto" w:fill="DDDDDD"/>
            <w:noWrap/>
            <w:vAlign w:val="bottom"/>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rPr>
              <w:t xml:space="preserve">ICD-9 </w:t>
            </w:r>
            <w:proofErr w:type="spellStart"/>
            <w:r w:rsidRPr="00AB0FD9">
              <w:rPr>
                <w:rFonts w:ascii="Calibri" w:eastAsia="Times New Roman" w:hAnsi="Calibri" w:cs="Calibri"/>
                <w:color w:val="000000"/>
                <w:sz w:val="20"/>
                <w:szCs w:val="20"/>
              </w:rPr>
              <w:t>Code</w:t>
            </w:r>
            <w:proofErr w:type="spellEnd"/>
          </w:p>
        </w:tc>
        <w:tc>
          <w:tcPr>
            <w:tcW w:w="708" w:type="dxa"/>
            <w:tcBorders>
              <w:top w:val="single" w:sz="4" w:space="0" w:color="auto"/>
            </w:tcBorders>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N</w:t>
            </w:r>
          </w:p>
        </w:tc>
        <w:tc>
          <w:tcPr>
            <w:tcW w:w="851" w:type="dxa"/>
            <w:tcBorders>
              <w:top w:val="single" w:sz="4" w:space="0" w:color="auto"/>
            </w:tcBorders>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proofErr w:type="spellStart"/>
            <w:r w:rsidRPr="00AB0FD9">
              <w:rPr>
                <w:rFonts w:ascii="Calibri" w:eastAsia="Times New Roman" w:hAnsi="Calibri" w:cs="Calibri"/>
                <w:color w:val="000000"/>
                <w:sz w:val="20"/>
                <w:szCs w:val="20"/>
              </w:rPr>
              <w:t>Masc</w:t>
            </w:r>
            <w:proofErr w:type="spellEnd"/>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proofErr w:type="spellStart"/>
            <w:r w:rsidRPr="00AB0FD9">
              <w:rPr>
                <w:rFonts w:ascii="Calibri" w:eastAsia="Times New Roman" w:hAnsi="Calibri" w:cs="Calibri"/>
                <w:color w:val="000000"/>
                <w:sz w:val="20"/>
                <w:szCs w:val="20"/>
              </w:rPr>
              <w:t>Fem</w:t>
            </w:r>
            <w:proofErr w:type="spellEnd"/>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proofErr w:type="spellStart"/>
            <w:r w:rsidRPr="00AB0FD9">
              <w:rPr>
                <w:rFonts w:ascii="Calibri" w:eastAsia="Times New Roman" w:hAnsi="Calibri" w:cs="Calibri"/>
                <w:color w:val="000000"/>
                <w:sz w:val="20"/>
                <w:szCs w:val="20"/>
              </w:rPr>
              <w:t>Mean</w:t>
            </w:r>
            <w:proofErr w:type="spellEnd"/>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SD</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Média</w:t>
            </w:r>
          </w:p>
        </w:tc>
        <w:tc>
          <w:tcPr>
            <w:tcW w:w="850"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SD</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N</w:t>
            </w:r>
          </w:p>
        </w:tc>
        <w:tc>
          <w:tcPr>
            <w:tcW w:w="709" w:type="dxa"/>
            <w:shd w:val="clear" w:color="auto" w:fill="DDDDDD"/>
            <w:noWrap/>
            <w:vAlign w:val="bottom"/>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rPr>
              <w:t>Rate</w:t>
            </w:r>
          </w:p>
        </w:tc>
      </w:tr>
      <w:tr w:rsidR="009B35D7" w:rsidRPr="00AB0FD9" w:rsidTr="00B34A87">
        <w:trPr>
          <w:trHeight w:val="28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053.0 HZ with meningitis</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93</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50</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43</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47,9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26,5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17,1</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14,6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3,2%</w:t>
            </w:r>
          </w:p>
        </w:tc>
      </w:tr>
      <w:tr w:rsidR="009B35D7" w:rsidRPr="00AB0FD9" w:rsidTr="00B34A87">
        <w:trPr>
          <w:trHeight w:val="28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lang w:val="en-US"/>
              </w:rPr>
            </w:pPr>
            <w:r w:rsidRPr="00AB0FD9">
              <w:rPr>
                <w:rFonts w:ascii="Calibri" w:eastAsia="Times New Roman" w:hAnsi="Calibri" w:cs="Calibri"/>
                <w:color w:val="000000"/>
                <w:sz w:val="20"/>
                <w:szCs w:val="20"/>
                <w:lang w:val="en-US"/>
              </w:rPr>
              <w:t xml:space="preserve"> 053.10 HZ with unspecified nervous system complication</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69,6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25,5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11,9</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11,8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11,1%</w:t>
            </w:r>
          </w:p>
        </w:tc>
      </w:tr>
      <w:tr w:rsidR="009B35D7" w:rsidRPr="00AB0FD9" w:rsidTr="00B34A87">
        <w:trPr>
          <w:trHeight w:val="27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053.11 Geniculate HZ</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122</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52</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70</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58,2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20,4</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8,5</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30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053.12 </w:t>
            </w:r>
            <w:proofErr w:type="spellStart"/>
            <w:r w:rsidRPr="00AB0FD9">
              <w:rPr>
                <w:rFonts w:ascii="Calibri" w:eastAsia="Times New Roman" w:hAnsi="Calibri" w:cs="Calibri"/>
                <w:color w:val="000000"/>
                <w:sz w:val="20"/>
                <w:szCs w:val="20"/>
                <w:lang w:val="en-US"/>
              </w:rPr>
              <w:t>Postherpetic</w:t>
            </w:r>
            <w:proofErr w:type="spellEnd"/>
            <w:r w:rsidRPr="00AB0FD9">
              <w:rPr>
                <w:rFonts w:ascii="Calibri" w:eastAsia="Times New Roman" w:hAnsi="Calibri" w:cs="Calibri"/>
                <w:color w:val="000000"/>
                <w:sz w:val="20"/>
                <w:szCs w:val="20"/>
                <w:lang w:val="en-US"/>
              </w:rPr>
              <w:t xml:space="preserve"> trigeminal neuralgia</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21</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59,1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19,9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6,6</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27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053.13 </w:t>
            </w:r>
            <w:proofErr w:type="spellStart"/>
            <w:r w:rsidRPr="00AB0FD9">
              <w:rPr>
                <w:rFonts w:ascii="Calibri" w:eastAsia="Times New Roman" w:hAnsi="Calibri" w:cs="Calibri"/>
                <w:color w:val="000000"/>
                <w:sz w:val="20"/>
                <w:szCs w:val="20"/>
                <w:lang w:val="en-US"/>
              </w:rPr>
              <w:t>Postherpetic</w:t>
            </w:r>
            <w:proofErr w:type="spellEnd"/>
            <w:r w:rsidRPr="00AB0FD9">
              <w:rPr>
                <w:rFonts w:ascii="Calibri" w:eastAsia="Times New Roman" w:hAnsi="Calibri" w:cs="Calibri"/>
                <w:color w:val="000000"/>
                <w:sz w:val="20"/>
                <w:szCs w:val="20"/>
                <w:lang w:val="en-US"/>
              </w:rPr>
              <w:t xml:space="preserve"> polyneuropathy</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44</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19</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69,6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16,1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11,4</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2,3%</w:t>
            </w:r>
          </w:p>
        </w:tc>
      </w:tr>
      <w:tr w:rsidR="009B35D7" w:rsidRPr="00AB0FD9" w:rsidTr="00B34A87">
        <w:trPr>
          <w:trHeight w:val="30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053.14 HZ myelitis</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64,7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28</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31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lang w:val="en-US"/>
              </w:rPr>
            </w:pPr>
            <w:r w:rsidRPr="00AB0FD9">
              <w:rPr>
                <w:rFonts w:ascii="Calibri" w:eastAsia="Times New Roman" w:hAnsi="Calibri" w:cs="Calibri"/>
                <w:color w:val="000000"/>
                <w:sz w:val="20"/>
                <w:szCs w:val="20"/>
                <w:lang w:val="en-US"/>
              </w:rPr>
              <w:t xml:space="preserve"> 053.19 HZ with other nervous system complications</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64</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28</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63,2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18,8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10</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1,6%</w:t>
            </w:r>
          </w:p>
        </w:tc>
      </w:tr>
      <w:tr w:rsidR="009B35D7" w:rsidRPr="00AB0FD9" w:rsidTr="00B34A87">
        <w:trPr>
          <w:trHeight w:val="315"/>
        </w:trPr>
        <w:tc>
          <w:tcPr>
            <w:tcW w:w="2836" w:type="dxa"/>
            <w:shd w:val="clear" w:color="auto" w:fill="DDDDDD"/>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rPr>
              <w:t xml:space="preserve">Total </w:t>
            </w:r>
            <w:proofErr w:type="spellStart"/>
            <w:r w:rsidRPr="00AB0FD9">
              <w:rPr>
                <w:rFonts w:ascii="Calibri" w:eastAsia="Times New Roman" w:hAnsi="Calibri" w:cs="Calibri"/>
                <w:color w:val="000000"/>
                <w:sz w:val="20"/>
                <w:szCs w:val="20"/>
              </w:rPr>
              <w:t>Nervous</w:t>
            </w:r>
            <w:proofErr w:type="spellEnd"/>
            <w:r w:rsidRPr="00AB0FD9">
              <w:rPr>
                <w:rFonts w:ascii="Calibri" w:eastAsia="Times New Roman" w:hAnsi="Calibri" w:cs="Calibri"/>
                <w:color w:val="000000"/>
                <w:sz w:val="20"/>
                <w:szCs w:val="20"/>
              </w:rPr>
              <w:t xml:space="preserve"> </w:t>
            </w:r>
            <w:proofErr w:type="spellStart"/>
            <w:r w:rsidRPr="00AB0FD9">
              <w:rPr>
                <w:rFonts w:ascii="Calibri" w:eastAsia="Times New Roman" w:hAnsi="Calibri" w:cs="Calibri"/>
                <w:color w:val="000000"/>
                <w:sz w:val="20"/>
                <w:szCs w:val="20"/>
              </w:rPr>
              <w:t>System</w:t>
            </w:r>
            <w:proofErr w:type="spellEnd"/>
            <w:r w:rsidRPr="00AB0FD9">
              <w:rPr>
                <w:rFonts w:ascii="Calibri" w:eastAsia="Times New Roman" w:hAnsi="Calibri" w:cs="Calibri"/>
                <w:color w:val="000000"/>
                <w:sz w:val="20"/>
                <w:szCs w:val="20"/>
              </w:rPr>
              <w:t xml:space="preserve"> HZ</w:t>
            </w:r>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356</w:t>
            </w:r>
          </w:p>
        </w:tc>
        <w:tc>
          <w:tcPr>
            <w:tcW w:w="851"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21,0%</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161</w:t>
            </w:r>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195</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61,2</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19,8</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9,5</w:t>
            </w:r>
          </w:p>
        </w:tc>
        <w:tc>
          <w:tcPr>
            <w:tcW w:w="850"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w:t>
            </w:r>
          </w:p>
        </w:tc>
        <w:tc>
          <w:tcPr>
            <w:tcW w:w="709" w:type="dxa"/>
            <w:shd w:val="clear" w:color="auto" w:fill="DDDDDD"/>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1,7%</w:t>
            </w:r>
          </w:p>
        </w:tc>
      </w:tr>
      <w:tr w:rsidR="009B35D7" w:rsidRPr="00AB0FD9" w:rsidTr="00B34A87">
        <w:trPr>
          <w:trHeight w:val="31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053.20 HZ dermatitis of eyelid</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148</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68</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80</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57,8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8,6</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2,0%</w:t>
            </w:r>
          </w:p>
        </w:tc>
      </w:tr>
      <w:tr w:rsidR="009B35D7" w:rsidRPr="00AB0FD9" w:rsidTr="00B34A87">
        <w:trPr>
          <w:trHeight w:val="31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053.21 HZ </w:t>
            </w:r>
            <w:proofErr w:type="spellStart"/>
            <w:r w:rsidRPr="00AB0FD9">
              <w:rPr>
                <w:rFonts w:ascii="Calibri" w:eastAsia="Times New Roman" w:hAnsi="Calibri" w:cs="Calibri"/>
                <w:color w:val="000000"/>
                <w:sz w:val="20"/>
                <w:szCs w:val="20"/>
                <w:lang w:val="en-US"/>
              </w:rPr>
              <w:t>keratoconjunctivitis</w:t>
            </w:r>
            <w:proofErr w:type="spellEnd"/>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45</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18</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60,1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25,1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8,7</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25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053.22 HZ </w:t>
            </w:r>
            <w:proofErr w:type="spellStart"/>
            <w:r w:rsidRPr="00AB0FD9">
              <w:rPr>
                <w:rFonts w:ascii="Calibri" w:eastAsia="Times New Roman" w:hAnsi="Calibri" w:cs="Calibri"/>
                <w:color w:val="000000"/>
                <w:sz w:val="20"/>
                <w:szCs w:val="20"/>
                <w:lang w:val="en-US"/>
              </w:rPr>
              <w:t>iridocyclitis</w:t>
            </w:r>
            <w:proofErr w:type="spellEnd"/>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73,7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11,6</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6,6</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30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lang w:val="en-US"/>
              </w:rPr>
            </w:pPr>
            <w:r w:rsidRPr="00AB0FD9">
              <w:rPr>
                <w:rFonts w:ascii="Calibri" w:eastAsia="Times New Roman" w:hAnsi="Calibri" w:cs="Calibri"/>
                <w:color w:val="000000"/>
                <w:sz w:val="20"/>
                <w:szCs w:val="20"/>
                <w:lang w:val="en-US"/>
              </w:rPr>
              <w:t xml:space="preserve"> 053.29 HZ with other ophthalmic complications</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82</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43</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60,9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25,5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9,8</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1,2%</w:t>
            </w:r>
          </w:p>
        </w:tc>
      </w:tr>
      <w:tr w:rsidR="009B35D7" w:rsidRPr="00AB0FD9" w:rsidTr="00B34A87">
        <w:trPr>
          <w:trHeight w:val="300"/>
        </w:trPr>
        <w:tc>
          <w:tcPr>
            <w:tcW w:w="2836" w:type="dxa"/>
            <w:shd w:val="clear" w:color="auto" w:fill="DDDDDD"/>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rPr>
              <w:t xml:space="preserve">Total </w:t>
            </w:r>
            <w:proofErr w:type="spellStart"/>
            <w:r w:rsidRPr="00AB0FD9">
              <w:rPr>
                <w:rFonts w:ascii="Calibri" w:eastAsia="Times New Roman" w:hAnsi="Calibri" w:cs="Calibri"/>
                <w:color w:val="000000"/>
                <w:sz w:val="20"/>
                <w:szCs w:val="20"/>
              </w:rPr>
              <w:t>Ophtalmic</w:t>
            </w:r>
            <w:proofErr w:type="spellEnd"/>
            <w:r w:rsidRPr="00AB0FD9">
              <w:rPr>
                <w:rFonts w:ascii="Calibri" w:eastAsia="Times New Roman" w:hAnsi="Calibri" w:cs="Calibri"/>
                <w:color w:val="000000"/>
                <w:sz w:val="20"/>
                <w:szCs w:val="20"/>
              </w:rPr>
              <w:t xml:space="preserve"> HZ</w:t>
            </w:r>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284</w:t>
            </w:r>
          </w:p>
        </w:tc>
        <w:tc>
          <w:tcPr>
            <w:tcW w:w="851"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16,6%</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135</w:t>
            </w:r>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149</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59,6</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26</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8,9</w:t>
            </w:r>
          </w:p>
        </w:tc>
        <w:tc>
          <w:tcPr>
            <w:tcW w:w="850"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7,3</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w:t>
            </w:r>
          </w:p>
        </w:tc>
        <w:tc>
          <w:tcPr>
            <w:tcW w:w="709" w:type="dxa"/>
            <w:shd w:val="clear" w:color="auto" w:fill="DDDDDD"/>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1,4%</w:t>
            </w:r>
          </w:p>
        </w:tc>
      </w:tr>
      <w:tr w:rsidR="009B35D7" w:rsidRPr="00AB0FD9" w:rsidTr="00B34A87">
        <w:trPr>
          <w:trHeight w:val="30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lang w:val="en-US"/>
              </w:rPr>
            </w:pPr>
            <w:r w:rsidRPr="00AB0FD9">
              <w:rPr>
                <w:rFonts w:ascii="Calibri" w:eastAsia="Times New Roman" w:hAnsi="Calibri" w:cs="Calibri"/>
                <w:color w:val="000000"/>
                <w:sz w:val="20"/>
                <w:szCs w:val="20"/>
                <w:lang w:val="en-US"/>
              </w:rPr>
              <w:t xml:space="preserve"> 053.71 Otitis </w:t>
            </w:r>
            <w:proofErr w:type="spellStart"/>
            <w:r w:rsidRPr="00AB0FD9">
              <w:rPr>
                <w:rFonts w:ascii="Calibri" w:eastAsia="Times New Roman" w:hAnsi="Calibri" w:cs="Calibri"/>
                <w:color w:val="000000"/>
                <w:sz w:val="20"/>
                <w:szCs w:val="20"/>
                <w:lang w:val="en-US"/>
              </w:rPr>
              <w:t>externa</w:t>
            </w:r>
            <w:proofErr w:type="spellEnd"/>
            <w:r w:rsidRPr="00AB0FD9">
              <w:rPr>
                <w:rFonts w:ascii="Calibri" w:eastAsia="Times New Roman" w:hAnsi="Calibri" w:cs="Calibri"/>
                <w:color w:val="000000"/>
                <w:sz w:val="20"/>
                <w:szCs w:val="20"/>
                <w:lang w:val="en-US"/>
              </w:rPr>
              <w:t xml:space="preserve"> due to HZ</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54</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22</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32</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56,5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22,8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9,1</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30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lang w:val="en-US"/>
              </w:rPr>
            </w:pPr>
            <w:r w:rsidRPr="00AB0FD9">
              <w:rPr>
                <w:rFonts w:ascii="Calibri" w:eastAsia="Times New Roman" w:hAnsi="Calibri" w:cs="Calibri"/>
                <w:color w:val="000000"/>
                <w:sz w:val="20"/>
                <w:szCs w:val="20"/>
                <w:lang w:val="en-US"/>
              </w:rPr>
              <w:t xml:space="preserve"> 053.79 HZ with other specified complications</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137</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8,0%</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70</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53,1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26,8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11,2</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11,8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0,7%</w:t>
            </w:r>
          </w:p>
        </w:tc>
      </w:tr>
      <w:tr w:rsidR="009B35D7" w:rsidRPr="00AB0FD9" w:rsidTr="00B34A87">
        <w:trPr>
          <w:trHeight w:val="315"/>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lang w:val="en-US"/>
              </w:rPr>
              <w:t xml:space="preserve"> 053.8 HZ with unspecified complication</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31</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17</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14</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57,1</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24,3</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9,8</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14,4</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0</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0,0%</w:t>
            </w:r>
          </w:p>
        </w:tc>
      </w:tr>
      <w:tr w:rsidR="009B35D7" w:rsidRPr="00AB0FD9" w:rsidTr="00B34A87">
        <w:trPr>
          <w:trHeight w:val="270"/>
        </w:trPr>
        <w:tc>
          <w:tcPr>
            <w:tcW w:w="2836" w:type="dxa"/>
            <w:shd w:val="clear" w:color="auto" w:fill="auto"/>
            <w:noWrap/>
            <w:vAlign w:val="center"/>
            <w:hideMark/>
          </w:tcPr>
          <w:p w:rsidR="009B35D7" w:rsidRPr="00AB0FD9" w:rsidRDefault="009B35D7" w:rsidP="00B34A87">
            <w:pPr>
              <w:spacing w:after="0" w:line="240" w:lineRule="auto"/>
              <w:rPr>
                <w:rFonts w:ascii="Calibri" w:eastAsia="Times New Roman" w:hAnsi="Calibri" w:cs="Calibri"/>
                <w:color w:val="000000"/>
                <w:sz w:val="20"/>
                <w:szCs w:val="20"/>
                <w:lang w:val="en-US"/>
              </w:rPr>
            </w:pPr>
            <w:r w:rsidRPr="00AB0FD9">
              <w:rPr>
                <w:rFonts w:ascii="Calibri" w:eastAsia="Times New Roman" w:hAnsi="Calibri" w:cs="Calibri"/>
                <w:color w:val="000000"/>
                <w:sz w:val="20"/>
                <w:szCs w:val="20"/>
                <w:lang w:val="en-US"/>
              </w:rPr>
              <w:t xml:space="preserve"> 053.9 HZ without mention of complication</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844</w:t>
            </w:r>
          </w:p>
        </w:tc>
        <w:tc>
          <w:tcPr>
            <w:tcW w:w="851"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56,7%</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379</w:t>
            </w:r>
          </w:p>
        </w:tc>
        <w:tc>
          <w:tcPr>
            <w:tcW w:w="708"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465</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56,4</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25,9</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8,2</w:t>
            </w:r>
          </w:p>
        </w:tc>
        <w:tc>
          <w:tcPr>
            <w:tcW w:w="850"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5,8</w:t>
            </w:r>
          </w:p>
        </w:tc>
        <w:tc>
          <w:tcPr>
            <w:tcW w:w="709" w:type="dxa"/>
            <w:shd w:val="clear" w:color="auto" w:fill="auto"/>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6</w:t>
            </w:r>
          </w:p>
        </w:tc>
        <w:tc>
          <w:tcPr>
            <w:tcW w:w="709" w:type="dxa"/>
            <w:shd w:val="clear" w:color="auto" w:fill="auto"/>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0,7%</w:t>
            </w:r>
          </w:p>
        </w:tc>
      </w:tr>
      <w:tr w:rsidR="009B35D7" w:rsidRPr="00AB0FD9" w:rsidTr="00B34A87">
        <w:trPr>
          <w:trHeight w:val="270"/>
        </w:trPr>
        <w:tc>
          <w:tcPr>
            <w:tcW w:w="2836" w:type="dxa"/>
            <w:shd w:val="clear" w:color="auto" w:fill="DDDDDD"/>
            <w:noWrap/>
            <w:vAlign w:val="bottom"/>
            <w:hideMark/>
          </w:tcPr>
          <w:p w:rsidR="009B35D7" w:rsidRPr="00AB0FD9" w:rsidRDefault="009B35D7" w:rsidP="00B34A87">
            <w:pPr>
              <w:spacing w:after="0" w:line="240" w:lineRule="auto"/>
              <w:rPr>
                <w:rFonts w:ascii="Calibri" w:eastAsia="Times New Roman" w:hAnsi="Calibri" w:cs="Calibri"/>
                <w:color w:val="000000"/>
                <w:sz w:val="20"/>
                <w:szCs w:val="20"/>
              </w:rPr>
            </w:pPr>
            <w:r w:rsidRPr="00AB0FD9">
              <w:rPr>
                <w:rFonts w:ascii="Calibri" w:eastAsia="Times New Roman" w:hAnsi="Calibri" w:cs="Calibri"/>
                <w:color w:val="000000"/>
                <w:sz w:val="20"/>
                <w:szCs w:val="20"/>
              </w:rPr>
              <w:t>Total HZ</w:t>
            </w:r>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1706</w:t>
            </w:r>
          </w:p>
        </w:tc>
        <w:tc>
          <w:tcPr>
            <w:tcW w:w="851"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100%</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784</w:t>
            </w:r>
          </w:p>
        </w:tc>
        <w:tc>
          <w:tcPr>
            <w:tcW w:w="708"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922</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57,1</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25,2</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9,3</w:t>
            </w:r>
          </w:p>
        </w:tc>
        <w:tc>
          <w:tcPr>
            <w:tcW w:w="850"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8,2</w:t>
            </w:r>
          </w:p>
        </w:tc>
        <w:tc>
          <w:tcPr>
            <w:tcW w:w="709" w:type="dxa"/>
            <w:shd w:val="clear" w:color="auto" w:fill="DDDDDD"/>
            <w:noWrap/>
            <w:vAlign w:val="bottom"/>
            <w:hideMark/>
          </w:tcPr>
          <w:p w:rsidR="009B35D7" w:rsidRPr="00AB0FD9" w:rsidRDefault="009B35D7" w:rsidP="00B34A87">
            <w:pPr>
              <w:spacing w:after="0" w:line="240" w:lineRule="auto"/>
              <w:jc w:val="center"/>
              <w:rPr>
                <w:rFonts w:ascii="Calibri" w:eastAsia="Times New Roman" w:hAnsi="Calibri" w:cs="Calibri"/>
                <w:color w:val="000000"/>
                <w:sz w:val="20"/>
                <w:szCs w:val="20"/>
              </w:rPr>
            </w:pPr>
            <w:r w:rsidRPr="00AB0FD9">
              <w:rPr>
                <w:rFonts w:ascii="Calibri" w:eastAsia="Times New Roman" w:hAnsi="Calibri" w:cs="Calibri"/>
                <w:color w:val="000000"/>
                <w:sz w:val="20"/>
                <w:szCs w:val="20"/>
              </w:rPr>
              <w:t>17</w:t>
            </w:r>
          </w:p>
        </w:tc>
        <w:tc>
          <w:tcPr>
            <w:tcW w:w="709" w:type="dxa"/>
            <w:shd w:val="clear" w:color="auto" w:fill="DDDDDD"/>
            <w:noWrap/>
            <w:vAlign w:val="bottom"/>
            <w:hideMark/>
          </w:tcPr>
          <w:p w:rsidR="009B35D7" w:rsidRPr="00AB0FD9" w:rsidRDefault="009B35D7" w:rsidP="00B34A87">
            <w:pPr>
              <w:spacing w:after="0" w:line="240" w:lineRule="auto"/>
              <w:jc w:val="right"/>
              <w:rPr>
                <w:rFonts w:ascii="Calibri" w:eastAsia="Times New Roman" w:hAnsi="Calibri" w:cs="Calibri"/>
                <w:color w:val="000000"/>
                <w:sz w:val="20"/>
                <w:szCs w:val="20"/>
              </w:rPr>
            </w:pPr>
            <w:r w:rsidRPr="00AB0FD9">
              <w:rPr>
                <w:rFonts w:ascii="Calibri" w:eastAsia="Times New Roman" w:hAnsi="Calibri" w:cs="Calibri"/>
                <w:color w:val="000000"/>
                <w:sz w:val="20"/>
                <w:szCs w:val="20"/>
              </w:rPr>
              <w:t>1,0%</w:t>
            </w:r>
          </w:p>
        </w:tc>
      </w:tr>
    </w:tbl>
    <w:p w:rsidR="009B35D7" w:rsidRPr="00AB0FD9" w:rsidRDefault="009B35D7" w:rsidP="009B35D7">
      <w:pPr>
        <w:spacing w:after="0" w:line="360" w:lineRule="auto"/>
        <w:rPr>
          <w:rFonts w:cstheme="minorHAnsi"/>
          <w:i/>
          <w:color w:val="002060"/>
          <w:sz w:val="24"/>
          <w:szCs w:val="24"/>
        </w:rPr>
      </w:pPr>
    </w:p>
    <w:p w:rsidR="0049700F" w:rsidRPr="0049700F" w:rsidRDefault="0049700F" w:rsidP="0049700F">
      <w:pPr>
        <w:autoSpaceDE w:val="0"/>
        <w:autoSpaceDN w:val="0"/>
        <w:adjustRightInd w:val="0"/>
        <w:spacing w:after="0" w:line="400" w:lineRule="atLeast"/>
        <w:rPr>
          <w:rFonts w:ascii="Times New Roman" w:hAnsi="Times New Roman" w:cs="Times New Roman"/>
          <w:sz w:val="24"/>
          <w:szCs w:val="24"/>
          <w:lang w:val="en-US"/>
        </w:rPr>
      </w:pPr>
    </w:p>
    <w:p w:rsidR="0049700F" w:rsidRPr="0049700F" w:rsidRDefault="0049700F" w:rsidP="0049700F">
      <w:pPr>
        <w:autoSpaceDE w:val="0"/>
        <w:autoSpaceDN w:val="0"/>
        <w:adjustRightInd w:val="0"/>
        <w:spacing w:after="0" w:line="240" w:lineRule="auto"/>
        <w:rPr>
          <w:rFonts w:ascii="Times New Roman" w:hAnsi="Times New Roman" w:cs="Times New Roman"/>
          <w:sz w:val="24"/>
          <w:szCs w:val="24"/>
          <w:lang w:val="en-US"/>
        </w:rPr>
      </w:pPr>
    </w:p>
    <w:p w:rsidR="0049700F" w:rsidRPr="0049700F" w:rsidRDefault="0049700F" w:rsidP="0049700F">
      <w:pPr>
        <w:autoSpaceDE w:val="0"/>
        <w:autoSpaceDN w:val="0"/>
        <w:adjustRightInd w:val="0"/>
        <w:spacing w:after="0" w:line="400" w:lineRule="atLeast"/>
        <w:rPr>
          <w:rFonts w:ascii="Times New Roman" w:hAnsi="Times New Roman" w:cs="Times New Roman"/>
          <w:sz w:val="24"/>
          <w:szCs w:val="24"/>
          <w:lang w:val="en-US"/>
        </w:rPr>
      </w:pPr>
    </w:p>
    <w:p w:rsidR="0049700F" w:rsidRPr="00CD0D46" w:rsidRDefault="0049700F" w:rsidP="0049700F">
      <w:pPr>
        <w:rPr>
          <w:lang w:val="en-US"/>
        </w:rPr>
      </w:pPr>
    </w:p>
    <w:p w:rsidR="0049700F" w:rsidRDefault="0049700F" w:rsidP="0049700F">
      <w:pPr>
        <w:rPr>
          <w:rFonts w:cstheme="minorHAnsi"/>
          <w:color w:val="002060"/>
          <w:sz w:val="24"/>
          <w:szCs w:val="24"/>
          <w:lang w:val="en-GB"/>
        </w:rPr>
      </w:pPr>
      <w:r>
        <w:rPr>
          <w:rFonts w:cstheme="minorHAnsi"/>
          <w:color w:val="002060"/>
          <w:sz w:val="24"/>
          <w:szCs w:val="24"/>
          <w:lang w:val="en-GB"/>
        </w:rPr>
        <w:br w:type="page"/>
      </w:r>
    </w:p>
    <w:p w:rsidR="00D712F5" w:rsidRPr="007B74B9" w:rsidRDefault="00D712F5" w:rsidP="007B74B9">
      <w:pPr>
        <w:rPr>
          <w:lang w:val="en-US"/>
        </w:rPr>
      </w:pPr>
    </w:p>
    <w:sectPr w:rsidR="00D712F5" w:rsidRPr="007B74B9" w:rsidSect="00AA13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B9"/>
    <w:rsid w:val="00042E03"/>
    <w:rsid w:val="000D5B73"/>
    <w:rsid w:val="00151F03"/>
    <w:rsid w:val="002012E2"/>
    <w:rsid w:val="0021432E"/>
    <w:rsid w:val="00270BEA"/>
    <w:rsid w:val="00291840"/>
    <w:rsid w:val="002A5154"/>
    <w:rsid w:val="00377AC8"/>
    <w:rsid w:val="003C190A"/>
    <w:rsid w:val="0049700F"/>
    <w:rsid w:val="0049786C"/>
    <w:rsid w:val="00606C9A"/>
    <w:rsid w:val="006728D0"/>
    <w:rsid w:val="007B6C5F"/>
    <w:rsid w:val="007B74B9"/>
    <w:rsid w:val="008A21A6"/>
    <w:rsid w:val="00935281"/>
    <w:rsid w:val="009B35D7"/>
    <w:rsid w:val="00AA136D"/>
    <w:rsid w:val="00B95A2B"/>
    <w:rsid w:val="00BA2EE0"/>
    <w:rsid w:val="00C8086D"/>
    <w:rsid w:val="00CB5A76"/>
    <w:rsid w:val="00D712F5"/>
    <w:rsid w:val="00E169D1"/>
    <w:rsid w:val="00EC696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0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49700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97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0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49700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97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4024</Words>
  <Characters>21733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m.mesquita</dc:creator>
  <cp:lastModifiedBy>MARGARIDA MESQUITA</cp:lastModifiedBy>
  <cp:revision>3</cp:revision>
  <dcterms:created xsi:type="dcterms:W3CDTF">2012-11-25T23:17:00Z</dcterms:created>
  <dcterms:modified xsi:type="dcterms:W3CDTF">2012-11-25T23:35:00Z</dcterms:modified>
</cp:coreProperties>
</file>