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5BD72" w14:textId="77777777" w:rsidR="005145BB" w:rsidRPr="006576BB" w:rsidRDefault="005145BB" w:rsidP="005145BB">
      <w:pPr>
        <w:spacing w:after="0"/>
        <w:jc w:val="center"/>
        <w:rPr>
          <w:rFonts w:cstheme="minorHAnsi"/>
          <w:b/>
          <w:sz w:val="28"/>
          <w:szCs w:val="28"/>
          <w:lang w:val="en-GB"/>
        </w:rPr>
      </w:pPr>
    </w:p>
    <w:p w14:paraId="5A5193C2" w14:textId="77777777" w:rsidR="005145BB" w:rsidRPr="00A70D9A" w:rsidRDefault="005145BB" w:rsidP="005145BB">
      <w:pPr>
        <w:spacing w:after="0"/>
        <w:jc w:val="center"/>
        <w:rPr>
          <w:rFonts w:ascii="Arial" w:hAnsi="Arial" w:cs="Arial"/>
          <w:b/>
          <w:sz w:val="28"/>
          <w:szCs w:val="28"/>
          <w:lang w:val="en-GB"/>
        </w:rPr>
      </w:pPr>
      <w:r w:rsidRPr="00A70D9A">
        <w:rPr>
          <w:rFonts w:ascii="Arial" w:hAnsi="Arial" w:cs="Arial"/>
          <w:b/>
          <w:sz w:val="28"/>
          <w:szCs w:val="28"/>
          <w:lang w:val="en-GB"/>
        </w:rPr>
        <w:t>The impact of the Covid-19 pandemic on children’s health in Portugal: a parents’ report</w:t>
      </w:r>
    </w:p>
    <w:p w14:paraId="069E4F0C" w14:textId="77777777" w:rsidR="005145BB" w:rsidRPr="00A70D9A" w:rsidRDefault="005145BB" w:rsidP="005145BB">
      <w:pPr>
        <w:tabs>
          <w:tab w:val="left" w:pos="4790"/>
        </w:tabs>
        <w:spacing w:after="0"/>
        <w:rPr>
          <w:rFonts w:ascii="Arial" w:hAnsi="Arial" w:cs="Arial"/>
          <w:b/>
          <w:sz w:val="28"/>
          <w:szCs w:val="28"/>
          <w:lang w:val="en-GB"/>
        </w:rPr>
      </w:pPr>
      <w:r w:rsidRPr="00A70D9A">
        <w:rPr>
          <w:rFonts w:ascii="Arial" w:hAnsi="Arial" w:cs="Arial"/>
          <w:b/>
          <w:sz w:val="28"/>
          <w:szCs w:val="28"/>
          <w:lang w:val="en-GB"/>
        </w:rPr>
        <w:tab/>
      </w:r>
    </w:p>
    <w:p w14:paraId="024B4379" w14:textId="77777777" w:rsidR="005145BB" w:rsidRPr="00A70D9A" w:rsidRDefault="005145BB" w:rsidP="005145BB">
      <w:pPr>
        <w:jc w:val="center"/>
        <w:rPr>
          <w:rFonts w:ascii="Arial" w:hAnsi="Arial" w:cs="Arial"/>
          <w:b/>
          <w:sz w:val="28"/>
          <w:szCs w:val="28"/>
        </w:rPr>
      </w:pPr>
      <w:r w:rsidRPr="00A70D9A">
        <w:rPr>
          <w:rFonts w:ascii="Arial" w:hAnsi="Arial" w:cs="Arial"/>
          <w:b/>
          <w:sz w:val="28"/>
          <w:szCs w:val="28"/>
        </w:rPr>
        <w:t>O impacto da pandemia Covid-19 na saúde infantil em Portugal: o relato dos pais</w:t>
      </w:r>
    </w:p>
    <w:p w14:paraId="1C6830B5" w14:textId="77777777" w:rsidR="005145BB" w:rsidRPr="00A70D9A" w:rsidRDefault="005145BB" w:rsidP="005145BB">
      <w:pPr>
        <w:rPr>
          <w:rFonts w:ascii="Arial" w:hAnsi="Arial" w:cs="Arial"/>
          <w:b/>
        </w:rPr>
      </w:pPr>
    </w:p>
    <w:p w14:paraId="642148A0" w14:textId="77777777" w:rsidR="005145BB" w:rsidRPr="00A70D9A" w:rsidRDefault="005145BB" w:rsidP="005145BB">
      <w:pPr>
        <w:rPr>
          <w:rFonts w:ascii="Arial" w:hAnsi="Arial" w:cs="Arial"/>
          <w:b/>
        </w:rPr>
      </w:pPr>
      <w:r w:rsidRPr="00A70D9A">
        <w:rPr>
          <w:rFonts w:ascii="Arial" w:hAnsi="Arial" w:cs="Arial"/>
          <w:b/>
        </w:rPr>
        <w:t>AUTHORS:</w:t>
      </w:r>
    </w:p>
    <w:p w14:paraId="6BEC0DCB" w14:textId="77777777" w:rsidR="005145BB" w:rsidRPr="0014236F" w:rsidRDefault="005145BB" w:rsidP="005145BB">
      <w:pPr>
        <w:rPr>
          <w:rFonts w:ascii="Arial" w:hAnsi="Arial" w:cs="Arial"/>
          <w:bCs/>
        </w:rPr>
      </w:pPr>
      <w:r w:rsidRPr="00A70D9A">
        <w:rPr>
          <w:rFonts w:ascii="Arial" w:hAnsi="Arial" w:cs="Arial"/>
          <w:bCs/>
        </w:rPr>
        <w:t xml:space="preserve">Mariana Poppe, MD, </w:t>
      </w:r>
      <w:proofErr w:type="spellStart"/>
      <w:r w:rsidRPr="00A70D9A">
        <w:rPr>
          <w:rFonts w:ascii="Arial" w:hAnsi="Arial" w:cs="Arial"/>
          <w:bCs/>
        </w:rPr>
        <w:t>Department</w:t>
      </w:r>
      <w:proofErr w:type="spellEnd"/>
      <w:r w:rsidRPr="00A70D9A">
        <w:rPr>
          <w:rFonts w:ascii="Arial" w:hAnsi="Arial" w:cs="Arial"/>
          <w:bCs/>
        </w:rPr>
        <w:t xml:space="preserve"> </w:t>
      </w:r>
      <w:proofErr w:type="spellStart"/>
      <w:r w:rsidRPr="00A70D9A">
        <w:rPr>
          <w:rFonts w:ascii="Arial" w:hAnsi="Arial" w:cs="Arial"/>
          <w:bCs/>
        </w:rPr>
        <w:t>of</w:t>
      </w:r>
      <w:proofErr w:type="spellEnd"/>
      <w:r w:rsidRPr="00A70D9A">
        <w:rPr>
          <w:rFonts w:ascii="Arial" w:hAnsi="Arial" w:cs="Arial"/>
          <w:bCs/>
        </w:rPr>
        <w:t xml:space="preserve"> </w:t>
      </w:r>
      <w:proofErr w:type="spellStart"/>
      <w:r w:rsidRPr="00A70D9A">
        <w:rPr>
          <w:rFonts w:ascii="Arial" w:hAnsi="Arial" w:cs="Arial"/>
          <w:bCs/>
        </w:rPr>
        <w:t>Pediatrics</w:t>
      </w:r>
      <w:proofErr w:type="spellEnd"/>
      <w:r w:rsidRPr="0014236F">
        <w:rPr>
          <w:rFonts w:ascii="Arial" w:hAnsi="Arial" w:cs="Arial"/>
          <w:bCs/>
        </w:rPr>
        <w:t>, Hospital Beatriz Ângelo, Loures, Portugal</w:t>
      </w:r>
    </w:p>
    <w:p w14:paraId="59DA259F" w14:textId="77777777" w:rsidR="005145BB" w:rsidRDefault="005145BB" w:rsidP="005145BB">
      <w:pPr>
        <w:rPr>
          <w:rFonts w:ascii="Arial" w:hAnsi="Arial" w:cs="Arial"/>
          <w:bCs/>
        </w:rPr>
      </w:pPr>
      <w:r w:rsidRPr="0014236F">
        <w:rPr>
          <w:rFonts w:ascii="Arial" w:hAnsi="Arial" w:cs="Arial"/>
          <w:bCs/>
        </w:rPr>
        <w:t xml:space="preserve">Bárbara Aguiar, MD, </w:t>
      </w:r>
      <w:proofErr w:type="spellStart"/>
      <w:r w:rsidRPr="0014236F">
        <w:rPr>
          <w:rFonts w:ascii="Arial" w:hAnsi="Arial" w:cs="Arial"/>
          <w:bCs/>
        </w:rPr>
        <w:t>Department</w:t>
      </w:r>
      <w:proofErr w:type="spellEnd"/>
      <w:r w:rsidRPr="0014236F">
        <w:rPr>
          <w:rFonts w:ascii="Arial" w:hAnsi="Arial" w:cs="Arial"/>
          <w:bCs/>
        </w:rPr>
        <w:t xml:space="preserve"> </w:t>
      </w:r>
      <w:proofErr w:type="spellStart"/>
      <w:r w:rsidRPr="0014236F">
        <w:rPr>
          <w:rFonts w:ascii="Arial" w:hAnsi="Arial" w:cs="Arial"/>
          <w:bCs/>
        </w:rPr>
        <w:t>of</w:t>
      </w:r>
      <w:proofErr w:type="spellEnd"/>
      <w:r w:rsidRPr="0014236F">
        <w:rPr>
          <w:rFonts w:ascii="Arial" w:hAnsi="Arial" w:cs="Arial"/>
          <w:bCs/>
        </w:rPr>
        <w:t xml:space="preserve"> </w:t>
      </w:r>
      <w:proofErr w:type="spellStart"/>
      <w:r w:rsidRPr="0014236F">
        <w:rPr>
          <w:rFonts w:ascii="Arial" w:hAnsi="Arial" w:cs="Arial"/>
          <w:bCs/>
        </w:rPr>
        <w:t>Pediatrics</w:t>
      </w:r>
      <w:proofErr w:type="spellEnd"/>
      <w:r w:rsidRPr="0014236F">
        <w:rPr>
          <w:rFonts w:ascii="Arial" w:hAnsi="Arial" w:cs="Arial"/>
          <w:bCs/>
        </w:rPr>
        <w:t>, Hospital Beatriz Ângelo, Loures, Portugal</w:t>
      </w:r>
    </w:p>
    <w:p w14:paraId="20E22ECA" w14:textId="77777777" w:rsidR="005145BB" w:rsidRPr="0014236F" w:rsidRDefault="005145BB" w:rsidP="005145BB">
      <w:pPr>
        <w:rPr>
          <w:rFonts w:ascii="Arial" w:hAnsi="Arial" w:cs="Arial"/>
          <w:bCs/>
        </w:rPr>
      </w:pPr>
      <w:r w:rsidRPr="0014236F">
        <w:rPr>
          <w:rFonts w:ascii="Arial" w:hAnsi="Arial" w:cs="Arial"/>
          <w:bCs/>
        </w:rPr>
        <w:t xml:space="preserve">Rodrigo Sousa, MD, </w:t>
      </w:r>
      <w:proofErr w:type="spellStart"/>
      <w:r w:rsidRPr="0014236F">
        <w:rPr>
          <w:rFonts w:ascii="Arial" w:hAnsi="Arial" w:cs="Arial"/>
          <w:bCs/>
        </w:rPr>
        <w:t>Department</w:t>
      </w:r>
      <w:proofErr w:type="spellEnd"/>
      <w:r w:rsidRPr="0014236F">
        <w:rPr>
          <w:rFonts w:ascii="Arial" w:hAnsi="Arial" w:cs="Arial"/>
          <w:bCs/>
        </w:rPr>
        <w:t xml:space="preserve"> </w:t>
      </w:r>
      <w:proofErr w:type="spellStart"/>
      <w:r w:rsidRPr="0014236F">
        <w:rPr>
          <w:rFonts w:ascii="Arial" w:hAnsi="Arial" w:cs="Arial"/>
          <w:bCs/>
        </w:rPr>
        <w:t>of</w:t>
      </w:r>
      <w:proofErr w:type="spellEnd"/>
      <w:r w:rsidRPr="0014236F">
        <w:rPr>
          <w:rFonts w:ascii="Arial" w:hAnsi="Arial" w:cs="Arial"/>
          <w:bCs/>
        </w:rPr>
        <w:t xml:space="preserve"> </w:t>
      </w:r>
      <w:proofErr w:type="spellStart"/>
      <w:r w:rsidRPr="0014236F">
        <w:rPr>
          <w:rFonts w:ascii="Arial" w:hAnsi="Arial" w:cs="Arial"/>
          <w:bCs/>
        </w:rPr>
        <w:t>Pediatrics</w:t>
      </w:r>
      <w:proofErr w:type="spellEnd"/>
      <w:r w:rsidRPr="0014236F">
        <w:rPr>
          <w:rFonts w:ascii="Arial" w:hAnsi="Arial" w:cs="Arial"/>
          <w:bCs/>
        </w:rPr>
        <w:t>, Hospital Beatriz Ângelo, Loures, Portugal</w:t>
      </w:r>
    </w:p>
    <w:p w14:paraId="2029AFAF" w14:textId="77777777" w:rsidR="005145BB" w:rsidRPr="0014236F" w:rsidRDefault="005145BB" w:rsidP="005145BB">
      <w:pPr>
        <w:rPr>
          <w:rFonts w:ascii="Arial" w:hAnsi="Arial" w:cs="Arial"/>
          <w:bCs/>
        </w:rPr>
      </w:pPr>
      <w:r w:rsidRPr="0014236F">
        <w:rPr>
          <w:rFonts w:ascii="Arial" w:hAnsi="Arial" w:cs="Arial"/>
          <w:bCs/>
        </w:rPr>
        <w:t xml:space="preserve">Paulo </w:t>
      </w:r>
      <w:proofErr w:type="spellStart"/>
      <w:r w:rsidRPr="0014236F">
        <w:rPr>
          <w:rFonts w:ascii="Arial" w:hAnsi="Arial" w:cs="Arial"/>
          <w:bCs/>
        </w:rPr>
        <w:t>Oom</w:t>
      </w:r>
      <w:proofErr w:type="spellEnd"/>
      <w:r w:rsidRPr="0014236F">
        <w:rPr>
          <w:rFonts w:ascii="Arial" w:hAnsi="Arial" w:cs="Arial"/>
          <w:bCs/>
        </w:rPr>
        <w:t xml:space="preserve">, PhD, </w:t>
      </w:r>
      <w:proofErr w:type="spellStart"/>
      <w:r w:rsidRPr="0014236F">
        <w:rPr>
          <w:rFonts w:ascii="Arial" w:hAnsi="Arial" w:cs="Arial"/>
          <w:bCs/>
        </w:rPr>
        <w:t>Department</w:t>
      </w:r>
      <w:proofErr w:type="spellEnd"/>
      <w:r w:rsidRPr="0014236F">
        <w:rPr>
          <w:rFonts w:ascii="Arial" w:hAnsi="Arial" w:cs="Arial"/>
          <w:bCs/>
        </w:rPr>
        <w:t xml:space="preserve"> </w:t>
      </w:r>
      <w:proofErr w:type="spellStart"/>
      <w:r w:rsidRPr="0014236F">
        <w:rPr>
          <w:rFonts w:ascii="Arial" w:hAnsi="Arial" w:cs="Arial"/>
          <w:bCs/>
        </w:rPr>
        <w:t>of</w:t>
      </w:r>
      <w:proofErr w:type="spellEnd"/>
      <w:r w:rsidRPr="0014236F">
        <w:rPr>
          <w:rFonts w:ascii="Arial" w:hAnsi="Arial" w:cs="Arial"/>
          <w:bCs/>
        </w:rPr>
        <w:t xml:space="preserve"> </w:t>
      </w:r>
      <w:proofErr w:type="spellStart"/>
      <w:r w:rsidRPr="0014236F">
        <w:rPr>
          <w:rFonts w:ascii="Arial" w:hAnsi="Arial" w:cs="Arial"/>
          <w:bCs/>
        </w:rPr>
        <w:t>Pediatrics</w:t>
      </w:r>
      <w:proofErr w:type="spellEnd"/>
      <w:r w:rsidRPr="0014236F">
        <w:rPr>
          <w:rFonts w:ascii="Arial" w:hAnsi="Arial" w:cs="Arial"/>
          <w:bCs/>
        </w:rPr>
        <w:t>, Hospital Beatriz Ângelo, Loures, Portugal</w:t>
      </w:r>
    </w:p>
    <w:p w14:paraId="7A459E2B" w14:textId="77777777" w:rsidR="005145BB" w:rsidRPr="0014236F" w:rsidRDefault="005145BB" w:rsidP="005145BB">
      <w:pPr>
        <w:rPr>
          <w:rFonts w:ascii="Arial" w:hAnsi="Arial" w:cs="Arial"/>
          <w:b/>
        </w:rPr>
      </w:pPr>
    </w:p>
    <w:p w14:paraId="5BD1D067" w14:textId="77777777" w:rsidR="005145BB" w:rsidRPr="0014236F" w:rsidRDefault="005145BB" w:rsidP="005145BB">
      <w:pPr>
        <w:rPr>
          <w:rFonts w:ascii="Arial" w:hAnsi="Arial" w:cs="Arial"/>
          <w:b/>
        </w:rPr>
      </w:pPr>
    </w:p>
    <w:p w14:paraId="1B34F821" w14:textId="77777777" w:rsidR="005145BB" w:rsidRPr="0014236F" w:rsidRDefault="005145BB" w:rsidP="005145BB">
      <w:pPr>
        <w:rPr>
          <w:rFonts w:ascii="Arial" w:hAnsi="Arial" w:cs="Arial"/>
          <w:b/>
        </w:rPr>
      </w:pPr>
      <w:r w:rsidRPr="0014236F">
        <w:rPr>
          <w:rFonts w:ascii="Arial" w:hAnsi="Arial" w:cs="Arial"/>
          <w:b/>
        </w:rPr>
        <w:t>CONTACTS:</w:t>
      </w:r>
    </w:p>
    <w:p w14:paraId="5A1FD55D" w14:textId="77777777" w:rsidR="005145BB" w:rsidRPr="0014236F" w:rsidRDefault="005145BB" w:rsidP="005145BB">
      <w:pPr>
        <w:rPr>
          <w:rFonts w:ascii="Arial" w:hAnsi="Arial" w:cs="Arial"/>
          <w:bCs/>
        </w:rPr>
      </w:pPr>
      <w:proofErr w:type="spellStart"/>
      <w:r w:rsidRPr="0014236F">
        <w:rPr>
          <w:rFonts w:ascii="Arial" w:hAnsi="Arial" w:cs="Arial"/>
          <w:bCs/>
          <w:u w:val="single"/>
        </w:rPr>
        <w:t>Address</w:t>
      </w:r>
      <w:proofErr w:type="spellEnd"/>
      <w:r w:rsidRPr="0014236F">
        <w:rPr>
          <w:rFonts w:ascii="Arial" w:hAnsi="Arial" w:cs="Arial"/>
          <w:bCs/>
          <w:u w:val="single"/>
        </w:rPr>
        <w:t>:</w:t>
      </w:r>
      <w:r w:rsidRPr="0014236F">
        <w:rPr>
          <w:rFonts w:ascii="Arial" w:hAnsi="Arial" w:cs="Arial"/>
          <w:bCs/>
        </w:rPr>
        <w:t xml:space="preserve"> Av. Forcas Armadas 133A 16ºEsq, 1600-081 Lisboa</w:t>
      </w:r>
    </w:p>
    <w:p w14:paraId="124946A7" w14:textId="77777777" w:rsidR="005145BB" w:rsidRPr="00FB73B3" w:rsidRDefault="005145BB" w:rsidP="005145BB">
      <w:pPr>
        <w:rPr>
          <w:rFonts w:ascii="Arial" w:hAnsi="Arial" w:cs="Arial"/>
          <w:bCs/>
        </w:rPr>
      </w:pPr>
      <w:r w:rsidRPr="00FB73B3">
        <w:rPr>
          <w:rFonts w:ascii="Arial" w:hAnsi="Arial" w:cs="Arial"/>
          <w:bCs/>
        </w:rPr>
        <w:t xml:space="preserve">E-mail: </w:t>
      </w:r>
      <w:hyperlink r:id="rId8" w:history="1">
        <w:r w:rsidRPr="00FB73B3">
          <w:rPr>
            <w:rStyle w:val="Hiperligao"/>
            <w:rFonts w:ascii="Arial" w:hAnsi="Arial" w:cs="Arial"/>
            <w:bCs/>
          </w:rPr>
          <w:t>mariana.cotrim.figueiredo@hbeatrizangelo.pt</w:t>
        </w:r>
      </w:hyperlink>
    </w:p>
    <w:p w14:paraId="20281D6E" w14:textId="77777777" w:rsidR="005145BB" w:rsidRPr="00FB73B3" w:rsidRDefault="005145BB" w:rsidP="005145BB">
      <w:pPr>
        <w:rPr>
          <w:rFonts w:ascii="Arial" w:hAnsi="Arial" w:cs="Arial"/>
          <w:b/>
        </w:rPr>
      </w:pPr>
    </w:p>
    <w:p w14:paraId="3DFDD79B" w14:textId="77777777" w:rsidR="005145BB" w:rsidRPr="00FB73B3" w:rsidRDefault="005145BB" w:rsidP="005145BB">
      <w:pPr>
        <w:rPr>
          <w:rFonts w:ascii="Arial" w:hAnsi="Arial" w:cs="Arial"/>
          <w:b/>
        </w:rPr>
      </w:pPr>
    </w:p>
    <w:p w14:paraId="4E453C8F" w14:textId="77777777" w:rsidR="005145BB" w:rsidRPr="0014236F" w:rsidRDefault="005145BB" w:rsidP="005145BB">
      <w:pPr>
        <w:rPr>
          <w:rFonts w:ascii="Arial" w:hAnsi="Arial" w:cs="Arial"/>
          <w:b/>
          <w:lang w:val="en-GB"/>
        </w:rPr>
      </w:pPr>
      <w:r w:rsidRPr="0014236F">
        <w:rPr>
          <w:rFonts w:ascii="Arial" w:hAnsi="Arial" w:cs="Arial"/>
          <w:b/>
          <w:lang w:val="en-GB"/>
        </w:rPr>
        <w:t xml:space="preserve">BRIEF TITLE FOR HEADING: </w:t>
      </w:r>
    </w:p>
    <w:p w14:paraId="51311F54" w14:textId="77777777" w:rsidR="005145BB" w:rsidRPr="0014236F" w:rsidRDefault="005145BB" w:rsidP="005145BB">
      <w:pPr>
        <w:rPr>
          <w:rFonts w:ascii="Arial" w:hAnsi="Arial" w:cs="Arial"/>
          <w:bCs/>
          <w:lang w:val="en-GB"/>
        </w:rPr>
      </w:pPr>
      <w:r w:rsidRPr="0014236F">
        <w:rPr>
          <w:rFonts w:ascii="Arial" w:hAnsi="Arial" w:cs="Arial"/>
          <w:bCs/>
          <w:lang w:val="en-GB"/>
        </w:rPr>
        <w:t xml:space="preserve">Impact of Covid-19 on children’s health </w:t>
      </w:r>
      <w:r w:rsidRPr="0014236F">
        <w:rPr>
          <w:rFonts w:ascii="Arial" w:hAnsi="Arial" w:cs="Arial"/>
          <w:bCs/>
          <w:lang w:val="en-GB"/>
        </w:rPr>
        <w:br w:type="page"/>
      </w:r>
    </w:p>
    <w:p w14:paraId="648BAA23" w14:textId="77777777" w:rsidR="005145BB" w:rsidRPr="0014236F" w:rsidRDefault="005145BB" w:rsidP="005145BB">
      <w:pPr>
        <w:spacing w:after="0" w:line="360" w:lineRule="auto"/>
        <w:rPr>
          <w:rFonts w:ascii="Arial" w:hAnsi="Arial" w:cs="Arial"/>
          <w:b/>
          <w:lang w:val="en-GB"/>
        </w:rPr>
      </w:pPr>
      <w:r w:rsidRPr="0014236F">
        <w:rPr>
          <w:rFonts w:ascii="Arial" w:hAnsi="Arial" w:cs="Arial"/>
          <w:b/>
          <w:lang w:val="en-GB"/>
        </w:rPr>
        <w:lastRenderedPageBreak/>
        <w:t>The impact of the Covid-19 pandemic on children’s health in Portugal</w:t>
      </w:r>
      <w:r>
        <w:rPr>
          <w:rFonts w:ascii="Arial" w:hAnsi="Arial" w:cs="Arial"/>
          <w:b/>
          <w:lang w:val="en-GB"/>
        </w:rPr>
        <w:t>: a parent’s report</w:t>
      </w:r>
    </w:p>
    <w:p w14:paraId="5D0AEBA3" w14:textId="77777777" w:rsidR="005145BB" w:rsidRPr="0014236F" w:rsidRDefault="005145BB" w:rsidP="005145BB">
      <w:pPr>
        <w:spacing w:after="0"/>
        <w:jc w:val="both"/>
        <w:rPr>
          <w:rFonts w:ascii="Arial" w:hAnsi="Arial" w:cs="Arial"/>
          <w:b/>
          <w:lang w:val="en-US"/>
        </w:rPr>
      </w:pPr>
      <w:r w:rsidRPr="0014236F">
        <w:rPr>
          <w:rFonts w:ascii="Arial" w:hAnsi="Arial" w:cs="Arial"/>
          <w:b/>
          <w:lang w:val="en-US"/>
        </w:rPr>
        <w:t>ABSTRACT</w:t>
      </w:r>
    </w:p>
    <w:p w14:paraId="06FEADC6" w14:textId="77777777" w:rsidR="005145BB" w:rsidRPr="0014236F" w:rsidRDefault="005145BB" w:rsidP="005145BB">
      <w:pPr>
        <w:spacing w:after="0"/>
        <w:jc w:val="both"/>
        <w:rPr>
          <w:rFonts w:ascii="Arial" w:hAnsi="Arial" w:cs="Arial"/>
          <w:bCs/>
          <w:lang w:val="en-US"/>
        </w:rPr>
      </w:pPr>
      <w:r w:rsidRPr="0014236F">
        <w:rPr>
          <w:rFonts w:ascii="Arial" w:hAnsi="Arial" w:cs="Arial"/>
          <w:b/>
          <w:lang w:val="en-US"/>
        </w:rPr>
        <w:t xml:space="preserve">Background: </w:t>
      </w:r>
      <w:r w:rsidRPr="0014236F">
        <w:rPr>
          <w:rFonts w:ascii="Arial" w:hAnsi="Arial" w:cs="Arial"/>
          <w:bCs/>
          <w:lang w:val="en-US"/>
        </w:rPr>
        <w:t xml:space="preserve">The Covid-19 pandemic poses unprecedented challenges for healthcare services and has led to alterations in </w:t>
      </w:r>
      <w:r>
        <w:rPr>
          <w:rFonts w:ascii="Arial" w:hAnsi="Arial" w:cs="Arial"/>
          <w:bCs/>
          <w:lang w:val="en-US"/>
        </w:rPr>
        <w:t xml:space="preserve">its </w:t>
      </w:r>
      <w:r w:rsidRPr="0014236F">
        <w:rPr>
          <w:rFonts w:ascii="Arial" w:hAnsi="Arial" w:cs="Arial"/>
          <w:bCs/>
          <w:lang w:val="en-US"/>
        </w:rPr>
        <w:t>utilization patterns by the pediatric population. We</w:t>
      </w:r>
      <w:r w:rsidRPr="0014236F">
        <w:rPr>
          <w:rFonts w:ascii="Arial" w:hAnsi="Arial" w:cs="Arial"/>
          <w:lang w:val="en-US"/>
        </w:rPr>
        <w:t xml:space="preserve"> aimed to describe the impact of Covid-19 on children’s health, wellbeing, and access to medical care.</w:t>
      </w:r>
    </w:p>
    <w:p w14:paraId="735D4B6F" w14:textId="77777777" w:rsidR="005145BB" w:rsidRPr="00A70D9A" w:rsidRDefault="005145BB" w:rsidP="005145BB">
      <w:pPr>
        <w:spacing w:after="0"/>
        <w:jc w:val="both"/>
        <w:rPr>
          <w:rFonts w:ascii="Arial" w:hAnsi="Arial" w:cs="Arial"/>
          <w:lang w:val="en-US"/>
        </w:rPr>
      </w:pPr>
      <w:r w:rsidRPr="0014236F">
        <w:rPr>
          <w:rFonts w:ascii="Arial" w:hAnsi="Arial" w:cs="Arial"/>
          <w:b/>
          <w:lang w:val="en-US"/>
        </w:rPr>
        <w:t>M</w:t>
      </w:r>
      <w:r>
        <w:rPr>
          <w:rFonts w:ascii="Arial" w:hAnsi="Arial" w:cs="Arial"/>
          <w:b/>
          <w:lang w:val="en-US"/>
        </w:rPr>
        <w:t>aterial and M</w:t>
      </w:r>
      <w:r w:rsidRPr="0014236F">
        <w:rPr>
          <w:rFonts w:ascii="Arial" w:hAnsi="Arial" w:cs="Arial"/>
          <w:b/>
          <w:lang w:val="en-US"/>
        </w:rPr>
        <w:t>ethods:</w:t>
      </w:r>
      <w:r w:rsidRPr="0014236F">
        <w:rPr>
          <w:rFonts w:ascii="Arial" w:hAnsi="Arial" w:cs="Arial"/>
          <w:bCs/>
          <w:lang w:val="en-US"/>
        </w:rPr>
        <w:t xml:space="preserve"> We </w:t>
      </w:r>
      <w:r w:rsidRPr="00A70D9A">
        <w:rPr>
          <w:rFonts w:ascii="Arial" w:hAnsi="Arial" w:cs="Arial"/>
          <w:bCs/>
          <w:lang w:val="en-US"/>
        </w:rPr>
        <w:t>conducted a</w:t>
      </w:r>
      <w:r w:rsidRPr="00A70D9A">
        <w:rPr>
          <w:rFonts w:ascii="Arial" w:hAnsi="Arial" w:cs="Arial"/>
          <w:lang w:val="en-US"/>
        </w:rPr>
        <w:t xml:space="preserve"> retrospective cross-sectional study through an anonymous online survey via social networks. Collected data refers to a period between March 16</w:t>
      </w:r>
      <w:r w:rsidRPr="00A70D9A">
        <w:rPr>
          <w:rFonts w:ascii="Arial" w:hAnsi="Arial" w:cs="Arial"/>
          <w:vertAlign w:val="superscript"/>
          <w:lang w:val="en-US"/>
        </w:rPr>
        <w:t>th</w:t>
      </w:r>
      <w:r w:rsidRPr="00A70D9A">
        <w:rPr>
          <w:rFonts w:ascii="Arial" w:hAnsi="Arial" w:cs="Arial"/>
          <w:lang w:val="en-US"/>
        </w:rPr>
        <w:t xml:space="preserve"> and May 17</w:t>
      </w:r>
      <w:r w:rsidRPr="00A70D9A">
        <w:rPr>
          <w:rFonts w:ascii="Arial" w:hAnsi="Arial" w:cs="Arial"/>
          <w:vertAlign w:val="superscript"/>
          <w:lang w:val="en-US"/>
        </w:rPr>
        <w:t>th</w:t>
      </w:r>
      <w:proofErr w:type="gramStart"/>
      <w:r w:rsidRPr="00A70D9A">
        <w:rPr>
          <w:rFonts w:ascii="Arial" w:hAnsi="Arial" w:cs="Arial"/>
          <w:lang w:val="en-US"/>
        </w:rPr>
        <w:t xml:space="preserve"> 2020</w:t>
      </w:r>
      <w:proofErr w:type="gramEnd"/>
      <w:r w:rsidRPr="00A70D9A">
        <w:rPr>
          <w:rFonts w:ascii="Arial" w:hAnsi="Arial" w:cs="Arial"/>
          <w:lang w:val="en-US"/>
        </w:rPr>
        <w:t>.</w:t>
      </w:r>
    </w:p>
    <w:p w14:paraId="5D23DE9A" w14:textId="77777777" w:rsidR="005145BB" w:rsidRPr="00A70D9A" w:rsidRDefault="005145BB" w:rsidP="005145BB">
      <w:pPr>
        <w:spacing w:after="0"/>
        <w:jc w:val="both"/>
        <w:rPr>
          <w:rFonts w:ascii="Arial" w:hAnsi="Arial" w:cs="Arial"/>
          <w:lang w:val="en-US"/>
        </w:rPr>
      </w:pPr>
      <w:r w:rsidRPr="00A70D9A">
        <w:rPr>
          <w:rFonts w:ascii="Arial" w:hAnsi="Arial" w:cs="Arial"/>
          <w:b/>
          <w:lang w:val="en-US"/>
        </w:rPr>
        <w:t>Results:</w:t>
      </w:r>
      <w:r w:rsidRPr="00A70D9A">
        <w:rPr>
          <w:rFonts w:ascii="Arial" w:hAnsi="Arial" w:cs="Arial"/>
          <w:bCs/>
          <w:lang w:val="en-US"/>
        </w:rPr>
        <w:t xml:space="preserve"> We obtained responses to the survey regarding 19,745 children. 54.2% of the previously scheduled medical appointments were postponed by health institutions and 21.6% of planned vaccinations were missed. </w:t>
      </w:r>
      <w:r w:rsidRPr="00A70D9A">
        <w:rPr>
          <w:rFonts w:ascii="Arial" w:hAnsi="Arial" w:cs="Arial"/>
          <w:lang w:val="en-US"/>
        </w:rPr>
        <w:t>Parents expressed concerns regarding psychological, social, and physical consequences for their children due to the pandemic.</w:t>
      </w:r>
    </w:p>
    <w:p w14:paraId="441FAEC2" w14:textId="77777777" w:rsidR="005145BB" w:rsidRPr="00A70D9A" w:rsidRDefault="005145BB" w:rsidP="005145BB">
      <w:pPr>
        <w:spacing w:after="0"/>
        <w:jc w:val="both"/>
        <w:rPr>
          <w:rFonts w:ascii="Arial" w:hAnsi="Arial" w:cs="Arial"/>
          <w:lang w:val="en-US"/>
        </w:rPr>
      </w:pPr>
      <w:r w:rsidRPr="00A70D9A">
        <w:rPr>
          <w:rFonts w:ascii="Arial" w:hAnsi="Arial" w:cs="Arial"/>
          <w:b/>
          <w:bCs/>
          <w:lang w:val="en-US"/>
        </w:rPr>
        <w:t xml:space="preserve">Discussion: </w:t>
      </w:r>
      <w:r w:rsidRPr="00A70D9A">
        <w:rPr>
          <w:rFonts w:ascii="Arial" w:hAnsi="Arial" w:cs="Arial"/>
          <w:lang w:val="en-US"/>
        </w:rPr>
        <w:t>The observed reduction of pediatric emergency department visits and the postponement of medical appointments and vaccine administrations are potentially harmful for non-Covid patients. The current pandemic and the imposed social distance might have an important negative impact of children’s mental health.</w:t>
      </w:r>
    </w:p>
    <w:p w14:paraId="0E802923" w14:textId="77777777" w:rsidR="005145BB" w:rsidRPr="00A70D9A" w:rsidRDefault="005145BB" w:rsidP="005145BB">
      <w:pPr>
        <w:spacing w:after="0"/>
        <w:jc w:val="both"/>
        <w:rPr>
          <w:rFonts w:ascii="Arial" w:hAnsi="Arial" w:cs="Arial"/>
          <w:bCs/>
          <w:lang w:val="en-US"/>
        </w:rPr>
      </w:pPr>
      <w:r w:rsidRPr="00A70D9A">
        <w:rPr>
          <w:rFonts w:ascii="Arial" w:hAnsi="Arial" w:cs="Arial"/>
          <w:b/>
          <w:lang w:val="en-US"/>
        </w:rPr>
        <w:t>Conclusion:</w:t>
      </w:r>
      <w:r w:rsidRPr="00A70D9A">
        <w:rPr>
          <w:rFonts w:ascii="Arial" w:hAnsi="Arial" w:cs="Arial"/>
          <w:bCs/>
          <w:lang w:val="en-US"/>
        </w:rPr>
        <w:t xml:space="preserve"> Further studies are necessary to fully comprehend the outcomes of the decreased access to medical care, as well as the collateral damage for children beyond the clinical aspects of the pandemic. Defining strategies regarding the urge to vaccinate children and not postpone urgent evaluations should be a public health priority.</w:t>
      </w:r>
    </w:p>
    <w:p w14:paraId="65B6E354" w14:textId="23C092A0" w:rsidR="005145BB" w:rsidRPr="00A70D9A" w:rsidRDefault="005145BB" w:rsidP="005145BB">
      <w:pPr>
        <w:spacing w:after="0"/>
        <w:jc w:val="both"/>
        <w:rPr>
          <w:rFonts w:ascii="Arial" w:hAnsi="Arial" w:cs="Arial"/>
          <w:bCs/>
          <w:lang w:val="en-US"/>
        </w:rPr>
      </w:pPr>
      <w:bookmarkStart w:id="0" w:name="_Hlk45197696"/>
      <w:r w:rsidRPr="00A70D9A">
        <w:rPr>
          <w:rFonts w:ascii="Arial" w:hAnsi="Arial" w:cs="Arial"/>
          <w:b/>
          <w:lang w:val="en-US"/>
        </w:rPr>
        <w:t xml:space="preserve">Keywords: </w:t>
      </w:r>
      <w:r w:rsidRPr="00A70D9A">
        <w:rPr>
          <w:rFonts w:ascii="Arial" w:hAnsi="Arial" w:cs="Arial"/>
          <w:bCs/>
          <w:lang w:val="en-US"/>
        </w:rPr>
        <w:t>Pediatrics; Coronavirus; Pandemics; Health Care Quality, Access, and Evaluation;</w:t>
      </w:r>
      <w:r w:rsidRPr="00A70D9A">
        <w:rPr>
          <w:rFonts w:ascii="Arial" w:hAnsi="Arial" w:cs="Arial"/>
          <w:lang w:val="en-US"/>
        </w:rPr>
        <w:t xml:space="preserve"> </w:t>
      </w:r>
      <w:r w:rsidRPr="00A70D9A">
        <w:rPr>
          <w:rFonts w:ascii="Arial" w:hAnsi="Arial" w:cs="Arial"/>
          <w:bCs/>
          <w:lang w:val="en-US"/>
        </w:rPr>
        <w:t>Health Impact Assessment.</w:t>
      </w:r>
      <w:bookmarkEnd w:id="0"/>
    </w:p>
    <w:p w14:paraId="343BEF86" w14:textId="77777777" w:rsidR="005145BB" w:rsidRPr="00A70D9A" w:rsidRDefault="005145BB" w:rsidP="005145BB">
      <w:pPr>
        <w:spacing w:after="0"/>
        <w:jc w:val="both"/>
        <w:rPr>
          <w:rFonts w:ascii="Arial" w:hAnsi="Arial" w:cs="Arial"/>
          <w:b/>
          <w:lang w:val="en-US"/>
        </w:rPr>
      </w:pPr>
    </w:p>
    <w:p w14:paraId="7A60B1A1" w14:textId="77777777" w:rsidR="005145BB" w:rsidRPr="00A70D9A" w:rsidRDefault="005145BB" w:rsidP="005145BB">
      <w:pPr>
        <w:spacing w:after="0"/>
        <w:jc w:val="both"/>
        <w:rPr>
          <w:rFonts w:ascii="Arial" w:hAnsi="Arial" w:cs="Arial"/>
          <w:b/>
        </w:rPr>
      </w:pPr>
      <w:r w:rsidRPr="00A70D9A">
        <w:rPr>
          <w:rFonts w:ascii="Arial" w:hAnsi="Arial" w:cs="Arial"/>
          <w:b/>
        </w:rPr>
        <w:t>RESUMO</w:t>
      </w:r>
    </w:p>
    <w:p w14:paraId="6A8B7867" w14:textId="77777777" w:rsidR="005145BB" w:rsidRPr="00A70D9A" w:rsidRDefault="005145BB" w:rsidP="005145BB">
      <w:pPr>
        <w:spacing w:after="0"/>
        <w:jc w:val="both"/>
        <w:rPr>
          <w:rFonts w:ascii="Arial" w:hAnsi="Arial" w:cs="Arial"/>
          <w:bCs/>
        </w:rPr>
      </w:pPr>
      <w:r w:rsidRPr="00A70D9A">
        <w:rPr>
          <w:rFonts w:ascii="Arial" w:hAnsi="Arial" w:cs="Arial"/>
          <w:b/>
        </w:rPr>
        <w:t>Introdução:</w:t>
      </w:r>
      <w:r w:rsidRPr="00A70D9A">
        <w:rPr>
          <w:rFonts w:ascii="Arial" w:hAnsi="Arial" w:cs="Arial"/>
          <w:bCs/>
        </w:rPr>
        <w:t xml:space="preserve"> A pandemia Covid-19 constitui um desafio sem precedentes para os serviços de saúde e conduziu a alterações no padrão de utilização dos recursos pela população pediátrica. Procurámos descrever o impacto da pandemia Covid-19 na saúde infantil e no acesso à saúde em Portugal.</w:t>
      </w:r>
    </w:p>
    <w:p w14:paraId="0396FEA2" w14:textId="77777777" w:rsidR="005145BB" w:rsidRPr="00A70D9A" w:rsidRDefault="005145BB" w:rsidP="005145BB">
      <w:pPr>
        <w:spacing w:after="0"/>
        <w:jc w:val="both"/>
        <w:rPr>
          <w:rFonts w:ascii="Arial" w:hAnsi="Arial" w:cs="Arial"/>
          <w:bCs/>
        </w:rPr>
      </w:pPr>
      <w:r w:rsidRPr="00A70D9A">
        <w:rPr>
          <w:rFonts w:ascii="Arial" w:hAnsi="Arial" w:cs="Arial"/>
          <w:b/>
        </w:rPr>
        <w:t>Materiais e Métodos:</w:t>
      </w:r>
      <w:r w:rsidRPr="00A70D9A">
        <w:rPr>
          <w:rFonts w:ascii="Arial" w:hAnsi="Arial" w:cs="Arial"/>
          <w:bCs/>
        </w:rPr>
        <w:t xml:space="preserve"> Realizámos um estudo </w:t>
      </w:r>
      <w:proofErr w:type="spellStart"/>
      <w:r w:rsidRPr="00A70D9A">
        <w:rPr>
          <w:rFonts w:ascii="Arial" w:hAnsi="Arial" w:cs="Arial"/>
          <w:bCs/>
        </w:rPr>
        <w:t>retrospectivo</w:t>
      </w:r>
      <w:proofErr w:type="spellEnd"/>
      <w:r w:rsidRPr="00A70D9A">
        <w:rPr>
          <w:rFonts w:ascii="Arial" w:hAnsi="Arial" w:cs="Arial"/>
          <w:bCs/>
        </w:rPr>
        <w:t>, recolhendo dados através da aplicação de um inquérito anónimo online nas redes sociais. Os dados referem-se a um período abrangido entre 16 de março e 17 de maio de 2020.</w:t>
      </w:r>
    </w:p>
    <w:p w14:paraId="52B33FF4" w14:textId="77777777" w:rsidR="005145BB" w:rsidRPr="0014236F" w:rsidRDefault="005145BB" w:rsidP="005145BB">
      <w:pPr>
        <w:spacing w:after="0"/>
        <w:jc w:val="both"/>
        <w:rPr>
          <w:rFonts w:ascii="Arial" w:hAnsi="Arial" w:cs="Arial"/>
          <w:b/>
        </w:rPr>
      </w:pPr>
      <w:r w:rsidRPr="00A70D9A">
        <w:rPr>
          <w:rFonts w:ascii="Arial" w:hAnsi="Arial" w:cs="Arial"/>
          <w:b/>
        </w:rPr>
        <w:t xml:space="preserve">Resultados: </w:t>
      </w:r>
      <w:r w:rsidRPr="00A70D9A">
        <w:rPr>
          <w:rFonts w:ascii="Arial" w:hAnsi="Arial" w:cs="Arial"/>
          <w:bCs/>
        </w:rPr>
        <w:t xml:space="preserve">Obtivemos respostas ao inquérito relativas a 19,745 </w:t>
      </w:r>
      <w:r w:rsidRPr="0014236F">
        <w:rPr>
          <w:rFonts w:ascii="Arial" w:hAnsi="Arial" w:cs="Arial"/>
          <w:bCs/>
        </w:rPr>
        <w:t>crianças. 54.2% das consultas previamente agendadas foram adiadas pelas instituições de saúde e 21.6% das vacinações previstas não se realizaram.</w:t>
      </w:r>
      <w:r>
        <w:rPr>
          <w:rFonts w:ascii="Arial" w:hAnsi="Arial" w:cs="Arial"/>
          <w:bCs/>
        </w:rPr>
        <w:t xml:space="preserve"> </w:t>
      </w:r>
      <w:r w:rsidRPr="0014236F">
        <w:rPr>
          <w:rFonts w:ascii="Arial" w:hAnsi="Arial" w:cs="Arial"/>
          <w:bCs/>
        </w:rPr>
        <w:t>Os pais expressaram preocupaç</w:t>
      </w:r>
      <w:r>
        <w:rPr>
          <w:rFonts w:ascii="Arial" w:hAnsi="Arial" w:cs="Arial"/>
          <w:bCs/>
        </w:rPr>
        <w:t>ão</w:t>
      </w:r>
      <w:r w:rsidRPr="0014236F">
        <w:rPr>
          <w:rFonts w:ascii="Arial" w:hAnsi="Arial" w:cs="Arial"/>
          <w:bCs/>
        </w:rPr>
        <w:t xml:space="preserve"> </w:t>
      </w:r>
      <w:r>
        <w:rPr>
          <w:rFonts w:ascii="Arial" w:hAnsi="Arial" w:cs="Arial"/>
          <w:bCs/>
        </w:rPr>
        <w:t xml:space="preserve">relativamente </w:t>
      </w:r>
      <w:r w:rsidRPr="0014236F">
        <w:rPr>
          <w:rFonts w:ascii="Arial" w:hAnsi="Arial" w:cs="Arial"/>
          <w:bCs/>
        </w:rPr>
        <w:t>a consequências psicológicas, sociais e físicas</w:t>
      </w:r>
      <w:r>
        <w:rPr>
          <w:rFonts w:ascii="Arial" w:hAnsi="Arial" w:cs="Arial"/>
          <w:bCs/>
        </w:rPr>
        <w:t xml:space="preserve"> da pandemia</w:t>
      </w:r>
      <w:r w:rsidRPr="0014236F">
        <w:rPr>
          <w:rFonts w:ascii="Arial" w:hAnsi="Arial" w:cs="Arial"/>
          <w:bCs/>
        </w:rPr>
        <w:t xml:space="preserve"> nos seus filhos.</w:t>
      </w:r>
    </w:p>
    <w:p w14:paraId="41A948D6" w14:textId="77777777" w:rsidR="005145BB" w:rsidRPr="00A70D9A" w:rsidRDefault="005145BB" w:rsidP="005145BB">
      <w:pPr>
        <w:spacing w:after="0"/>
        <w:jc w:val="both"/>
        <w:rPr>
          <w:rFonts w:ascii="Arial" w:hAnsi="Arial" w:cs="Arial"/>
          <w:bCs/>
        </w:rPr>
      </w:pPr>
      <w:r w:rsidRPr="0014236F">
        <w:rPr>
          <w:rFonts w:ascii="Arial" w:hAnsi="Arial" w:cs="Arial"/>
          <w:b/>
        </w:rPr>
        <w:t>Discussão:</w:t>
      </w:r>
      <w:r w:rsidRPr="0014236F">
        <w:rPr>
          <w:rFonts w:ascii="Arial" w:hAnsi="Arial" w:cs="Arial"/>
          <w:bCs/>
        </w:rPr>
        <w:t xml:space="preserve"> </w:t>
      </w:r>
      <w:r>
        <w:rPr>
          <w:rFonts w:ascii="Arial" w:hAnsi="Arial" w:cs="Arial"/>
          <w:bCs/>
        </w:rPr>
        <w:t xml:space="preserve">A </w:t>
      </w:r>
      <w:r w:rsidRPr="0014236F">
        <w:rPr>
          <w:rFonts w:ascii="Arial" w:hAnsi="Arial" w:cs="Arial"/>
          <w:bCs/>
        </w:rPr>
        <w:t>reduzida utilização dos serviços de urgência</w:t>
      </w:r>
      <w:r>
        <w:rPr>
          <w:rFonts w:ascii="Arial" w:hAnsi="Arial" w:cs="Arial"/>
          <w:bCs/>
        </w:rPr>
        <w:t xml:space="preserve"> pediátricos, bem como a </w:t>
      </w:r>
      <w:r w:rsidRPr="0014236F">
        <w:rPr>
          <w:rFonts w:ascii="Arial" w:hAnsi="Arial" w:cs="Arial"/>
          <w:bCs/>
        </w:rPr>
        <w:t xml:space="preserve">não realização de consultas e vacinações </w:t>
      </w:r>
      <w:r>
        <w:rPr>
          <w:rFonts w:ascii="Arial" w:hAnsi="Arial" w:cs="Arial"/>
          <w:bCs/>
        </w:rPr>
        <w:t xml:space="preserve">previamente </w:t>
      </w:r>
      <w:r w:rsidRPr="0014236F">
        <w:rPr>
          <w:rFonts w:ascii="Arial" w:hAnsi="Arial" w:cs="Arial"/>
          <w:bCs/>
        </w:rPr>
        <w:t xml:space="preserve">agendadas é potencialmente lesiva para </w:t>
      </w:r>
      <w:r>
        <w:rPr>
          <w:rFonts w:ascii="Arial" w:hAnsi="Arial" w:cs="Arial"/>
          <w:bCs/>
        </w:rPr>
        <w:t xml:space="preserve">os </w:t>
      </w:r>
      <w:r w:rsidRPr="0014236F">
        <w:rPr>
          <w:rFonts w:ascii="Arial" w:hAnsi="Arial" w:cs="Arial"/>
          <w:bCs/>
        </w:rPr>
        <w:t>doentes não-Covid. A pandemia</w:t>
      </w:r>
      <w:r>
        <w:rPr>
          <w:rFonts w:ascii="Arial" w:hAnsi="Arial" w:cs="Arial"/>
          <w:bCs/>
        </w:rPr>
        <w:t xml:space="preserve"> e o isolamento social imposto</w:t>
      </w:r>
      <w:r w:rsidRPr="0014236F">
        <w:rPr>
          <w:rFonts w:ascii="Arial" w:hAnsi="Arial" w:cs="Arial"/>
          <w:bCs/>
        </w:rPr>
        <w:t xml:space="preserve"> </w:t>
      </w:r>
      <w:r>
        <w:rPr>
          <w:rFonts w:ascii="Arial" w:hAnsi="Arial" w:cs="Arial"/>
          <w:bCs/>
        </w:rPr>
        <w:t xml:space="preserve">poderão causar um impacto </w:t>
      </w:r>
      <w:r w:rsidRPr="00A70D9A">
        <w:rPr>
          <w:rFonts w:ascii="Arial" w:hAnsi="Arial" w:cs="Arial"/>
          <w:bCs/>
        </w:rPr>
        <w:t>negativo na saúde mental das crianças.</w:t>
      </w:r>
    </w:p>
    <w:p w14:paraId="165C0160" w14:textId="77777777" w:rsidR="005145BB" w:rsidRPr="00A70D9A" w:rsidRDefault="005145BB" w:rsidP="005145BB">
      <w:pPr>
        <w:spacing w:after="0"/>
        <w:jc w:val="both"/>
        <w:rPr>
          <w:rFonts w:ascii="Arial" w:hAnsi="Arial" w:cs="Arial"/>
          <w:b/>
        </w:rPr>
      </w:pPr>
      <w:r w:rsidRPr="00A70D9A">
        <w:rPr>
          <w:rFonts w:ascii="Arial" w:hAnsi="Arial" w:cs="Arial"/>
          <w:b/>
        </w:rPr>
        <w:t>Conclusão:</w:t>
      </w:r>
      <w:r w:rsidRPr="00A70D9A">
        <w:rPr>
          <w:rFonts w:ascii="Arial" w:hAnsi="Arial" w:cs="Arial"/>
          <w:bCs/>
        </w:rPr>
        <w:t xml:space="preserve"> Estudos adicionais são necessários para melhor compreender as consequências da diminuição do acesso à saúde, bem como os efeitos psicológicos, sociais e físicos nas crianças. A definição de estratégias para incentivar a vacinação e o não adiamento de avaliações médicas urgentes deveria ser uma prioridade da saúde pública.</w:t>
      </w:r>
      <w:r w:rsidRPr="00A70D9A">
        <w:rPr>
          <w:rFonts w:ascii="Arial" w:hAnsi="Arial" w:cs="Arial"/>
          <w:b/>
        </w:rPr>
        <w:br w:type="page"/>
      </w:r>
    </w:p>
    <w:p w14:paraId="62AD8C3A" w14:textId="77777777" w:rsidR="005145BB" w:rsidRPr="00A70D9A" w:rsidRDefault="005145BB" w:rsidP="005145BB">
      <w:pPr>
        <w:spacing w:after="0" w:line="360" w:lineRule="auto"/>
        <w:jc w:val="both"/>
        <w:rPr>
          <w:rFonts w:ascii="Arial" w:hAnsi="Arial" w:cs="Arial"/>
          <w:b/>
          <w:lang w:val="en-US"/>
        </w:rPr>
      </w:pPr>
      <w:r w:rsidRPr="00A70D9A">
        <w:rPr>
          <w:rFonts w:ascii="Arial" w:hAnsi="Arial" w:cs="Arial"/>
          <w:b/>
          <w:lang w:val="en-US"/>
        </w:rPr>
        <w:lastRenderedPageBreak/>
        <w:t>INTRODUCTION</w:t>
      </w:r>
    </w:p>
    <w:p w14:paraId="36E96A6F" w14:textId="77777777" w:rsidR="005145BB" w:rsidRPr="0014236F" w:rsidRDefault="005145BB" w:rsidP="005145BB">
      <w:pPr>
        <w:spacing w:after="0" w:line="360" w:lineRule="auto"/>
        <w:ind w:firstLine="426"/>
        <w:jc w:val="both"/>
        <w:rPr>
          <w:rFonts w:ascii="Arial" w:hAnsi="Arial" w:cs="Arial"/>
          <w:lang w:val="en-US"/>
        </w:rPr>
      </w:pPr>
      <w:r w:rsidRPr="0014236F">
        <w:rPr>
          <w:rFonts w:ascii="Arial" w:hAnsi="Arial" w:cs="Arial"/>
          <w:lang w:val="en-US"/>
        </w:rPr>
        <w:t>The novel coronavirus SARS-CoV-2, etiologic agent of Covid-19, emerged in December 2019 in the city of Wuhan, China, and has since spread worldwide. The World Health Organization declared Covid-19 to be a pandemic health emergency on March 11</w:t>
      </w:r>
      <w:r w:rsidRPr="0014236F">
        <w:rPr>
          <w:rFonts w:ascii="Arial" w:hAnsi="Arial" w:cs="Arial"/>
          <w:vertAlign w:val="superscript"/>
          <w:lang w:val="en-US"/>
        </w:rPr>
        <w:t>th</w:t>
      </w:r>
      <w:r w:rsidRPr="0014236F">
        <w:rPr>
          <w:rFonts w:ascii="Arial" w:hAnsi="Arial" w:cs="Arial"/>
          <w:lang w:val="en-US"/>
        </w:rPr>
        <w:t xml:space="preserve"> 2020</w:t>
      </w:r>
      <w:r w:rsidRPr="0014236F">
        <w:rPr>
          <w:rFonts w:ascii="Arial" w:hAnsi="Arial" w:cs="Arial"/>
          <w:lang w:val="en-US"/>
        </w:rPr>
        <w:fldChar w:fldCharType="begin" w:fldLock="1"/>
      </w:r>
      <w:r>
        <w:rPr>
          <w:rFonts w:ascii="Arial" w:hAnsi="Arial" w:cs="Arial"/>
          <w:lang w:val="en-US"/>
        </w:rPr>
        <w:instrText>ADDIN CSL_CITATION {"citationItems":[{"id":"ITEM-1","itemData":{"id":"ITEM-1","issued":{"date-parts":[["0"]]},"title":"WHO Director-General's opening remarks at the media briefing on COVID-19 - 11 March 2020","type":"webpage"},"uris":["http://www.mendeley.com/documents/?uuid=86363ee1-2770-3134-a080-782110d21a95","http://www.mendeley.com/documents/?uuid=d7076b6d-6e0d-40b7-a4f5-c6488cdbee1f"]}],"mendeley":{"formattedCitation":"&lt;sup&gt;1&lt;/sup&gt;","plainTextFormattedCitation":"1","previouslyFormattedCitation":"&lt;sup&gt;1&lt;/sup&gt;"},"properties":{"noteIndex":0},"schema":"https://github.com/citation-style-language/schema/raw/master/csl-citation.json"}</w:instrText>
      </w:r>
      <w:r w:rsidRPr="0014236F">
        <w:rPr>
          <w:rFonts w:ascii="Arial" w:hAnsi="Arial" w:cs="Arial"/>
          <w:lang w:val="en-US"/>
        </w:rPr>
        <w:fldChar w:fldCharType="separate"/>
      </w:r>
      <w:r w:rsidRPr="0014236F">
        <w:rPr>
          <w:rFonts w:ascii="Arial" w:hAnsi="Arial" w:cs="Arial"/>
          <w:noProof/>
          <w:vertAlign w:val="superscript"/>
          <w:lang w:val="en-US"/>
        </w:rPr>
        <w:t>1</w:t>
      </w:r>
      <w:r w:rsidRPr="0014236F">
        <w:rPr>
          <w:rFonts w:ascii="Arial" w:hAnsi="Arial" w:cs="Arial"/>
          <w:lang w:val="en-US"/>
        </w:rPr>
        <w:fldChar w:fldCharType="end"/>
      </w:r>
      <w:r w:rsidRPr="0014236F">
        <w:rPr>
          <w:rFonts w:ascii="Arial" w:hAnsi="Arial" w:cs="Arial"/>
          <w:lang w:val="en-US"/>
        </w:rPr>
        <w:t>. The first case of the disease in Portugal was diagnosed on March 2</w:t>
      </w:r>
      <w:r w:rsidRPr="0014236F">
        <w:rPr>
          <w:rFonts w:ascii="Arial" w:hAnsi="Arial" w:cs="Arial"/>
          <w:vertAlign w:val="superscript"/>
          <w:lang w:val="en-US"/>
        </w:rPr>
        <w:t>nd</w:t>
      </w:r>
      <w:r w:rsidRPr="0014236F">
        <w:rPr>
          <w:rFonts w:ascii="Arial" w:hAnsi="Arial" w:cs="Arial"/>
          <w:lang w:val="en-US"/>
        </w:rPr>
        <w:t xml:space="preserve"> and until the end of May there were 1,799 children and adolescents (0-19 years old) diagnosed with Covid-19</w:t>
      </w:r>
      <w:r w:rsidRPr="0014236F">
        <w:rPr>
          <w:rFonts w:ascii="Arial" w:hAnsi="Arial" w:cs="Arial"/>
          <w:lang w:val="en-US"/>
        </w:rPr>
        <w:fldChar w:fldCharType="begin" w:fldLock="1"/>
      </w:r>
      <w:r>
        <w:rPr>
          <w:rFonts w:ascii="Arial" w:hAnsi="Arial" w:cs="Arial"/>
          <w:lang w:val="en-US"/>
        </w:rPr>
        <w:instrText>ADDIN CSL_CITATION {"citationItems":[{"id":"ITEM-1","itemData":{"id":"ITEM-1","issued":{"date-parts":[["0"]]},"title":"RELATÓRIO DE SITUAÇÃO CARACTERIZAÇÃO DEMOGRÁFICA DOS CASOS CONFIRMADOS","type":"report"},"uris":["http://www.mendeley.com/documents/?uuid=d6b98e31-dae1-366f-b5ef-76ff939234b0","http://www.mendeley.com/documents/?uuid=6b5a0f02-0b0a-43b0-a0c8-e5e36ee3bd54"]}],"mendeley":{"formattedCitation":"&lt;sup&gt;2&lt;/sup&gt;","plainTextFormattedCitation":"2","previouslyFormattedCitation":"&lt;sup&gt;2&lt;/sup&gt;"},"properties":{"noteIndex":0},"schema":"https://github.com/citation-style-language/schema/raw/master/csl-citation.json"}</w:instrText>
      </w:r>
      <w:r w:rsidRPr="0014236F">
        <w:rPr>
          <w:rFonts w:ascii="Arial" w:hAnsi="Arial" w:cs="Arial"/>
          <w:lang w:val="en-US"/>
        </w:rPr>
        <w:fldChar w:fldCharType="separate"/>
      </w:r>
      <w:r w:rsidRPr="0014236F">
        <w:rPr>
          <w:rFonts w:ascii="Arial" w:hAnsi="Arial" w:cs="Arial"/>
          <w:noProof/>
          <w:vertAlign w:val="superscript"/>
          <w:lang w:val="en-US"/>
        </w:rPr>
        <w:t>2</w:t>
      </w:r>
      <w:r w:rsidRPr="0014236F">
        <w:rPr>
          <w:rFonts w:ascii="Arial" w:hAnsi="Arial" w:cs="Arial"/>
          <w:lang w:val="en-US"/>
        </w:rPr>
        <w:fldChar w:fldCharType="end"/>
      </w:r>
      <w:r w:rsidRPr="0014236F">
        <w:rPr>
          <w:rFonts w:ascii="Arial" w:hAnsi="Arial" w:cs="Arial"/>
          <w:lang w:val="en-US"/>
        </w:rPr>
        <w:t>. Most published scientific articles focus on Covid-19 in adults</w:t>
      </w:r>
      <w:r>
        <w:rPr>
          <w:rFonts w:ascii="Arial" w:hAnsi="Arial" w:cs="Arial"/>
          <w:lang w:val="en-US"/>
        </w:rPr>
        <w:t>, and, t</w:t>
      </w:r>
      <w:r w:rsidRPr="0014236F">
        <w:rPr>
          <w:rFonts w:ascii="Arial" w:hAnsi="Arial" w:cs="Arial"/>
          <w:lang w:val="en-US"/>
        </w:rPr>
        <w:t>o current knowledge, the virus seems to cause milder symptoms and have lower fatality rates in the pediatric population</w:t>
      </w:r>
      <w:r w:rsidRPr="0014236F">
        <w:rPr>
          <w:rFonts w:ascii="Arial" w:hAnsi="Arial" w:cs="Arial"/>
          <w:lang w:val="en-US"/>
        </w:rPr>
        <w:fldChar w:fldCharType="begin" w:fldLock="1"/>
      </w:r>
      <w:r>
        <w:rPr>
          <w:rFonts w:ascii="Arial" w:hAnsi="Arial" w:cs="Arial"/>
          <w:lang w:val="en-US"/>
        </w:rPr>
        <w:instrText>ADDIN CSL_CITATION {"citationItems":[{"id":"ITEM-1","itemData":{"DOI":"10.1097/INF.0000000000002660","ISSN":"15320987","abstract":"Coronaviruses (CoVs) are a large family of enveloped, single-stranded, zoonotic RNA viruses. Four CoVs commonly circulate among humans: HCoV2-229E,-HKU1,-NL63 and-OC43. However, CoVs can rapidly mutate and recombine leading to novel CoVs that can spread from animals to humans. The novel CoVs severe acute respiratory syndrome coronavirus (SARS-CoV) emerged in 2002 and Middle East respiratory syndrome coronavirus (MERS-CoV) in 2012. The 2019 novel coronavirus (SARS-CoV-2) is currently causing a severe outbreak of disease (termed COVID-19) in China and multiple other countries, threatening to cause a global pandemic. In humans, CoVs mostly cause respiratory and gastrointestinal symptoms. Clinical manifestations range from a common cold to more severe disease such as bronchitis, pneumonia, severe acute respiratory distress syndrome, multi-organ failure and even death. SARS-CoV, MERS-CoV and SARS-CoV-2 seem to less commonly affect children and to cause fewer symptoms and less severe disease in this age group compared with adults, and are associated with much lower case-fatality rates. Preliminary evidence suggests children are just as likely as adults to become infected with SARS-CoV-2 but are less likely to be symptomatic or develop severe symptoms. However, the importance of children in transmitting the virus remains uncertain. Children more often have gastrointestinal symptoms compared with adults. Most children with SARS-CoV present with fever, but this is not the case for the other novel CoVs. Many children affected by MERS-CoV are asymptomatic. The majority of children infected by novel CoVs have a documented household contact, often showing symptoms before them. In contrast, adults more often have a nosocomial exposure. In this review, we summarize epidemiologic, clinical and diagnostic findings, as well as treatment and prevention options for common circulating and novel CoVs infections in humans with a focus on infections in children.","author":[{"dropping-particle":"","family":"Zimmermann","given":"Petra","non-dropping-particle":"","parse-names":false,"suffix":""},{"dropping-particle":"","family":"Curtis","given":"Nigel","non-dropping-particle":"","parse-names":false,"suffix":""}],"container-title":"Pediatric Infectious Disease Journal","id":"ITEM-1","issue":"5","issued":{"date-parts":[["2020"]]},"page":"355-368","publisher":"Lippincott Williams and Wilkins","title":"Coronavirus infections in children including COVID-19: An overview of the epidemiology, clinical features, diagnosis, treatment and prevention options in children","type":"article","volume":"39"},"uris":["http://www.mendeley.com/documents/?uuid=97a38785-6898-3fee-a9a1-f816a4077dd1","http://www.mendeley.com/documents/?uuid=dd5eb59a-fa79-4454-9379-f192fab36ee1"]},{"id":"ITEM-2","itemData":{"DOI":"10.1111/apa.15271","ISSN":"0803-5253","author":[{"dropping-particle":"","family":"Brodin","given":"Petter","non-dropping-particle":"","parse-names":false,"suffix":""}],"container-title":"Acta Paediatrica","id":"ITEM-2","issue":"6","issued":{"date-parts":[["2020","6"]]},"page":"1082-1083","publisher":"Blackwell Publishing Ltd","title":"Why is COVID</w:instrText>
      </w:r>
      <w:r>
        <w:rPr>
          <w:rFonts w:ascii="Cambria Math" w:hAnsi="Cambria Math" w:cs="Cambria Math"/>
          <w:lang w:val="en-US"/>
        </w:rPr>
        <w:instrText>‐</w:instrText>
      </w:r>
      <w:r>
        <w:rPr>
          <w:rFonts w:ascii="Arial" w:hAnsi="Arial" w:cs="Arial"/>
          <w:lang w:val="en-US"/>
        </w:rPr>
        <w:instrText>19 so mild in children?","type":"article-journal","volume":"109"},"uris":["http://www.mendeley.com/documents/?uuid=afd0136f-652e-3e94-b372-5f9686652f94","http://www.mendeley.com/documents/?uuid=348b3a6c-8cb6-4e5e-a44a-aa21439d313e"]},{"id":"ITEM-3","itemData":{"DOI":"10.1542/peds.2020-0702","ISSN":"10984275","PMID":"32179660","abstract":"OBJECTIVE: To identify the epidemiological characteristics and transmission patterns of pediatric patients with the 2019 novel coronavirus disease (COVID-19) in China. METHODS: Nationwide case series of 2135 pediatric patients with COVID-19 reported to the Chinese Center for Disease Control and Prevention from January 16, 2020, to February 8, 2020, were included. The epidemic curves were constructed by key dates of disease onset and case diagnosis. Onset-to-diagnosis curves were constructed by fitting a log-normal distribution to data on both onset and diagnosis dates. RESULTS: There were 728 (34.1%) laboratory-confirmed cases and 1407 (65.9%) suspected cases. The median age of all patients was 7 years (interquartile range: 2-13 years), and 1208 case patients (56.6%) were boys. More than 90% of all patients had asymptomatic, mild, or moderate cases. The median time from illness onset to diagnoses was 2 days (range: 0-42 days). There was a rapid increase of disease at the early stage of the epidemic, and then there was a gradual and steady decrease. The disease rapidly spread from Hubei province to surrounding provinces over time. More children were infected in Hubei province than any other province. CONCLUSIONS: Children of all ages appeared susceptible to COVID-19, and there was no significant sex difference. Although clinical manifestations of children's COVID-19 cases were generally less severe than those of adult patients, young children, particularly infants, were vulnerable to infection. The distribution of children's COVID-19 cases varied with time and space, and most of the cases were concentrated in Hubei province and surrounding areas. Furthermore, this study provides strong evidence of human-to-human transmission.","author":[{"dropping-particle":"","family":"Dong","given":"Yuanyuan","non-dropping-particle":"","parse-names":false,"suffix":""},{"dropping-particle":"","family":"Mo","given":"Xi","non-dropping-particle":"","parse-names":false,"suffix":""},{"dropping-particle":"","family":"Hu","given":"Yabin","non-dropping-particle":"","parse-names":false,"suffix":""},{"dropping-particle":"","family":"Qi","given":"Xin","non-dropping-particle":"","parse-names":false,"suffix":""},{"dropping-particle":"","family":"Jiang","given":"Fan","non-dropping-particle":"","parse-names":false,"suffix":""},{"dropping-particle":"","family":"Jiang","given":"Zhongyi","non-dropping-particle":"","parse-names":false,"suffix":""},{"dropping-particle":"","family":"Tong","given":"Shilu","non-dropping-particle":"","parse-names":false,"suffix":""}],"container-title":"Pediatrics","id":"ITEM-3","issue":"6","issued":{"date-parts":[["2020","6"]]},"page":"20200702","publisher":"NLM (Medline)","title":"Epidemiology of COVID-19 Among Children in China","type":"article-journal","volume":"145"},"uris":["http://www.mendeley.com/documents/?uuid=d519966e-d5a2-3df5-8fc0-bc6034042083","http://www.mendeley.com/documents/?uuid=4ae75b0b-4313-417d-8991-5796caeee409"]},{"id":"ITEM-4","itemData":{"DOI":"10.1001/jamapediatrics.2020.1467","ISSN":"21686211","PMID":"32320004","abstract":"Importance: The current rapid worldwide spread of severe acute respiratory syndrome coronavirus 2 (SARS-CoV-2) infection justifies the global effort to identify effective preventive strategies and optimal medical management. While data are available for adult patients with coronavirus disease 2019 (COVID-19), limited reports have analyzed pediatric patients infected with SARS-CoV-2. Objective: To evaluate currently reported pediatric cases of SARS-CoV-2 infection. Evidence Review: An extensive search strategy was designed to retrieve all articles published from December 1, 2019, to March 3, 2020, by combining the terms coronavirus and coronavirus infection in several electronic databases (PubMed, Cochrane Library, and CINAHL), and following the Preferred Reporting Items for Systematic Reviews and Meta-analyses guidelines. Retrospective cross-sectional and case-control studies, case series and case reports, bulletins, and national reports about the pediatric SARS-CoV-2 infection were included. The risk of bias for eligible observational studies was assessed according to the Strengthening the Reporting of Observational Studies in Epidemiology reporting guideline. Findings: A total of 815 articles were identified. Eighteen studies with 1065 participants (444 patients were younger than 10 years, and 553 were aged 10 to 19 years) with confirmed SARS-CoV-2 infection were included in the final analysis. All articles reflected research performed in China, except for 1 clinical case in Singapore. Children at any age were mostly reported to have mild respiratory symptoms, namely fever, dry cough, and fatigue, or were asymptomatic. Bronchial thickening and ground-glass opacities were the main radiologic features, and these findings were also reported in asymptomatic patients. Among the included articles, there was only 1 case of severe COVID-19 infection, which occurred in a 13-month-old infant. No deaths were reported in children aged 0 to 9 years. Available data about therapies were limited. Conclusions and Relevance: To our knowledge, this is the first systematic review that assesses and summarizes clinical features and management of children with SARS-CoV-2 infection. The rapid spread of COVID-19 across the globe and the lack of European and US data on pediatric patients require further epidemiologic and clinical studies to identify possible preventive and therapeutic strategies.","author":[{"dropping-particle":"","family":"Castagnoli","given":"Riccardo","non-dropping-particle":"","parse-names":false,"suffix":""},{"dropping-particle":"","family":"Votto","given":"Martina","non-dropping-particle":"","parse-names":false,"suffix":""},{"dropping-particle":"","family":"Licari","given":"Amelia","non-dropping-particle":"","parse-names":false,"suffix":""},{"dropping-particle":"","family":"Brambilla","given":"Ilaria","non-dropping-particle":"","parse-names":false,"suffix":""},{"dropping-particle":"","family":"Bruno","given":"Raffaele","non-dropping-particle":"","parse-names":false,"suffix":""},{"dropping-particle":"","family":"Perlini","given":"Stefano","non-dropping-particle":"","parse-names":false,"suffix":""},{"dropping-particle":"","family":"Rovida","given":"Francesca","non-dropping-particle":"","parse-names":false,"suffix":""},{"dropping-particle":"","family":"Baldanti","given":"Fausto","non-dropping-particle":"","parse-names":false,"suffix":""},{"dropping-particle":"","family":"Marseglia","given":"Gian Luigi","non-dropping-particle":"","parse-names":false,"suffix":""}],"container-title":"JAMA Pediatrics","id":"ITEM-4","issued":{"date-parts":[["2020"]]},"publisher":"American Medical Association","title":"Severe Acute Respiratory Syndrome Coronavirus 2 (SARS-CoV-2) Infection in Children and Adolescents: A Systematic Review","type":"article"},"uris":["http://www.mendeley.com/documents/?uuid=319ae768-761e-38a7-a65b-ea55df6a1838","http://www.mendeley.com/documents/?uuid=5ea3dff0-64a1-419e-841c-b857375e49f2"]},{"id":"ITEM-5","itemData":{"DOI":"10.1056/NEJMc2005073","ISSN":"0028-4793","abstract":"SARS-CoV-2 Infection in Children In this report, investigators in Wuhan, China, describe the spectrum of Covid-19 illness in children under the age of 16 years. Of 1391 children assessed and tested...","author":[{"dropping-particle":"","family":"Lu","given":"Xiaoxia","non-dropping-particle":"","parse-names":false,"suffix":""},{"dropping-particle":"","family":"Zhang","given":"Liqiong","non-dropping-particle":"","parse-names":false,"suffix":""},{"dropping-particle":"","family":"Du","given":"Hui","non-dropping-particle":"","parse-names":false,"suffix":""},{"dropping-particle":"","family":"Zhang","given":"Jingjing","non-dropping-particle":"","parse-names":false,"suffix":""},{"dropping-particle":"","family":"Li","given":"Yuan Y.","non-dropping-particle":"","parse-names":false,"suffix":""},{"dropping-particle":"","family":"Qu","given":"Jingyu","non-dropping-particle":"","parse-names":false,"suffix":""},{"dropping-particle":"","family":"Zhang","given":"Wenxin","non-dropping-particle":"","parse-names":false,"suffix":""},{"dropping-particle":"","family":"Wang","given":"Youjie","non-dropping-particle":"","parse-names":false,"suffix":""},{"dropping-particle":"","family":"Bao","given":"Shuangshuang","non-dropping-particle":"","parse-names":false,"suffix":""},{"dropping-particle":"","family":"Li","given":"Ying","non-dropping-particle":"","parse-names":false,"suffix":""},{"dropping-particle":"","family":"Wu","given":"Chuansha","non-dropping-particle":"","parse-names":false,"suffix":""},{"dropping-particle":"","family":"Liu","given":"Hongxiu","non-dropping-particle":"","parse-names":false,"suffix":""},{"dropping-particle":"","family":"Liu","given":"Di","non-dropping-particle":"","parse-names":false,"suffix":""},{"dropping-particle":"","family":"Shao","given":"Jianbo","non-dropping-particle":"","parse-names":false,"suffix":""},{"dropping-particle":"","family":"Peng","given":"Xuehua","non-dropping-particle":"","parse-names":false,"suffix":""},{"dropping-particle":"","family":"Yang","given":"Yonghong","non-dropping-particle":"","parse-names":false,"suffix":""},{"dropping-particle":"","family":"Liu","given":"Zhisheng","non-dropping-particle":"","parse-names":false,"suffix":""},{"dropping-particle":"","family":"Xiang","given":"Yun","non-dropping-particle":"","parse-names":false,"suffix":""},{"dropping-particle":"","family":"Zhang","given":"Furong","non-dropping-particle":"","parse-names":false,"suffix":""},{"dropping-particle":"","family":"Silva","given":"Rona M.","non-dropping-particle":"","parse-names":false,"suffix":""},{"dropping-particle":"","family":"Pinkerton","given":"Kent E.","non-dropping-particle":"","parse-names":false,"suffix":""},{"dropping-particle":"","family":"Shen","given":"Kunling","non-dropping-particle":"","parse-names":false,"suffix":""},{"dropping-particle":"","family":"Xiao","given":"Han","non-dropping-particle":"","parse-names":false,"suffix":""},{"dropping-particle":"","family":"Xu","given":"Shunqing","non-dropping-particle":"","parse-names":false,"suffix":""},{"dropping-particle":"","family":"Wong","given":"Gary W.K.","non-dropping-particle":"","parse-names":false,"suffix":""}],"container-title":"New England Journal of Medicine","id":"ITEM-5","issue":"17","issued":{"date-parts":[["2020","4"]]},"page":"1663-1665","publisher":"NLM (Medline)","title":"SARS-CoV-2 Infection in Children","type":"article-journal","volume":"382"},"uris":["http://www.mendeley.com/documents/?uuid=d1626ca4-88d1-3ec1-9020-df9cf7a3f74f","http://www.mendeley.com/documents/?uuid=3f174674-3e2a-4313-8943-22411fc83ca2"]},{"id":"ITEM-6","itemData":{"DOI":"10.1001/jamapediatrics.2020.2430","ISSN":"2168-6203","abstract":"Importance Descriptions of the coronavirus disease 2019 (COVID-19) experience in pediatrics will help inform clinical practices and infection prevention and control for pediatric facilities. Objective To describe the epidemiology, clinical, and laboratory features of patients with COVID-19 hospitalized at a children’s hospital and to compare these parameters between patients hospitalized with and without severe disease. Design, Setting, and Participants This retrospective review of electronic medical records from a tertiary care academically affiliated children’s hospital in New York City, New York, included hospitalized children and adolescents (≤21 years) who were tested based on suspicion for COVID-19 between March 1 to April 15, 2020, and had positive results for severe acute respiratory syndrome coronavirus 2 (SARS-CoV-2). Exposures Detection of SARS-CoV-2 from a nasopharyngeal specimen using a reverse transcription–polymerase chain reaction assay. Main Outcomes and Measures Severe disease as defined by the requirement for mechanical ventilation. Results Among 50 patients, 27 (54%) were boys and 25 (50%) were Hispanic. The median days from onset of symptoms to admission was 2 days (interquartile range, 1-5 days). Most patients (40 [80%]) had fever or respiratory symptoms (32 [64%]), but 3 patients (6%) with only gastrointestinal tract presentations were identified. Obesity (11 [22%]) was the most prevalent comorbidity. Respiratory support was required for 16 patients (32%), including 9 patients (18%) who required mechanical ventilation. One patient (2%) died. None of 14 infants and 1 of 8 immunocompromised patients had severe disease. Obesity was significantly associated with mechanical ventilation in children 2 years or older (6 of 9 [67%] vs 5 of 25 [20%];P = .03). Lymphopenia was commonly observed at admission (36 [72%]) but did not differ significantly between those with and without severe disease. Those with severe disease had significantly higher C-reactive protein (median, 8.978 mg/dL [to convert to milligrams per liter, multiply by 10] vs 0.64 mg/dL) and procalcitonin levels (median, 0.31 ng/mL vs 0.17 ng/mL) at admission (P &lt; .001), as well as elevated peak interleukin 6, ferritin, and D-dimer levels during hospitalization. Hydroxychloroquine was administered to 15 patients (30%) but could not be completed for 3. Prolonged test positivity (maximum of 27 days) was observed in 4 patients (8%). Conclusions and Relevance In this case series st…","author":[{"dropping-particle":"","family":"Zachariah","given":"Philip","non-dropping-particle":"","parse-names":false,"suffix":""},{"dropping-particle":"","family":"Johnson","given":"Candace L.","non-dropping-particle":"","parse-names":false,"suffix":""},{"dropping-particle":"","family":"Halabi","given":"Katia C.","non-dropping-particle":"","parse-names":false,"suffix":""},{"dropping-particle":"","family":"Ahn","given":"Danielle","non-dropping-particle":"","parse-names":false,"suffix":""},{"dropping-particle":"","family":"Sen","given":"Anita I.","non-dropping-particle":"","parse-names":false,"suffix":""},{"dropping-particle":"","family":"Fischer","given":"Avital","non-dropping-particle":"","parse-names":false,"suffix":""},{"dropping-particle":"","family":"Banker","given":"Sumeet L.","non-dropping-particle":"","parse-names":false,"suffix":""},{"dropping-particle":"","family":"Giordano","given":"Mirna","non-dropping-particle":"","parse-names":false,"suffix":""},{"dropping-particle":"","family":"Manice","given":"Christina S.","non-dropping-particle":"","parse-names":false,"suffix":""},{"dropping-particle":"","family":"Diamond","given":"Rebekah","non-dropping-particle":"","parse-names":false,"suffix":""},{"dropping-particle":"","family":"Sewell","given":"Taylor B.","non-dropping-particle":"","parse-names":false,"suffix":""},{"dropping-particle":"","family":"Schweickert","given":"Adam J.","non-dropping-particle":"","parse-names":false,"suffix":""},{"dropping-particle":"","family":"Babineau","given":"John R.","non-dropping-particle":"","parse-names":false,"suffix":""},{"dropping-particle":"","family":"Carter","given":"R. Colin","non-dropping-particle":"","parse-names":false,"suffix":""},{"dropping-particle":"","family":"Fenster","given":"Daniel B.","non-dropping-particle":"","parse-names":false,"suffix":""},{"dropping-particle":"","family":"Orange","given":"Jordan S.","non-dropping-particle":"","parse-names":false,"suffix":""},{"dropping-particle":"","family":"McCann","given":"Teresa A.","non-dropping-particle":"","parse-names":false,"suffix":""},{"dropping-particle":"","family":"Kernie","given":"Steven G.","non-dropping-particle":"","parse-names":false,"suffix":""},{"dropping-particle":"","family":"Saiman","given":"Lisa","non-dropping-particle":"","parse-names":false,"suffix":""}],"container-title":"JAMA Pediatrics","id":"ITEM-6","issued":{"date-parts":[["2020","6"]]},"page":"e202430","title":"Epidemiology, Clinical Features, and Disease Severity in Patients With Coronavirus Disease 2019 (COVID-19) in a Children’s Hospital in New York City, New York","type":"article-journal"},"uris":["http://www.mendeley.com/documents/?uuid=38443c40-6323-364f-96a3-0120946d4ea2","http://www.mendeley.com/documents/?uuid=6e6d8ec7-70d9-474c-b0e0-25f963b60b8b"]}],"mendeley":{"formattedCitation":"&lt;sup&gt;3–8&lt;/sup&gt;","plainTextFormattedCitation":"3–8","previouslyFormattedCitation":"&lt;sup&gt;3–8&lt;/sup&gt;"},"properties":{"noteIndex":0},"schema":"https://github.com/citation-style-language/schema/raw/master/csl-citation.json"}</w:instrText>
      </w:r>
      <w:r w:rsidRPr="0014236F">
        <w:rPr>
          <w:rFonts w:ascii="Arial" w:hAnsi="Arial" w:cs="Arial"/>
          <w:lang w:val="en-US"/>
        </w:rPr>
        <w:fldChar w:fldCharType="separate"/>
      </w:r>
      <w:r w:rsidRPr="0014236F">
        <w:rPr>
          <w:rFonts w:ascii="Arial" w:hAnsi="Arial" w:cs="Arial"/>
          <w:noProof/>
          <w:vertAlign w:val="superscript"/>
          <w:lang w:val="en-US"/>
        </w:rPr>
        <w:t>3–8</w:t>
      </w:r>
      <w:r w:rsidRPr="0014236F">
        <w:rPr>
          <w:rFonts w:ascii="Arial" w:hAnsi="Arial" w:cs="Arial"/>
          <w:lang w:val="en-US"/>
        </w:rPr>
        <w:fldChar w:fldCharType="end"/>
      </w:r>
      <w:r w:rsidRPr="0014236F">
        <w:rPr>
          <w:rFonts w:ascii="Arial" w:hAnsi="Arial" w:cs="Arial"/>
          <w:lang w:val="en-US"/>
        </w:rPr>
        <w:t>.</w:t>
      </w:r>
    </w:p>
    <w:p w14:paraId="33A4E43D" w14:textId="77777777" w:rsidR="005145BB" w:rsidRPr="0014236F" w:rsidRDefault="005145BB" w:rsidP="005145BB">
      <w:pPr>
        <w:spacing w:after="0" w:line="360" w:lineRule="auto"/>
        <w:ind w:firstLine="426"/>
        <w:jc w:val="both"/>
        <w:rPr>
          <w:rFonts w:ascii="Arial" w:hAnsi="Arial" w:cs="Arial"/>
          <w:lang w:val="en-US"/>
        </w:rPr>
      </w:pPr>
      <w:r w:rsidRPr="0014236F">
        <w:rPr>
          <w:rFonts w:ascii="Arial" w:hAnsi="Arial" w:cs="Arial"/>
          <w:lang w:val="en-US"/>
        </w:rPr>
        <w:t>The current pandemic poses new challenges for the healthcare force as well as for patients, potentially leading to changes in medical care utilization patterns</w:t>
      </w:r>
      <w:r w:rsidRPr="0014236F">
        <w:rPr>
          <w:rFonts w:ascii="Arial" w:hAnsi="Arial" w:cs="Arial"/>
          <w:lang w:val="en-US"/>
        </w:rPr>
        <w:fldChar w:fldCharType="begin" w:fldLock="1"/>
      </w:r>
      <w:r>
        <w:rPr>
          <w:rFonts w:ascii="Arial" w:hAnsi="Arial" w:cs="Arial"/>
          <w:lang w:val="en-US"/>
        </w:rPr>
        <w:instrText>ADDIN CSL_CITATION {"citationItems":[{"id":"ITEM-1","itemData":{"DOI":"10.1159/000507764","ISSN":"2504-3137","abstract":"Introduction: Since December 2019, more than 925,000 cases of COVID-19 have been reported worldwide, 8,251 cases in Portugal by the end of March. Previous studies related to the SARS pandemic showed a decrease up to 80% in the emergency care episodes. Hence, the objective of this study is to analyze the use of emergency services during the first pandemic month, compared to historical records. Methods: Data from emergency episodes in mainland Portugal, from January 2014 to March 2020, were downloaded from the National Health Service (NHS) Transparency Portal and the NHS monitoring website. The evolution of emergency services from March to September 2020 was forecasted based on historical data from January 2014 to February 2020. Information for March 2020 was forecasted globally, by the Regional Health Administration (RHA) and Manchester Triage System (MTS). Results: Compared with forecasted values, there was a 48% reduction in the number of emergency episodes in March 2020. In the analysis by the RHA, Alentejo had the smallest decrease in the number of episodes; interestingly, Alentejo is also the area with fewer COVID-19 cases in mainland Portugal. In the analysis by the MTS, the episodes classified as yellow showed the highest reduction (50%). For episodes classified as urgent, there is a difference of about 144,000 episodes during March 2020. Discussion: The results of this preliminary study are aligned with the evidence produced for previous pandemics. Data about the use of emergency services, demographic and clinical characteristics of the episodes would be relevant to analyze this reduction. Conclusion: There was a significant drop in the number of emergency service use in March 2020, and although the causes of this reduction are not determined, the association between the beginning of the pandemic and the reduction of demand is evident. Understanding this phenomenon is crucial to plan interventions to avoid unnecessary morbidities or deaths, caused by a delayed visit to the emergency department.","author":[{"dropping-particle":"","family":"Santana","given":"Rui","non-dropping-particle":"","parse-names":false,"suffix":""},{"dropping-particle":"","family":"Sousa","given":"Joana Santos","non-dropping-particle":"","parse-names":false,"suffix":""},{"dropping-particle":"","family":"Soares","given":"Patrícia","non-dropping-particle":"","parse-names":false,"suffix":""},{"dropping-particle":"","family":"Lopes","given":"Sílvia","non-dropping-particle":"","parse-names":false,"suffix":""},{"dropping-particle":"","family":"Boto","given":"Paulo","non-dropping-particle":"","parse-names":false,"suffix":""},{"dropping-particle":"","family":"Rocha","given":"João Victor","non-dropping-particle":"","parse-names":false,"suffix":""}],"container-title":"Portuguese Journal of Public Health","id":"ITEM-1","issued":{"date-parts":[["2020","4"]]},"page":"1-7","publisher":"S. Karger AG","title":"The Demand for Hospital Emergency Services: Trends during the First Month of COVID-19 Response","type":"article-journal"},"uris":["http://www.mendeley.com/documents/?uuid=018c1fcc-36c4-3a39-870e-1a60216afc2f","http://www.mendeley.com/documents/?uuid=383714ed-8679-407b-8695-c8a964428e99"]}],"mendeley":{"formattedCitation":"&lt;sup&gt;9&lt;/sup&gt;","plainTextFormattedCitation":"9","previouslyFormattedCitation":"&lt;sup&gt;9&lt;/sup&gt;"},"properties":{"noteIndex":0},"schema":"https://github.com/citation-style-language/schema/raw/master/csl-citation.json"}</w:instrText>
      </w:r>
      <w:r w:rsidRPr="0014236F">
        <w:rPr>
          <w:rFonts w:ascii="Arial" w:hAnsi="Arial" w:cs="Arial"/>
          <w:lang w:val="en-US"/>
        </w:rPr>
        <w:fldChar w:fldCharType="separate"/>
      </w:r>
      <w:r w:rsidRPr="0014236F">
        <w:rPr>
          <w:rFonts w:ascii="Arial" w:hAnsi="Arial" w:cs="Arial"/>
          <w:noProof/>
          <w:vertAlign w:val="superscript"/>
          <w:lang w:val="en-US"/>
        </w:rPr>
        <w:t>9</w:t>
      </w:r>
      <w:r w:rsidRPr="0014236F">
        <w:rPr>
          <w:rFonts w:ascii="Arial" w:hAnsi="Arial" w:cs="Arial"/>
          <w:lang w:val="en-US"/>
        </w:rPr>
        <w:fldChar w:fldCharType="end"/>
      </w:r>
      <w:r w:rsidRPr="0014236F">
        <w:rPr>
          <w:rFonts w:ascii="Arial" w:hAnsi="Arial" w:cs="Arial"/>
          <w:lang w:val="en-US"/>
        </w:rPr>
        <w:t>. Concerns have been raised regarding the consequences for non-Covid patients due to decreased access to medical care both in adults</w:t>
      </w:r>
      <w:r w:rsidRPr="0014236F">
        <w:rPr>
          <w:rFonts w:ascii="Arial" w:hAnsi="Arial" w:cs="Arial"/>
          <w:lang w:val="en-US"/>
        </w:rPr>
        <w:fldChar w:fldCharType="begin" w:fldLock="1"/>
      </w:r>
      <w:r>
        <w:rPr>
          <w:rFonts w:ascii="Arial" w:hAnsi="Arial" w:cs="Arial"/>
          <w:lang w:val="en-US"/>
        </w:rPr>
        <w:instrText>ADDIN CSL_CITATION {"citationItems":[{"id":"ITEM-1","itemData":{"DOI":"10.1056/nejmms2009984","ISSN":"0028-4793","PMID":"32302076","abstract":"The Untold Toll As the pandemic focuses medical attention on treating affected patients and protecting others from infection, how do we best care for people with non-Covid disease? Some physicians ...","author":[{"dropping-particle":"","family":"Rosenbaum","given":"Lisa","non-dropping-particle":"","parse-names":false,"suffix":""}],"container-title":"New England Journal of Medicine","id":"ITEM-1","issued":{"date-parts":[["2020","4"]]},"publisher":"Massachusetts Medical Society","title":"The Untold Toll — The Pandemic’s Effects on Patients without Covid-19","type":"article-journal"},"uris":["http://www.mendeley.com/documents/?uuid=cee526a4-018e-3629-a1fa-303be25c1345","http://www.mendeley.com/documents/?uuid=b2dc1177-e2a8-4cec-ab7d-71d55b32fbf5"]},{"id":"ITEM-2","itemData":{"DOI":"10.1016/j.jacc.2020.04.011","author":[{"dropping-particle":"","family":"Santiago Garcia, MD Mazen S. Albaghdadi, MD Perwaiz M. Meraj, MD Christian Schmidt","given":"MS","non-dropping-particle":"","parse-names":false,"suffix":""}],"container-title":"Journal of the American College of Cardiology","id":"ITEM-2","issued":{"date-parts":[["2020"]]},"title":"Reduction in ST-Segment Elevation Cardiac Catheterization Laboratory Activations in the United States During COVID-19 Pandemic","type":"article-journal"},"uris":["http://www.mendeley.com/documents/?uuid=65d23202-31a0-3177-8634-8a325600d33f","http://www.mendeley.com/documents/?uuid=be82fa7b-19ff-46bd-ad9c-605e95be8d20"]}],"mendeley":{"formattedCitation":"&lt;sup&gt;10,11&lt;/sup&gt;","plainTextFormattedCitation":"10,11","previouslyFormattedCitation":"&lt;sup&gt;10,11&lt;/sup&gt;"},"properties":{"noteIndex":0},"schema":"https://github.com/citation-style-language/schema/raw/master/csl-citation.json"}</w:instrText>
      </w:r>
      <w:r w:rsidRPr="0014236F">
        <w:rPr>
          <w:rFonts w:ascii="Arial" w:hAnsi="Arial" w:cs="Arial"/>
          <w:lang w:val="en-US"/>
        </w:rPr>
        <w:fldChar w:fldCharType="separate"/>
      </w:r>
      <w:r w:rsidRPr="0014236F">
        <w:rPr>
          <w:rFonts w:ascii="Arial" w:hAnsi="Arial" w:cs="Arial"/>
          <w:noProof/>
          <w:vertAlign w:val="superscript"/>
          <w:lang w:val="en-US"/>
        </w:rPr>
        <w:t>10,11</w:t>
      </w:r>
      <w:r w:rsidRPr="0014236F">
        <w:rPr>
          <w:rFonts w:ascii="Arial" w:hAnsi="Arial" w:cs="Arial"/>
          <w:lang w:val="en-US"/>
        </w:rPr>
        <w:fldChar w:fldCharType="end"/>
      </w:r>
      <w:r w:rsidRPr="0014236F">
        <w:rPr>
          <w:rFonts w:ascii="Arial" w:hAnsi="Arial" w:cs="Arial"/>
          <w:lang w:val="en-US"/>
        </w:rPr>
        <w:t xml:space="preserve"> as in children</w:t>
      </w:r>
      <w:r w:rsidRPr="0014236F">
        <w:rPr>
          <w:rFonts w:ascii="Arial" w:hAnsi="Arial" w:cs="Arial"/>
          <w:lang w:val="en-US"/>
        </w:rPr>
        <w:fldChar w:fldCharType="begin" w:fldLock="1"/>
      </w:r>
      <w:r>
        <w:rPr>
          <w:rFonts w:ascii="Arial" w:hAnsi="Arial" w:cs="Arial"/>
          <w:lang w:val="en-US"/>
        </w:rPr>
        <w:instrText>ADDIN CSL_CITATION {"citationItems":[{"id":"ITEM-1","itemData":{"DOI":"10.1016/S2352-4642(20)30108-5","ISSN":"23524642","PMID":"32278365","author":[{"dropping-particle":"","family":"Lazzerini","given":"Marzia","non-dropping-particle":"","parse-names":false,"suffix":""},{"dropping-particle":"","family":"Barbi","given":"Egidio","non-dropping-particle":"","parse-names":false,"suffix":""},{"dropping-particle":"","family":"Apicella","given":"Andrea","non-dropping-particle":"","parse-names":false,"suffix":""},{"dropping-particle":"","family":"Marchetti","given":"Federico","non-dropping-particle":"","parse-names":false,"suffix":""},{"dropping-particle":"","family":"Cardinale","given":"Fabio","non-dropping-particle":"","parse-names":false,"suffix":""},{"dropping-particle":"","family":"Trobia","given":"Gianluca","non-dropping-particle":"","parse-names":false,"suffix":""}],"container-title":"The Lancet Child and Adolescent Health","id":"ITEM-1","issue":"5","issued":{"date-parts":[["2020","5"]]},"page":"e10-e11","publisher":"Elsevier B.V.","title":"Delayed access or provision of care in Italy resulting from fear of COVID-19","type":"article","volume":"4"},"uris":["http://www.mendeley.com/documents/?uuid=218398d6-a241-39ee-9c53-a53343060d8b","http://www.mendeley.com/documents/?uuid=20e0d5e6-b8a8-4158-86c1-2f787f443d6f"]},{"id":"ITEM-2","itemData":{"DOI":"10.1002/pbc.28427","ISSN":"1545-5009","author":[{"dropping-particle":"","family":"Ding","given":"Yang</w:instrText>
      </w:r>
      <w:r>
        <w:rPr>
          <w:rFonts w:ascii="Cambria Math" w:hAnsi="Cambria Math" w:cs="Cambria Math"/>
          <w:lang w:val="en-US"/>
        </w:rPr>
        <w:instrText>‐</w:instrText>
      </w:r>
      <w:r>
        <w:rPr>
          <w:rFonts w:ascii="Arial" w:hAnsi="Arial" w:cs="Arial"/>
          <w:lang w:val="en-US"/>
        </w:rPr>
        <w:instrText>Yang","non-dropping-particle":"","parse-names":false,"suffix":""},{"dropping-particle":"","family":"Ramakrishna","given":"Sneha","non-dropping-particle":"","parse-names":false,"suffix":""},{"dropping-particle":"","family":"Long","given":"Adrienne H.","non-dropping-particle":"","parse-names":false,"suffix":""},{"dropping-particle":"","family":"Phillips","given":"Charles A.","non-dropping-particle":"","parse-names":false,"suffix":""},{"dropping-particle":"","family":"Montiel</w:instrText>
      </w:r>
      <w:r>
        <w:rPr>
          <w:rFonts w:ascii="Cambria Math" w:hAnsi="Cambria Math" w:cs="Cambria Math"/>
          <w:lang w:val="en-US"/>
        </w:rPr>
        <w:instrText>‐</w:instrText>
      </w:r>
      <w:r>
        <w:rPr>
          <w:rFonts w:ascii="Arial" w:hAnsi="Arial" w:cs="Arial"/>
          <w:lang w:val="en-US"/>
        </w:rPr>
        <w:instrText>Esparza","given":"Raul","non-dropping-particle":"","parse-names":false,"suffix":""},{"dropping-particle":"","family":"Diorio","given":"Caroline J.","non-dropping-particle":"","parse-names":false,"suffix":""},{"dropping-particle":"","family":"Bailey","given":"L. Charles","non-dropping-particle":"","parse-names":false,"suffix":""},{"dropping-particle":"","family":"Maude","given":"Shannon L.","non-dropping-particle":"","parse-names":false,"suffix":""},{"dropping-particle":"","family":"Aplenc","given":"Richard","non-dropping-particle":"","parse-names":false,"suffix":""},{"dropping-particle":"","family":"Batra","given":"Vandana","non-dropping-particle":"","parse-names":false,"suffix":""},{"dropping-particle":"","family":"Reilly","given":"Anne F.","non-dropping-particle":"","parse-names":false,"suffix":""},{"dropping-particle":"","family":"Rheingold","given":"Susan R.","non-dropping-particle":"","parse-names":false,"suffix":""},{"dropping-particle":"","family":"Lacayo","given":"Norman J.","non-dropping-particle":"","parse-names":false,"suffix":""},{"dropping-particle":"","family":"Sakamoto","given":"Kathleen M.","non-dropping-particle":"","parse-names":false,"suffix":""},{"dropping-particle":"","family":"Hunger","given":"Stephen P.","non-dropping-particle":"","parse-names":false,"suffix":""}],"container-title":"Pediatric Blood &amp; Cancer","id":"ITEM-2","issued":{"date-parts":[["2020","6"]]},"title":"Delayed cancer diagnoses and high mortality in children during the COVID</w:instrText>
      </w:r>
      <w:r>
        <w:rPr>
          <w:rFonts w:ascii="Cambria Math" w:hAnsi="Cambria Math" w:cs="Cambria Math"/>
          <w:lang w:val="en-US"/>
        </w:rPr>
        <w:instrText>‐</w:instrText>
      </w:r>
      <w:r>
        <w:rPr>
          <w:rFonts w:ascii="Arial" w:hAnsi="Arial" w:cs="Arial"/>
          <w:lang w:val="en-US"/>
        </w:rPr>
        <w:instrText>19 pandemic","type":"article-journal"},"uris":["http://www.mendeley.com/documents/?uuid=d6533ce4-36b8-30f6-a8f0-5660342cc66a","http://www.mendeley.com/documents/?uuid=cca944a2-56f3-485b-971f-8d53abdc8daf"]},{"id":"ITEM-3","itemData":{"DOI":"10.1111/apa.15376","author":[{"dropping-particle":"","family":"Snapiri","given":"","non-dropping-particle":"","parse-names":false,"suffix":""}],"container-title":"Acta Paediatrica","id":"ITEM-3","issued":{"date-parts":[["2020"]]},"title":"Delayed diagnosis of paediatric appendicitis during the COVID</w:instrText>
      </w:r>
      <w:r>
        <w:rPr>
          <w:rFonts w:ascii="Cambria Math" w:hAnsi="Cambria Math" w:cs="Cambria Math"/>
          <w:lang w:val="en-US"/>
        </w:rPr>
        <w:instrText>‐</w:instrText>
      </w:r>
      <w:r>
        <w:rPr>
          <w:rFonts w:ascii="Arial" w:hAnsi="Arial" w:cs="Arial"/>
          <w:lang w:val="en-US"/>
        </w:rPr>
        <w:instrText>19 pandemic","type":"article-journal"},"uris":["http://www.mendeley.com/documents/?uuid=346d3a16-d6aa-3a52-bba0-938473a454e6","http://www.mendeley.com/documents/?uuid=0720abd2-201b-4630-82d5-bfbcc1655707"]}],"mendeley":{"formattedCitation":"&lt;sup&gt;12–14&lt;/sup&gt;","plainTextFormattedCitation":"12–14","previouslyFormattedCitation":"&lt;sup&gt;12–14&lt;/sup&gt;"},"properties":{"noteIndex":0},"schema":"https://github.com/citation-style-language/schema/raw/master/csl-citation.json"}</w:instrText>
      </w:r>
      <w:r w:rsidRPr="0014236F">
        <w:rPr>
          <w:rFonts w:ascii="Arial" w:hAnsi="Arial" w:cs="Arial"/>
          <w:lang w:val="en-US"/>
        </w:rPr>
        <w:fldChar w:fldCharType="separate"/>
      </w:r>
      <w:r w:rsidRPr="0014236F">
        <w:rPr>
          <w:rFonts w:ascii="Arial" w:hAnsi="Arial" w:cs="Arial"/>
          <w:noProof/>
          <w:vertAlign w:val="superscript"/>
          <w:lang w:val="en-US"/>
        </w:rPr>
        <w:t>12–14</w:t>
      </w:r>
      <w:r w:rsidRPr="0014236F">
        <w:rPr>
          <w:rFonts w:ascii="Arial" w:hAnsi="Arial" w:cs="Arial"/>
          <w:lang w:val="en-US"/>
        </w:rPr>
        <w:fldChar w:fldCharType="end"/>
      </w:r>
      <w:r w:rsidRPr="0014236F">
        <w:rPr>
          <w:rFonts w:ascii="Arial" w:hAnsi="Arial" w:cs="Arial"/>
          <w:lang w:val="en-US"/>
        </w:rPr>
        <w:t>, as visits to emergency departments (ED) have dropped significantly</w:t>
      </w:r>
      <w:r w:rsidRPr="0014236F">
        <w:rPr>
          <w:rFonts w:ascii="Arial" w:hAnsi="Arial" w:cs="Arial"/>
          <w:lang w:val="en-US"/>
        </w:rPr>
        <w:fldChar w:fldCharType="begin" w:fldLock="1"/>
      </w:r>
      <w:r>
        <w:rPr>
          <w:rFonts w:ascii="Arial" w:hAnsi="Arial" w:cs="Arial"/>
          <w:lang w:val="en-US"/>
        </w:rPr>
        <w:instrText>ADDIN CSL_CITATION {"citationItems":[{"id":"ITEM-1","itemData":{"DOI":"10.20344/amp.13928","ISSN":"16460758","PMID":"32343650","abstract":"INTRODUCTION: Portugal is experiencing the effects of the COVID-19 pandemic since March 2020. All-causes mortality in Portugal increased during March and April 2020 compared to previous years, but this increase is not explained by COVID-19 reported deaths. The aim of this study was to analyze and consider other criteria for estimating excessive all-cause mortality during the early COVID-19 pandemic period. MATERIAL AND METHODS: Public data was used to estimate excess mortality by age and region between March 1 and April 22, proposing baselines adjusted for the lockdown period. RESULTS: Despite the inherent uncertainty, it is safe to assume an observed excess mortality of 2400 to 4000 deaths. Excess mortality was associated with older age groups (over age 65). DISCUSSION: The data suggests a ternary explanation for early excess mortality: COVID-19, non-identified COVID-19 and decrease in access to healthcare. The estimates have implications in terms of communication of non-pharmaceutical actions, for research, and to healthcare professionals. CONCLUSION: The excess mortality occurred between March 1 and April 22 was 3 to 5 fold higher than what can be explained by the official COVID-19 deaths.","author":[{"dropping-particle":"","family":"Nogueira","given":"Paulo Jorge","non-dropping-particle":"","parse-names":false,"suffix":""},{"dropping-particle":"","family":"Nobre","given":"Miguel De Araújo","non-dropping-particle":"","parse-names":false,"suffix":""},{"dropping-particle":"","family":"Nicola","given":"Paulo Jorge","non-dropping-particle":"","parse-names":false,"suffix":""},{"dropping-particle":"","family":"Furtado","given":"Cristina","non-dropping-particle":"","parse-names":false,"suffix":""},{"dropping-particle":"","family":"Vaz Carneiro","given":"António","non-dropping-particle":"","parse-names":false,"suffix":""}],"container-title":"Acta medica portuguesa","id":"ITEM-1","issue":"6","issued":{"date-parts":[["2020","4"]]},"page":"376","publisher":"NLM (Medline)","title":"Excess Mortality Estimation During the COVID-19 Pandemic: Preliminary Data from Portugal","type":"article-journal","volume":"33"},"uris":["http://www.mendeley.com/documents/?uuid=bbb652bc-f1f4-3ff1-a4dc-ab727432e0a0","http://www.mendeley.com/documents/?uuid=2d433940-7c5b-4fe6-b2d6-79b4a808eaec"]},{"id":"ITEM-2","itemData":{"DOI":"10.1093/eurheartj/ehaa314","ISBN":"4351250422767","author":[{"dropping-particle":"","family":"Metzler","given":"Bernhard","non-dropping-particle":"","parse-names":false,"suffix":""},{"dropping-particle":"","family":"Siostrzonek","given":"Peter","non-dropping-particle":"","parse-names":false,"suffix":""},{"dropping-particle":"","family":"Binder","given":"Ronald K","non-dropping-particle":"","parse-names":false,"suffix":""},{"dropping-particle":"","family":"Bauer","given":"Axel","non-dropping-particle":"","parse-names":false,"suffix":""},{"dropping-particle":"","family":"Reinstadler","given":"Sebastian Johannes","non-dropping-particle":"","parse-names":false,"suffix":""}],"container-title":"European Heart Journal","id":"ITEM-2","issued":{"date-parts":[["2020"]]},"page":"1852-1853","title":"Decline of acute coronary syndrome admissions in Austria since the outbreak of COVID-19: the pandemic response causes cardiac collateral damage","type":"article-journal","volume":"41"},"uris":["http://www.mendeley.com/documents/?uuid=3e440245-4a51-3fc4-8667-346a28a81f1a","http://www.mendeley.com/documents/?uuid=3dbde4a0-6f02-409c-bf0c-c55b797e5cce"]},{"id":"ITEM-3","itemData":{"DOI":"https://catalyst.nejm.org/doi/abs/10.1056/CAT.20.0193","abstract":"Emergency department volume is down nearly 50% as the United States struggles with the Covid-19 epidemic. There is increasing evidence that patients with medical emergencies are avoiding the emergency department because of fear of contracting Covid-19, leading to increased morbidity and mortality. Here, the authors describe efforts taken in a community hospital to understand and combat this public health concern by using human-centered design. They share interview themes, the brainstorming process, and implementation of prototypes, as well as challenges faced in the early stages of implementation. They show that addressing patient fears by dividing the emergency department into respiratory and non-respiratory pods and through targeted messaging can result in increased visits to the emergency room. Time will tell if this results in improved health outcomes for community members.","author":[{"dropping-particle":"","family":"Wong","given":"Laura E","non-dropping-particle":"","parse-names":false,"suffix":""},{"dropping-particle":"","family":"Hawkins","given":"Jessica E","non-dropping-particle":"","parse-names":false,"suffix":""},{"dropping-particle":"","family":"Langness","given":"S","non-dropping-particle":"","parse-names":false,"suffix":""},{"dropping-particle":"","family":"Murrell","given":"Karen L","non-dropping-particle":"","parse-names":false,"suffix":""},{"dropping-particle":"","family":"Iris","given":"P","non-dropping-particle":"","parse-names":false,"suffix":""},{"dropping-particle":"","family":"Sammann","given":"A","non-dropping-particle":"","parse-names":false,"suffix":""}],"container-title":"NEJM Catalyst","id":"ITEM-3","issued":{"date-parts":[["2020"]]},"page":"1-12","title":"Where Are All the Patients? Addressing Covid-19 Fear to Encourage Sick Patients to Seek Emergency Care","type":"article-journal"},"uris":["http://www.mendeley.com/documents/?uuid=1ce7006d-275d-43c3-99ef-4482239e696f","http://www.mendeley.com/documents/?uuid=fe9af52e-15ad-4642-8d22-ff23242ca4b7"]},{"id":"ITEM-4","itemData":{"DOI":"10.1136/bmj.m1401","author":[{"dropping-particle":"","family":"Thornton","given":"Jacqui","non-dropping-particle":"","parse-names":false,"suffix":""}],"container-title":"BMJ","id":"ITEM-4","issued":{"date-parts":[["2020"]]},"page":"1401","title":"Covid-19: A&amp;E visits in England fall by 25% in week after lockdown","type":"article-journal","volume":"369"},"uris":["http://www.mendeley.com/documents/?uuid=8f01977c-909c-3063-acd3-4fea50e5165f","http://www.mendeley.com/documents/?uuid=843b0357-d302-488a-af6a-3158c946f386"]},{"id":"ITEM-5","itemData":{"DOI":"10.15585/mmwr.mm6923e1","ISSN":"0149-2195","abstract":"On March 13, 2020, the United States declared a national emergency to combat coronavirus disease 2019 (COVID-19). As the number of persons hospitalized with COVID-19 increased, early reports from Austria (1), Hong Kong (2), Italy (3), and California (4) suggested sharp drops in the numbers of persons seeking emergency medical care for other reasons. To quantify the effect of COVID-19 on U.S. emergency department (ED) visits, CDC compared the volume of ED visits during four weeks early in the pandemic March 29-April 25, 2020 (weeks 14 to 17; the early pandemic period) to that during March 31-April 27, 2019 (the comparison period). During the early pandemic period, the total number of U.S. ED visits was 42% lower than during the same period a year earlier, with the largest declines in visits in persons aged ≤14 years, females, and the Northeast region. Health messages that reinforce the importance of immediately seeking care for symptoms of serious conditions, such as myocardial infarction, are needed. To minimize SARS-CoV-2, the virus that causes COVID-19, transmission risk and address public concerns about visiting the ED during the pandemic, CDC recommends continued use of virtual visits and triage help lines and adherence to CDC infection control guidance.","author":[{"dropping-particle":"","family":"Hartnett","given":"Kathleen P.","non-dropping-particle":"","parse-names":false,"suffix":""},{"dropping-particle":"","family":"Kite-Powell","given":"Aaron","non-dropping-particle":"","parse-names":false,"suffix":""},{"dropping-particle":"","family":"DeVies","given":"Jourdan","non-dropping-particle":"","parse-names":false,"suffix":""},{"dropping-particle":"","family":"Coletta","given":"Michael A.","non-dropping-particle":"","parse-names":false,"suffix":""},{"dropping-particle":"","family":"Boehmer","given":"Tegan K.","non-dropping-particle":"","parse-names":false,"suffix":""},{"dropping-particle":"","family":"Adjemian","given":"Jennifer","non-dropping-particle":"","parse-names":false,"suffix":""},{"dropping-particle":"V.","family":"Gundlapalli","given":"Adi","non-dropping-particle":"","parse-names":false,"suffix":""}],"container-title":"MMWR. Morbidity and Mortality Weekly Report","id":"ITEM-5","issue":"23","issued":{"date-parts":[["2020","6"]]},"page":"699-704","publisher":"NLM (Medline)","title":"Impact of the COVID-19 Pandemic on Emergency Department Visits — United States, January 1, 2019–May 30, 2020","type":"article-journal","volume":"69"},"uris":["http://www.mendeley.com/documents/?uuid=f1feb0be-7b36-3529-9353-d65112a738c1","http://www.mendeley.com/documents/?uuid=73848343-b7c0-4c3e-b82d-f4636a2a1141"]},{"id":"ITEM-6","itemData":{"DOI":"10.1159/000507764","ISSN":"2504-3137","abstract":"Introduction: Since December 2019, more than 925,000 cases of COVID-19 have been reported worldwide, 8,251 cases in Portugal by the end of March. Previous studies related to the SARS pandemic showed a decrease up to 80% in the emergency care episodes. Hence, the objective of this study is to analyze the use of emergency services during the first pandemic month, compared to historical records. Methods: Data from emergency episodes in mainland Portugal, from January 2014 to March 2020, were downloaded from the National Health Service (NHS) Transparency Portal and the NHS monitoring website. The evolution of emergency services from March to September 2020 was forecasted based on historical data from January 2014 to February 2020. Information for March 2020 was forecasted globally, by the Regional Health Administration (RHA) and Manchester Triage System (MTS). Results: Compared with forecasted values, there was a 48% reduction in the number of emergency episodes in March 2020. In the analysis by the RHA, Alentejo had the smallest decrease in the number of episodes; interestingly, Alentejo is also the area with fewer COVID-19 cases in mainland Portugal. In the analysis by the MTS, the episodes classified as yellow showed the highest reduction (50%). For episodes classified as urgent, there is a difference of about 144,000 episodes during March 2020. Discussion: The results of this preliminary study are aligned with the evidence produced for previous pandemics. Data about the use of emergency services, demographic and clinical characteristics of the episodes would be relevant to analyze this reduction. Conclusion: There was a significant drop in the number of emergency service use in March 2020, and although the causes of this reduction are not determined, the association between the beginning of the pandemic and the reduction of demand is evident. Understanding this phenomenon is crucial to plan interventions to avoid unnecessary morbidities or deaths, caused by a delayed visit to the emergency department.","author":[{"dropping-particle":"","family":"Santana","given":"Rui","non-dropping-particle":"","parse-names":false,"suffix":""},{"dropping-particle":"","family":"Sousa","given":"Joana Santos","non-dropping-particle":"","parse-names":false,"suffix":""},{"dropping-particle":"","family":"Soares","given":"Patrícia","non-dropping-particle":"","parse-names":false,"suffix":""},{"dropping-particle":"","family":"Lopes","given":"Sílvia","non-dropping-particle":"","parse-names":false,"suffix":""},{"dropping-particle":"","family":"Boto","given":"Paulo","non-dropping-particle":"","parse-names":false,"suffix":""},{"dropping-particle":"","family":"Rocha","given":"João Victor","non-dropping-particle":"","parse-names":false,"suffix":""}],"container-title":"Portuguese Journal of Public Health","id":"ITEM-6","issued":{"date-parts":[["2020","4"]]},"page":"1-7","publisher":"S. Karger AG","title":"The Demand for Hospital Emergency Services: Trends during the First Month of COVID-19 Response","type":"article-journal"},"uris":["http://www.mendeley.com/documents/?uuid=383714ed-8679-407b-8695-c8a964428e99","http://www.mendeley.com/documents/?uuid=018c1fcc-36c4-3a39-870e-1a60216afc2f"]},{"id":"ITEM-7","itemData":{"DOI":"10.1016/S2352-4642(20)30108-5","ISSN":"23524642","PMID":"32278365","author":[{"dropping-particle":"","family":"Lazzerini","given":"Marzia","non-dropping-particle":"","parse-names":false,"suffix":""},{"dropping-particle":"","family":"Barbi","given":"Egidio","non-dropping-particle":"","parse-names":false,"suffix":""},{"dropping-particle":"","family":"Apicella","given":"Andrea","non-dropping-particle":"","parse-names":false,"suffix":""},{"dropping-particle":"","family":"Marchetti","given":"Federico","non-dropping-particle":"","parse-names":false,"suffix":""},{"dropping-particle":"","family":"Cardinale","given":"Fabio","non-dropping-particle":"","parse-names":false,"suffix":""},{"dropping-particle":"","family":"Trobia","given":"Gianluca","non-dropping-particle":"","parse-names":false,"suffix":""}],"container-title":"The Lancet Child and Adolescent Health","id":"ITEM-7","issue":"5","issued":{"date-parts":[["2020","5"]]},"page":"e10-e11","publisher":"Elsevier B.V.","title":"Delayed access or provision of care in Italy resulting from fear of COVID-19","type":"article","volume":"4"},"uris":["http://www.mendeley.com/documents/?uuid=20e0d5e6-b8a8-4158-86c1-2f787f443d6f","http://www.mendeley.com/documents/?uuid=218398d6-a241-39ee-9c53-a53343060d8b","http://www.mendeley.com/documents/?uuid=3b850a97-a197-49f7-9c51-fd799f2cc970"]}],"mendeley":{"formattedCitation":"&lt;sup&gt;9,12,15–19&lt;/sup&gt;","plainTextFormattedCitation":"9,12,15–19","previouslyFormattedCitation":"&lt;sup&gt;9,12,15–19&lt;/sup&gt;"},"properties":{"noteIndex":0},"schema":"https://github.com/citation-style-language/schema/raw/master/csl-citation.json"}</w:instrText>
      </w:r>
      <w:r w:rsidRPr="0014236F">
        <w:rPr>
          <w:rFonts w:ascii="Arial" w:hAnsi="Arial" w:cs="Arial"/>
          <w:lang w:val="en-US"/>
        </w:rPr>
        <w:fldChar w:fldCharType="separate"/>
      </w:r>
      <w:r w:rsidRPr="0014236F">
        <w:rPr>
          <w:rFonts w:ascii="Arial" w:hAnsi="Arial" w:cs="Arial"/>
          <w:noProof/>
          <w:vertAlign w:val="superscript"/>
          <w:lang w:val="en-US"/>
        </w:rPr>
        <w:t>9,12,15–19</w:t>
      </w:r>
      <w:r w:rsidRPr="0014236F">
        <w:rPr>
          <w:rFonts w:ascii="Arial" w:hAnsi="Arial" w:cs="Arial"/>
          <w:lang w:val="en-US"/>
        </w:rPr>
        <w:fldChar w:fldCharType="end"/>
      </w:r>
      <w:r w:rsidRPr="0014236F">
        <w:rPr>
          <w:rFonts w:ascii="Arial" w:hAnsi="Arial" w:cs="Arial"/>
          <w:lang w:val="en-US"/>
        </w:rPr>
        <w:t>. Medical resources have been redistributed to meet the needs of this health emergency, with most non-urgent appointments being postponed. There is some evidence of potentially harmful consequences of these measures such as reductions in vaccination coverage comparing to the same period in previous years</w:t>
      </w:r>
      <w:r w:rsidRPr="0014236F">
        <w:rPr>
          <w:rFonts w:ascii="Arial" w:hAnsi="Arial" w:cs="Arial"/>
          <w:lang w:val="en-US"/>
        </w:rPr>
        <w:fldChar w:fldCharType="begin" w:fldLock="1"/>
      </w:r>
      <w:r>
        <w:rPr>
          <w:rFonts w:ascii="Arial" w:hAnsi="Arial" w:cs="Arial"/>
          <w:lang w:val="en-US"/>
        </w:rPr>
        <w:instrText>ADDIN CSL_CITATION {"citationItems":[{"id":"ITEM-1","itemData":{"id":"ITEM-1","issued":{"date-parts":[["0"]]},"title":"Subdiretor-Geral da Saúde reforça o apelo à vacinação - COVID-19","type":"webpage"},"uris":["http://www.mendeley.com/documents/?uuid=2098a2f2-0af1-3d7c-84d6-26af3aae73b8","http://www.mendeley.com/documents/?uuid=e026c9e4-0488-4b69-b0e8-51e638367487"]},{"id":"ITEM-2","itemData":{"DOI":"10.15585/mmwr.mm6919e2","ISSN":"0149-2195","abstract":"On March 13, 2020, the president of the United States declared a national emergency in response to the coronavirus disease 2019 (COVID-19) pandemic (1). With reports of laboratory-confirmed cases in all 50 states by that time (2), disruptions were anticipated in the U.S. health care system's ability to continue providing routine preventive and other nonemergency care. In addition, many states and localities issued shelter-in-place or stay-at-home orders to reduce the spread of COVID-19, limiting movement outside the home to essential activities (3). On March 24, CDC posted guidance emphasizing the importance of routine well child care and immunization, particularly for children aged ≤24 months, when many childhood vaccines are recommended.","author":[{"dropping-particle":"","family":"Santoli","given":"Jeanne M.","non-dropping-particle":"","parse-names":false,"suffix":""},{"dropping-particle":"","family":"Lindley","given":"Megan C.","non-dropping-particle":"","parse-names":false,"suffix":""},{"dropping-particle":"","family":"DeSilva","given":"Malini B.","non-dropping-particle":"","parse-names":false,"suffix":""},{"dropping-particle":"","family":"Kharbanda","given":"Elyse O.","non-dropping-particle":"","parse-names":false,"suffix":""},{"dropping-particle":"","family":"Daley","given":"Matthew F.","non-dropping-particle":"","parse-names":false,"suffix":""},{"dropping-particle":"","family":"Galloway","given":"Lisa","non-dropping-particle":"","parse-names":false,"suffix":""},{"dropping-particle":"","family":"Gee","given":"Julianne","non-dropping-particle":"","parse-names":false,"suffix":""},{"dropping-particle":"","family":"Glover","given":"Mick","non-dropping-particle":"","parse-names":false,"suffix":""},{"dropping-particle":"","family":"Herring","given":"Ben","non-dropping-particle":"","parse-names":false,"suffix":""},{"dropping-particle":"","family":"Kang","given":"Yoonjae","non-dropping-particle":"","parse-names":false,"suffix":""},{"dropping-particle":"","family":"Lucas","given":"Paul","non-dropping-particle":"","parse-names":false,"suffix":""},{"dropping-particle":"","family":"Noblit","given":"Cameron","non-dropping-particle":"","parse-names":false,"suffix":""},{"dropping-particle":"","family":"Tropper","given":"Jeanne","non-dropping-particle":"","parse-names":false,"suffix":""},{"dropping-particle":"","family":"Vogt","given":"Tara","non-dropping-particle":"","parse-names":false,"suffix":""},{"dropping-particle":"","family":"Weintraub","given":"Eric","non-dropping-particle":"","parse-names":false,"suffix":""}],"container-title":"MMWR. Morbidity and Mortality Weekly Report","id":"ITEM-2","issue":"19","issued":{"date-parts":[["2020","5"]]},"page":"591-593","publisher":"NLM (Medline)","title":"Effects of the COVID-19 Pandemic on Routine Pediatric Vaccine Ordering and Administration — United States, 2020","type":"article-journal","volume":"69"},"uris":["http://www.mendeley.com/documents/?uuid=c7649215-39bd-3462-ab7e-aa52185b8f7c","http://www.mendeley.com/documents/?uuid=b50e8203-92f8-4e23-8180-ce3ed4e5ce0c"]}],"mendeley":{"formattedCitation":"&lt;sup&gt;20,21&lt;/sup&gt;","plainTextFormattedCitation":"20,21","previouslyFormattedCitation":"&lt;sup&gt;20,21&lt;/sup&gt;"},"properties":{"noteIndex":0},"schema":"https://github.com/citation-style-language/schema/raw/master/csl-citation.json"}</w:instrText>
      </w:r>
      <w:r w:rsidRPr="0014236F">
        <w:rPr>
          <w:rFonts w:ascii="Arial" w:hAnsi="Arial" w:cs="Arial"/>
          <w:lang w:val="en-US"/>
        </w:rPr>
        <w:fldChar w:fldCharType="separate"/>
      </w:r>
      <w:r w:rsidRPr="0014236F">
        <w:rPr>
          <w:rFonts w:ascii="Arial" w:hAnsi="Arial" w:cs="Arial"/>
          <w:noProof/>
          <w:vertAlign w:val="superscript"/>
          <w:lang w:val="en-US"/>
        </w:rPr>
        <w:t>20,21</w:t>
      </w:r>
      <w:r w:rsidRPr="0014236F">
        <w:rPr>
          <w:rFonts w:ascii="Arial" w:hAnsi="Arial" w:cs="Arial"/>
          <w:lang w:val="en-US"/>
        </w:rPr>
        <w:fldChar w:fldCharType="end"/>
      </w:r>
      <w:r w:rsidRPr="0014236F">
        <w:rPr>
          <w:rFonts w:ascii="Arial" w:hAnsi="Arial" w:cs="Arial"/>
          <w:lang w:val="en-US"/>
        </w:rPr>
        <w:t xml:space="preserve">. </w:t>
      </w:r>
    </w:p>
    <w:p w14:paraId="57D4CFAD" w14:textId="77777777" w:rsidR="005145BB" w:rsidRPr="00A70D9A" w:rsidRDefault="005145BB" w:rsidP="005145BB">
      <w:pPr>
        <w:spacing w:after="0" w:line="360" w:lineRule="auto"/>
        <w:ind w:firstLine="426"/>
        <w:jc w:val="both"/>
        <w:rPr>
          <w:rFonts w:ascii="Arial" w:hAnsi="Arial" w:cs="Arial"/>
          <w:lang w:val="en-US"/>
        </w:rPr>
      </w:pPr>
      <w:r w:rsidRPr="0014236F">
        <w:rPr>
          <w:rFonts w:ascii="Arial" w:hAnsi="Arial" w:cs="Arial"/>
          <w:lang w:val="en-US"/>
        </w:rPr>
        <w:t xml:space="preserve">Confinement in the household for a long period of time while being deprived from school, outdoor activities and contact with family-members and friends, has been challenging for children and their parents </w:t>
      </w:r>
      <w:r w:rsidRPr="00A70D9A">
        <w:rPr>
          <w:rFonts w:ascii="Arial" w:hAnsi="Arial" w:cs="Arial"/>
          <w:lang w:val="en-US"/>
        </w:rPr>
        <w:t>during the pandemic. The psychological, social and physical consequences due to social distancing are yet to be determined</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{"citationItems":[{"id":"ITEM-1","itemData":{"DOI":"10.1016/S2352-4642(20)30109-7","ISSN":"23524642","PMID":"32302537","author":[{"dropping-particle":"","family":"Lee","given":"Joyce","non-dropping-particle":"","parse-names":false,"suffix":""}],"container-title":"The Lancet Child and Adolescent Health","id":"ITEM-1","issue":"6","issued":{"date-parts":[["2020","6"]]},"page":"421","publisher":"Elsevier B.V.","title":"Mental health effects of school closures during COVID-19","type":"article-journal","volume":"4"},"uris":["http://www.mendeley.com/documents/?uuid=e50a9db4-b9bb-383e-a977-80521c056b99","http://www.mendeley.com/documents/?uuid=1b7bd04e-a595-4bc0-ad95-9826ce1bc158"]},{"id":"ITEM-2","itemData":{"DOI":"10.1136/bmjpo-2020-000701","abstract":"In the UK, paediatricians are increasingly concerned that parental worries over visiting healthcare centres are leading to a drop in vaccination rates and the late presentation of serious illness in children. This is likely to cause avoidable deaths and illness in the short and long term, a form of collateral damage from the COVID-19 emergency. In Italy, hospital statistics show a substantial decrease in paediatric emergency visits compared with the same time in 2018 and 2019 of between 73% and 78%.1 In April 2020, both the Clinical Commissioning Groups and the Royal College of Paediatrics and Child Health provided guidance for general practitioners and paediatricians in England that the threshold for face-to-face assessment hospital referrals in children should not change because of the COVID-19 pandemic.2 This intervention is welcome; however, we remain concerned about wider, perhaps less immediately visible collateral damage of strategies used against COVID-19 on vulnerable children. The Cambridge dictionary defines collateral damage as the ‘unintentional deaths and injuries of people who are not soldiers, and damage that is caused to their homes, hospitals, schools, etc’. In the fight against coronavirus, children are being put at risk, in order to reduce the spread of a disease that mainly causes direct harm to adults. One of the unique characteristics of the COVID-19 pandemic is the low hospitalisation and mortality rate (&lt;0.2% for teenagers).3 However, children are experiencing additional harm due to social isolation, lack of protective school placements, increased anxiety and a drop in service provision from both the National Health Service (NHS), education and social services. This is particularly true for the most vulnerable children (see Box 1). Box 1 ### Definitions of vulnerable children #### Definitions of vulnerability, taken from the children’s commissioner technical paper 2 which defines seven groups of children as vulnerable.19","author":[{"dropping-particle":"","family":"Crawley","given":"Esther","non-dropping-particle":"","parse-names":false,"suffix":""},{"dropping-particle":"","family":"Loades","given":"Maria","non-dropping-particle":"","parse-names":false,"suffix":""},{"dropping-particle":"","family":"Feder","given":"Gene","non-dropping-particle":"","parse-names":false,"suffix":""},{"dropping-particle":"","family":"Logan","given":"Stuart","non-dropping-particle":"","parse-names":false,"suffix":""},{"dropping-particle":"","family":"Redwood","given":"Sabi","non-dropping-particle":"","parse-names":false,"suffix":""},{"dropping-particle":"","family":"Macleod","given":"John","non-dropping-particle":"","parse-names":false,"suffix":""}],"container-title":"BMJ Paediatrics Open","id":"ITEM-2","issue":"1","issued":{"date-parts":[["2020","5"]]},"page":"e000701","publisher":"BMJ","title":"Wider collateral damage to children in the UK because of the social distancing measures designed to reduce the impact of COVID-19 in adults","type":"article-journal","volume":"4"},"uris":["http://www.mendeley.com/documents/?uuid=73014e85-1105-323c-ae5a-76d62746f0b1","http://www.mendeley.com/documents/?uuid=b0fbc7f8-c758-4e59-8ecb-3fb3d1e47f90"]},{"id":"ITEM-3","itemData":{"DOI":"10.1111/apa.15347","ISSN":"0803-5253","abstract":"Italy has been one of the European countries that has been most affected by the COVID-19 pandemic. By 16 April 2020, 159,107 Italian residents had tested positive for COVID-19 and these included 1,123 children, up to nine years of age (0.7%) and 1,804 adolescents, aged between 10 and 19 years old (1.1%) (1). These data were in line with the case studies reported for the Chinese population, where the respective percentage (proportion) was 0.9% and 1.2% respectively (2). A five-year-old Italian child, who had been affected by many previous and unspecified pathologies, died after testing positive for COVID-19 infection (1). The lower vulnerability of the paediatric population to COVID-19 seems evident.","author":[{"dropping-particle":"","family":"Pecoraro","given":"Luca","non-dropping-particle":"","parse-names":false,"suffix":""},{"dropping-particle":"","family":"Dalle Carbonare","given":"Luca","non-dropping-particle":"","parse-names":false,"suffix":""},{"dropping-particle":"","family":"Franceschi","given":"Lucia","non-dropping-particle":"De","parse-names":false,"suffix":""},{"dropping-particle":"","family":"Piacentini","given":"Giorgio","non-dropping-particle":"","parse-names":false,"suffix":""},{"dropping-particle":"","family":"Pietrobelli","given":"Angelo","non-dropping-particle":"","parse-names":false,"suffix":""}],"container-title":"Acta Paediatrica","id":"ITEM-3","issued":{"date-parts":[["2020","6"]]},"page":"apa.15347","publisher":"Wiley","title":"The psychophysical impact that COVID</w:instrText>
      </w:r>
      <w:r w:rsidRPr="00A70D9A">
        <w:rPr>
          <w:rFonts w:ascii="Cambria Math" w:hAnsi="Cambria Math" w:cs="Cambria Math"/>
          <w:lang w:val="en-US"/>
        </w:rPr>
        <w:instrText>‐</w:instrText>
      </w:r>
      <w:r w:rsidRPr="00A70D9A">
        <w:rPr>
          <w:rFonts w:ascii="Arial" w:hAnsi="Arial" w:cs="Arial"/>
          <w:lang w:val="en-US"/>
        </w:rPr>
        <w:instrText>19 has on children must not be underestimated","type":"article-journal"},"uris":["http://www.mendeley.com/documents/?uuid=7886edd4-ce87-3cb2-8858-6c847fd11bd5","http://www.mendeley.com/documents/?uuid=f7b07cb9-079c-499f-9b54-95a3b00fc1ec"]}],"mendeley":{"formattedCitation":"&lt;sup&gt;22–24&lt;/sup&gt;","plainTextFormattedCitation":"22–24","previouslyFormattedCitation":"&lt;sup&gt;22–24&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22–24</w:t>
      </w:r>
      <w:r w:rsidRPr="00A70D9A">
        <w:rPr>
          <w:rFonts w:ascii="Arial" w:hAnsi="Arial" w:cs="Arial"/>
          <w:lang w:val="en-US"/>
        </w:rPr>
        <w:fldChar w:fldCharType="end"/>
      </w:r>
      <w:r w:rsidRPr="00A70D9A">
        <w:rPr>
          <w:rFonts w:ascii="Arial" w:hAnsi="Arial" w:cs="Arial"/>
          <w:lang w:val="en-US"/>
        </w:rPr>
        <w:t>.</w:t>
      </w:r>
    </w:p>
    <w:p w14:paraId="1A2FFFAF" w14:textId="77777777" w:rsidR="005145BB" w:rsidRPr="00A70D9A" w:rsidRDefault="005145BB" w:rsidP="005145BB">
      <w:pPr>
        <w:spacing w:after="0" w:line="360" w:lineRule="auto"/>
        <w:ind w:firstLine="426"/>
        <w:jc w:val="both"/>
        <w:rPr>
          <w:rFonts w:ascii="Arial" w:hAnsi="Arial" w:cs="Arial"/>
          <w:sz w:val="20"/>
          <w:szCs w:val="20"/>
          <w:lang w:val="en-US"/>
        </w:rPr>
      </w:pPr>
      <w:r w:rsidRPr="00A70D9A">
        <w:rPr>
          <w:rFonts w:ascii="Arial" w:hAnsi="Arial" w:cs="Arial"/>
          <w:lang w:val="en-US"/>
        </w:rPr>
        <w:t>This study aims to describe the impact of the pandemic on the utilization of healthcare services by the pediatric population and assess parents’ perspective on the consequences for their children’s health and wellbeing.</w:t>
      </w:r>
    </w:p>
    <w:p w14:paraId="3E709C44" w14:textId="77777777" w:rsidR="005145BB" w:rsidRPr="00A70D9A" w:rsidRDefault="005145BB" w:rsidP="005145BB">
      <w:pPr>
        <w:spacing w:after="0" w:line="360" w:lineRule="auto"/>
        <w:jc w:val="both"/>
        <w:rPr>
          <w:rFonts w:ascii="Arial" w:hAnsi="Arial" w:cs="Arial"/>
          <w:bCs/>
          <w:lang w:val="en-US"/>
        </w:rPr>
      </w:pPr>
    </w:p>
    <w:p w14:paraId="01279F52" w14:textId="77777777" w:rsidR="005145BB" w:rsidRPr="00A70D9A" w:rsidRDefault="005145BB" w:rsidP="005145BB">
      <w:pPr>
        <w:spacing w:after="0" w:line="360" w:lineRule="auto"/>
        <w:jc w:val="both"/>
        <w:rPr>
          <w:rFonts w:ascii="Arial" w:hAnsi="Arial" w:cs="Arial"/>
          <w:b/>
          <w:lang w:val="en-US"/>
        </w:rPr>
      </w:pPr>
      <w:r w:rsidRPr="00A70D9A">
        <w:rPr>
          <w:rFonts w:ascii="Arial" w:hAnsi="Arial" w:cs="Arial"/>
          <w:b/>
          <w:lang w:val="en-US"/>
        </w:rPr>
        <w:t>METHODS</w:t>
      </w:r>
    </w:p>
    <w:p w14:paraId="6817AC42" w14:textId="77777777"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lang w:val="en-US"/>
        </w:rPr>
        <w:t xml:space="preserve">We conducted an observational retrospective cross-sectional study, with data being collected through an anonymous online survey on social networks. The survey consisted of an original non-validated questionnaire. Only fully completed surveys could be submitted, and participants could cease the fulfilment at any time. </w:t>
      </w:r>
      <w:r w:rsidRPr="00A70D9A">
        <w:rPr>
          <w:rFonts w:ascii="Arial" w:hAnsi="Arial" w:cs="Arial"/>
          <w:u w:color="F79646" w:themeColor="accent6"/>
          <w:lang w:val="en-US"/>
        </w:rPr>
        <w:t xml:space="preserve">The </w:t>
      </w:r>
      <w:r w:rsidRPr="0014236F">
        <w:rPr>
          <w:rFonts w:ascii="Arial" w:hAnsi="Arial" w:cs="Arial"/>
          <w:u w:color="F79646" w:themeColor="accent6"/>
          <w:lang w:val="en-US"/>
        </w:rPr>
        <w:t xml:space="preserve">survey was </w:t>
      </w:r>
      <w:r w:rsidRPr="0014236F">
        <w:rPr>
          <w:rFonts w:ascii="Arial" w:hAnsi="Arial" w:cs="Arial"/>
          <w:lang w:val="en-US"/>
        </w:rPr>
        <w:t>available for submission between May 1</w:t>
      </w:r>
      <w:r w:rsidRPr="0014236F">
        <w:rPr>
          <w:rFonts w:ascii="Arial" w:hAnsi="Arial" w:cs="Arial"/>
          <w:vertAlign w:val="superscript"/>
          <w:lang w:val="en-US"/>
        </w:rPr>
        <w:t>st</w:t>
      </w:r>
      <w:r w:rsidRPr="0014236F">
        <w:rPr>
          <w:rFonts w:ascii="Arial" w:hAnsi="Arial" w:cs="Arial"/>
          <w:lang w:val="en-US"/>
        </w:rPr>
        <w:t xml:space="preserve"> and May 17</w:t>
      </w:r>
      <w:r w:rsidRPr="0014236F">
        <w:rPr>
          <w:rFonts w:ascii="Arial" w:hAnsi="Arial" w:cs="Arial"/>
          <w:vertAlign w:val="superscript"/>
          <w:lang w:val="en-US"/>
        </w:rPr>
        <w:t>th</w:t>
      </w:r>
      <w:r w:rsidRPr="0014236F">
        <w:rPr>
          <w:rFonts w:ascii="Arial" w:hAnsi="Arial" w:cs="Arial"/>
          <w:lang w:val="en-US"/>
        </w:rPr>
        <w:t>, the day before the official reopening of kindergarten in Portugal.</w:t>
      </w:r>
    </w:p>
    <w:p w14:paraId="6F3844E7" w14:textId="77777777" w:rsidR="005145BB" w:rsidRPr="0014236F" w:rsidRDefault="005145BB" w:rsidP="005145BB">
      <w:pPr>
        <w:spacing w:after="0" w:line="360" w:lineRule="auto"/>
        <w:ind w:firstLine="708"/>
        <w:jc w:val="both"/>
        <w:rPr>
          <w:rFonts w:ascii="Arial" w:hAnsi="Arial" w:cs="Arial"/>
          <w:u w:color="F79646" w:themeColor="accent6"/>
          <w:lang w:val="en-US"/>
        </w:rPr>
      </w:pPr>
      <w:r w:rsidRPr="00A70D9A">
        <w:rPr>
          <w:rFonts w:ascii="Arial" w:hAnsi="Arial" w:cs="Arial"/>
          <w:lang w:val="en-US"/>
        </w:rPr>
        <w:t xml:space="preserve">We accepted responses from parents with one or more children and adolescents (0 to 17 years and 364 days old) living in Portugal. </w:t>
      </w:r>
      <w:r w:rsidRPr="00A70D9A">
        <w:rPr>
          <w:rFonts w:ascii="Arial" w:hAnsi="Arial" w:cs="Arial"/>
          <w:u w:color="F79646" w:themeColor="accent6"/>
          <w:lang w:val="en-US"/>
        </w:rPr>
        <w:t xml:space="preserve">Parents were </w:t>
      </w:r>
      <w:r w:rsidRPr="0014236F">
        <w:rPr>
          <w:rFonts w:ascii="Arial" w:hAnsi="Arial" w:cs="Arial"/>
          <w:u w:color="F79646" w:themeColor="accent6"/>
          <w:lang w:val="en-US"/>
        </w:rPr>
        <w:t xml:space="preserve">asked to answer questions </w:t>
      </w:r>
      <w:r w:rsidRPr="0014236F">
        <w:rPr>
          <w:rFonts w:ascii="Arial" w:hAnsi="Arial" w:cs="Arial"/>
          <w:lang w:val="en-US"/>
        </w:rPr>
        <w:t xml:space="preserve">of mixed type (quantitative and qualitative), including multiple choice questions, dropdown questions, Likert scales and short-answer questions, concerning </w:t>
      </w:r>
      <w:r w:rsidRPr="0014236F">
        <w:rPr>
          <w:rFonts w:ascii="Arial" w:hAnsi="Arial" w:cs="Arial"/>
          <w:u w:color="F79646" w:themeColor="accent6"/>
          <w:lang w:val="en-US"/>
        </w:rPr>
        <w:lastRenderedPageBreak/>
        <w:t>the period between the official school closure by the Portuguese government (March 16</w:t>
      </w:r>
      <w:r w:rsidRPr="0014236F">
        <w:rPr>
          <w:rFonts w:ascii="Arial" w:hAnsi="Arial" w:cs="Arial"/>
          <w:u w:color="F79646" w:themeColor="accent6"/>
          <w:vertAlign w:val="superscript"/>
          <w:lang w:val="en-US"/>
        </w:rPr>
        <w:t>th</w:t>
      </w:r>
      <w:r w:rsidRPr="0014236F">
        <w:rPr>
          <w:rFonts w:ascii="Arial" w:hAnsi="Arial" w:cs="Arial"/>
          <w:u w:color="F79646" w:themeColor="accent6"/>
          <w:lang w:val="en-US"/>
        </w:rPr>
        <w:t xml:space="preserve">) and the day of the submission of the survey. </w:t>
      </w:r>
    </w:p>
    <w:p w14:paraId="5CB850EC" w14:textId="77777777" w:rsidR="005145BB" w:rsidRPr="0014236F" w:rsidRDefault="005145BB" w:rsidP="005145BB">
      <w:pPr>
        <w:spacing w:after="0" w:line="360" w:lineRule="auto"/>
        <w:ind w:firstLine="708"/>
        <w:jc w:val="both"/>
        <w:rPr>
          <w:rFonts w:ascii="Arial" w:hAnsi="Arial" w:cs="Arial"/>
          <w:u w:color="F79646" w:themeColor="accent6"/>
          <w:lang w:val="en-US"/>
        </w:rPr>
      </w:pPr>
      <w:r w:rsidRPr="0014236F">
        <w:rPr>
          <w:rFonts w:ascii="Arial" w:hAnsi="Arial" w:cs="Arial"/>
          <w:u w:color="F79646" w:themeColor="accent6"/>
          <w:lang w:val="en-US"/>
        </w:rPr>
        <w:t>Socio-demographic characterization included the child’s living district, nationality, and age</w:t>
      </w:r>
      <w:r>
        <w:rPr>
          <w:rFonts w:ascii="Arial" w:hAnsi="Arial" w:cs="Arial"/>
          <w:u w:color="F79646" w:themeColor="accent6"/>
          <w:lang w:val="en-US"/>
        </w:rPr>
        <w:t>, as well as the mother’s and father’s ages and educational status.</w:t>
      </w:r>
    </w:p>
    <w:p w14:paraId="26054314" w14:textId="77777777" w:rsidR="005145BB" w:rsidRPr="0014236F" w:rsidRDefault="005145BB" w:rsidP="005145BB">
      <w:pPr>
        <w:spacing w:after="0" w:line="360" w:lineRule="auto"/>
        <w:ind w:firstLine="708"/>
        <w:jc w:val="both"/>
        <w:rPr>
          <w:rFonts w:ascii="Arial" w:hAnsi="Arial" w:cs="Arial"/>
          <w:u w:color="F79646" w:themeColor="accent6"/>
          <w:lang w:val="en-US"/>
        </w:rPr>
      </w:pPr>
      <w:r w:rsidRPr="0014236F">
        <w:rPr>
          <w:rFonts w:ascii="Arial" w:hAnsi="Arial" w:cs="Arial"/>
          <w:u w:color="F79646" w:themeColor="accent6"/>
          <w:lang w:val="en-US"/>
        </w:rPr>
        <w:t>We collected information regarding the utilization of healthcare services during the Covid-19 pandemic, namely symptoms presented by the child (fever, cough, dyspnea, nausea or vomiting, diarrhea, otalgia, odynophagia, headache, urinary complaints, injuries following traumas, others), if he/she was taken to an emergency department (ED), whether the parents’ choice of postponing or not visiting the ED would have been diffe</w:t>
      </w:r>
      <w:r>
        <w:rPr>
          <w:rFonts w:ascii="Arial" w:hAnsi="Arial" w:cs="Arial"/>
          <w:u w:color="F79646" w:themeColor="accent6"/>
          <w:lang w:val="en-US"/>
        </w:rPr>
        <w:t xml:space="preserve">rent if there were no pandemic and the </w:t>
      </w:r>
      <w:r w:rsidRPr="0014236F">
        <w:rPr>
          <w:rFonts w:ascii="Arial" w:hAnsi="Arial" w:cs="Arial"/>
          <w:u w:color="F79646" w:themeColor="accent6"/>
          <w:lang w:val="en-US"/>
        </w:rPr>
        <w:t>number of hospital admissions and invasive medical interventions performed on the child (blood drawing for testing, intravenous or intramuscular medication, surgical procedure, others) during the stated period.</w:t>
      </w:r>
    </w:p>
    <w:p w14:paraId="32EB2BD6" w14:textId="77777777" w:rsidR="005145BB" w:rsidRPr="0014236F" w:rsidRDefault="005145BB" w:rsidP="005145BB">
      <w:pPr>
        <w:spacing w:after="0" w:line="360" w:lineRule="auto"/>
        <w:ind w:firstLine="708"/>
        <w:jc w:val="both"/>
        <w:rPr>
          <w:rFonts w:ascii="Arial" w:hAnsi="Arial" w:cs="Arial"/>
          <w:u w:color="F79646" w:themeColor="accent6"/>
          <w:lang w:val="en-US"/>
        </w:rPr>
      </w:pPr>
      <w:r w:rsidRPr="0014236F">
        <w:rPr>
          <w:rFonts w:ascii="Arial" w:hAnsi="Arial" w:cs="Arial"/>
          <w:u w:color="F79646" w:themeColor="accent6"/>
          <w:lang w:val="en-US"/>
        </w:rPr>
        <w:t>Pandemic-related information was gathered by assessing whether the child was part of a risk group for Covid-19</w:t>
      </w:r>
      <w:r>
        <w:rPr>
          <w:rFonts w:ascii="Arial" w:hAnsi="Arial" w:cs="Arial"/>
          <w:u w:color="F79646" w:themeColor="accent6"/>
          <w:lang w:val="en-US"/>
        </w:rPr>
        <w:t xml:space="preserve"> </w:t>
      </w:r>
      <w:r w:rsidRPr="00BE5E0C">
        <w:rPr>
          <w:rFonts w:ascii="Arial" w:hAnsi="Arial" w:cs="Arial"/>
          <w:u w:color="F79646" w:themeColor="accent6"/>
          <w:lang w:val="en-US"/>
        </w:rPr>
        <w:t xml:space="preserve">according to the orientations </w:t>
      </w:r>
      <w:r>
        <w:rPr>
          <w:rFonts w:ascii="Arial" w:hAnsi="Arial" w:cs="Arial"/>
          <w:u w:color="F79646" w:themeColor="accent6"/>
          <w:lang w:val="en-US"/>
        </w:rPr>
        <w:t xml:space="preserve">of </w:t>
      </w:r>
      <w:r w:rsidRPr="00BA5622">
        <w:rPr>
          <w:rFonts w:ascii="Arial" w:hAnsi="Arial" w:cs="Arial"/>
          <w:u w:color="F79646" w:themeColor="accent6"/>
          <w:lang w:val="en-US"/>
        </w:rPr>
        <w:t>the Portuguese Directorate-General of Health</w:t>
      </w:r>
      <w:r>
        <w:rPr>
          <w:rFonts w:ascii="Arial" w:hAnsi="Arial" w:cs="Arial"/>
          <w:u w:color="F79646" w:themeColor="accent6"/>
          <w:lang w:val="en-US"/>
        </w:rPr>
        <w:fldChar w:fldCharType="begin" w:fldLock="1"/>
      </w:r>
      <w:r>
        <w:rPr>
          <w:rFonts w:ascii="Arial" w:hAnsi="Arial" w:cs="Arial"/>
          <w:u w:color="F79646" w:themeColor="accent6"/>
          <w:lang w:val="en-US"/>
        </w:rPr>
        <w:instrText>ADDIN CSL_CITATION {"citationItems":[{"id":"ITEM-1","itemData":{"URL":"covid19.min-saude.pt/quem-esta-em-risco/","author":[{"dropping-particle":"","family":"Direção-Geral da Saúde","given":"","non-dropping-particle":"","parse-names":false,"suffix":""}],"id":"ITEM-1","issued":{"date-parts":[["2020"]]},"title":"Quem está em risco?","type":"webpage"},"uris":["http://www.mendeley.com/documents/?uuid=4490d3e9-64ee-4f71-8671-901cee472b76"]}],"mendeley":{"formattedCitation":"&lt;sup&gt;25&lt;/sup&gt;","plainTextFormattedCitation":"25","previouslyFormattedCitation":"&lt;sup&gt;25&lt;/sup&gt;"},"properties":{"noteIndex":0},"schema":"https://github.com/citation-style-language/schema/raw/master/csl-citation.json"}</w:instrText>
      </w:r>
      <w:r>
        <w:rPr>
          <w:rFonts w:ascii="Arial" w:hAnsi="Arial" w:cs="Arial"/>
          <w:u w:color="F79646" w:themeColor="accent6"/>
          <w:lang w:val="en-US"/>
        </w:rPr>
        <w:fldChar w:fldCharType="separate"/>
      </w:r>
      <w:r w:rsidRPr="00726077">
        <w:rPr>
          <w:rFonts w:ascii="Arial" w:hAnsi="Arial" w:cs="Arial"/>
          <w:noProof/>
          <w:u w:color="F79646" w:themeColor="accent6"/>
          <w:vertAlign w:val="superscript"/>
          <w:lang w:val="en-US"/>
        </w:rPr>
        <w:t>25</w:t>
      </w:r>
      <w:r>
        <w:rPr>
          <w:rFonts w:ascii="Arial" w:hAnsi="Arial" w:cs="Arial"/>
          <w:u w:color="F79646" w:themeColor="accent6"/>
          <w:lang w:val="en-US"/>
        </w:rPr>
        <w:fldChar w:fldCharType="end"/>
      </w:r>
      <w:r w:rsidRPr="00BA5622">
        <w:rPr>
          <w:rFonts w:ascii="Arial" w:hAnsi="Arial" w:cs="Arial"/>
          <w:u w:color="F79646" w:themeColor="accent6"/>
          <w:lang w:val="en-US"/>
        </w:rPr>
        <w:t xml:space="preserve"> </w:t>
      </w:r>
      <w:r w:rsidRPr="00BE5E0C">
        <w:rPr>
          <w:rFonts w:ascii="Arial" w:hAnsi="Arial" w:cs="Arial"/>
          <w:u w:color="F79646" w:themeColor="accent6"/>
          <w:lang w:val="en-US"/>
        </w:rPr>
        <w:t>and complemented by the local hospital’s criteria</w:t>
      </w:r>
      <w:r w:rsidRPr="00BE5E0C">
        <w:rPr>
          <w:rFonts w:ascii="Arial" w:hAnsi="Arial" w:cs="Arial"/>
          <w:color w:val="4F81BD" w:themeColor="accent1"/>
          <w:u w:color="F79646" w:themeColor="accent6"/>
          <w:lang w:val="en-US"/>
        </w:rPr>
        <w:t xml:space="preserve"> </w:t>
      </w:r>
      <w:r w:rsidRPr="00BE5E0C">
        <w:rPr>
          <w:rFonts w:ascii="Arial" w:hAnsi="Arial" w:cs="Arial"/>
          <w:u w:color="F79646" w:themeColor="accent6"/>
          <w:lang w:val="en-US"/>
        </w:rPr>
        <w:t>(newborn</w:t>
      </w:r>
      <w:r w:rsidRPr="0014236F">
        <w:rPr>
          <w:rFonts w:ascii="Arial" w:hAnsi="Arial" w:cs="Arial"/>
          <w:u w:color="F79646" w:themeColor="accent6"/>
          <w:lang w:val="en-US"/>
        </w:rPr>
        <w:t>, prematurity, asthma, bronchopulmonary dysplasia, diabetes, cardiac insufficiency, chronic liver disease, chronic kidney disease, active malignant oncologic disease, inflammatory bowel disease, sickle cell disease, pharmacological immunosuppression, institutionalized child), and parents’ degree of concern of their child contracting the virus in a Likert scale from 1 (not at all concerned) to 5 (extremely concerned).</w:t>
      </w:r>
    </w:p>
    <w:p w14:paraId="02FD74DB" w14:textId="77777777" w:rsidR="005145BB" w:rsidRPr="00A70D9A" w:rsidRDefault="005145BB" w:rsidP="005145BB">
      <w:pPr>
        <w:spacing w:after="0" w:line="360" w:lineRule="auto"/>
        <w:ind w:firstLine="708"/>
        <w:jc w:val="both"/>
        <w:rPr>
          <w:rFonts w:ascii="Arial" w:hAnsi="Arial" w:cs="Arial"/>
          <w:u w:color="F79646" w:themeColor="accent6"/>
          <w:lang w:val="en-US"/>
        </w:rPr>
      </w:pPr>
      <w:r w:rsidRPr="00A70D9A">
        <w:rPr>
          <w:rFonts w:ascii="Arial" w:hAnsi="Arial" w:cs="Arial"/>
          <w:u w:color="F79646" w:themeColor="accent6"/>
          <w:lang w:val="en-US"/>
        </w:rPr>
        <w:t>Consequences of Covid-19 on the child’s health and access to medical care were assessed through questions concerning the fulfilment of scheduled medical appointments, vaccinations of the national vaccination program and neonatal metabolic screening (options being no scheduling, carried out in person, conducted virtually, cancelled/postponed by the family, cancelled/postponed by the health institution or doctor), as well as the parents’ perception of negative consequences of the pandemic on their child’s health on a Likert scale from 1 (strongly disagree) to 5 (strongly agree), complemented by a non-mandatory question characterizing the negative consequences observed. All other questions in the survey were of mandatory response.</w:t>
      </w:r>
    </w:p>
    <w:p w14:paraId="5078AD4E" w14:textId="6770272F" w:rsidR="005145BB" w:rsidRPr="0014236F" w:rsidRDefault="005145BB" w:rsidP="005145BB">
      <w:pPr>
        <w:spacing w:after="0" w:line="360" w:lineRule="auto"/>
        <w:ind w:firstLine="708"/>
        <w:jc w:val="both"/>
        <w:rPr>
          <w:rFonts w:ascii="Arial" w:hAnsi="Arial" w:cs="Arial"/>
          <w:lang w:val="en-US"/>
        </w:rPr>
      </w:pPr>
      <w:r w:rsidRPr="00CB7599">
        <w:rPr>
          <w:rFonts w:ascii="Arial" w:hAnsi="Arial" w:cs="Arial"/>
          <w:lang w:val="en-US"/>
        </w:rPr>
        <w:t xml:space="preserve">We analyzed the data using frequencies and percentages for categorical variables. </w:t>
      </w:r>
      <w:r w:rsidR="00181D43" w:rsidRPr="00181D43">
        <w:rPr>
          <w:rFonts w:ascii="Arial" w:hAnsi="Arial" w:cs="Arial"/>
          <w:color w:val="4F81BD" w:themeColor="accent1"/>
          <w:lang w:val="en-US"/>
        </w:rPr>
        <w:t xml:space="preserve">Counts and percentages were </w:t>
      </w:r>
      <w:r w:rsidR="00181D43">
        <w:rPr>
          <w:rFonts w:ascii="Arial" w:hAnsi="Arial" w:cs="Arial"/>
          <w:color w:val="4F81BD" w:themeColor="accent1"/>
          <w:lang w:val="en-US"/>
        </w:rPr>
        <w:t>used</w:t>
      </w:r>
      <w:r w:rsidR="00181D43" w:rsidRPr="00181D43">
        <w:rPr>
          <w:rFonts w:ascii="Arial" w:hAnsi="Arial" w:cs="Arial"/>
          <w:color w:val="4F81BD" w:themeColor="accent1"/>
          <w:lang w:val="en-US"/>
        </w:rPr>
        <w:t xml:space="preserve"> to describe survey participants.</w:t>
      </w:r>
      <w:r w:rsidR="00181D43" w:rsidRPr="00181D43">
        <w:rPr>
          <w:rFonts w:ascii="Arial" w:hAnsi="Arial" w:cs="Arial"/>
          <w:color w:val="4F81BD" w:themeColor="accent1"/>
          <w:lang w:val="en-US"/>
        </w:rPr>
        <w:t xml:space="preserve"> Median values and interquartile range were reported for quantitative variables. </w:t>
      </w:r>
      <w:r w:rsidRPr="00CB7599">
        <w:rPr>
          <w:rFonts w:ascii="Arial" w:hAnsi="Arial" w:cs="Arial"/>
          <w:lang w:val="en-US"/>
        </w:rPr>
        <w:t>Significant associations were evaluated by applying the Pearson’s chi-squared test</w:t>
      </w:r>
      <w:r w:rsidR="000177E2">
        <w:rPr>
          <w:rFonts w:ascii="Arial" w:hAnsi="Arial" w:cs="Arial"/>
          <w:lang w:val="en-US"/>
        </w:rPr>
        <w:t xml:space="preserve"> </w:t>
      </w:r>
      <w:r w:rsidR="000177E2" w:rsidRPr="00181D43">
        <w:rPr>
          <w:rFonts w:ascii="Arial" w:hAnsi="Arial" w:cs="Arial"/>
          <w:color w:val="4F81BD" w:themeColor="accent1"/>
          <w:lang w:val="en-US"/>
        </w:rPr>
        <w:t>(</w:t>
      </w:r>
      <w:r w:rsidR="000177E2" w:rsidRPr="000177E2">
        <w:rPr>
          <w:rFonts w:ascii="Arial" w:hAnsi="Arial" w:cs="Arial"/>
          <w:color w:val="4F81BD" w:themeColor="accent1"/>
          <w:lang w:val="en-US"/>
        </w:rPr>
        <w:t>χ2</w:t>
      </w:r>
      <w:r w:rsidR="000177E2" w:rsidRPr="000177E2">
        <w:rPr>
          <w:rFonts w:ascii="Arial" w:hAnsi="Arial" w:cs="Arial"/>
          <w:color w:val="4F81BD" w:themeColor="accent1"/>
          <w:lang w:val="en-US"/>
        </w:rPr>
        <w:t>)</w:t>
      </w:r>
      <w:r w:rsidRPr="00CB7599">
        <w:rPr>
          <w:rFonts w:ascii="Arial" w:hAnsi="Arial" w:cs="Arial"/>
          <w:lang w:val="en-US"/>
        </w:rPr>
        <w:t>, Mann-Whitney U-test</w:t>
      </w:r>
      <w:r w:rsidR="000177E2">
        <w:rPr>
          <w:rFonts w:ascii="Arial" w:hAnsi="Arial" w:cs="Arial"/>
          <w:lang w:val="en-US"/>
        </w:rPr>
        <w:t xml:space="preserve"> </w:t>
      </w:r>
      <w:r w:rsidR="000177E2" w:rsidRPr="000177E2">
        <w:rPr>
          <w:rFonts w:ascii="Arial" w:hAnsi="Arial" w:cs="Arial"/>
          <w:color w:val="4F81BD" w:themeColor="accent1"/>
          <w:lang w:val="en-US"/>
        </w:rPr>
        <w:t>(U)</w:t>
      </w:r>
      <w:r w:rsidRPr="00CB7599">
        <w:rPr>
          <w:rFonts w:ascii="Arial" w:hAnsi="Arial" w:cs="Arial"/>
          <w:lang w:val="en-US"/>
        </w:rPr>
        <w:t>, Kruskal-Wallis test</w:t>
      </w:r>
      <w:r w:rsidR="000177E2">
        <w:rPr>
          <w:rFonts w:ascii="Arial" w:hAnsi="Arial" w:cs="Arial"/>
          <w:lang w:val="en-US"/>
        </w:rPr>
        <w:t xml:space="preserve"> </w:t>
      </w:r>
      <w:r w:rsidR="000177E2" w:rsidRPr="000177E2">
        <w:rPr>
          <w:rFonts w:ascii="Arial" w:hAnsi="Arial" w:cs="Arial"/>
          <w:color w:val="4F81BD" w:themeColor="accent1"/>
          <w:lang w:val="en-US"/>
        </w:rPr>
        <w:t>(H)</w:t>
      </w:r>
      <w:r w:rsidRPr="00CB7599">
        <w:rPr>
          <w:rFonts w:ascii="Arial" w:hAnsi="Arial" w:cs="Arial"/>
          <w:lang w:val="en-US"/>
        </w:rPr>
        <w:t xml:space="preserve"> and the Spearman’s correlation coefficient</w:t>
      </w:r>
      <w:r w:rsidR="000177E2">
        <w:rPr>
          <w:rFonts w:ascii="Arial" w:hAnsi="Arial" w:cs="Arial"/>
          <w:lang w:val="en-US"/>
        </w:rPr>
        <w:t xml:space="preserve"> </w:t>
      </w:r>
      <w:r w:rsidR="000177E2" w:rsidRPr="000177E2">
        <w:rPr>
          <w:rFonts w:ascii="Arial" w:hAnsi="Arial" w:cs="Arial"/>
          <w:color w:val="4F81BD" w:themeColor="accent1"/>
          <w:lang w:val="en-US"/>
        </w:rPr>
        <w:lastRenderedPageBreak/>
        <w:t>(</w:t>
      </w:r>
      <w:proofErr w:type="spellStart"/>
      <w:r w:rsidR="000177E2" w:rsidRPr="000177E2">
        <w:rPr>
          <w:rFonts w:ascii="Arial" w:hAnsi="Arial" w:cs="Arial"/>
          <w:color w:val="4F81BD" w:themeColor="accent1"/>
          <w:lang w:val="en-US"/>
        </w:rPr>
        <w:t>rs</w:t>
      </w:r>
      <w:proofErr w:type="spellEnd"/>
      <w:r w:rsidR="000177E2" w:rsidRPr="000177E2">
        <w:rPr>
          <w:rFonts w:ascii="Arial" w:hAnsi="Arial" w:cs="Arial"/>
          <w:color w:val="4F81BD" w:themeColor="accent1"/>
          <w:lang w:val="en-US"/>
        </w:rPr>
        <w:t>)</w:t>
      </w:r>
      <w:r w:rsidRPr="00CB7599">
        <w:rPr>
          <w:rFonts w:ascii="Arial" w:hAnsi="Arial" w:cs="Arial"/>
          <w:lang w:val="en-US"/>
        </w:rPr>
        <w:t xml:space="preserve"> when appropriate, using SPSS 20®. Significance for all the results was defined</w:t>
      </w:r>
      <w:r w:rsidRPr="00CD79D7">
        <w:rPr>
          <w:rFonts w:ascii="Arial" w:hAnsi="Arial" w:cs="Arial"/>
          <w:lang w:val="en-US"/>
        </w:rPr>
        <w:t xml:space="preserve"> as </w:t>
      </w:r>
      <w:r w:rsidRPr="00CD79D7">
        <w:rPr>
          <w:rFonts w:ascii="Arial" w:hAnsi="Arial" w:cs="Arial"/>
          <w:i/>
          <w:iCs/>
          <w:lang w:val="en-US"/>
        </w:rPr>
        <w:t>p</w:t>
      </w:r>
      <w:r w:rsidRPr="00CD79D7">
        <w:rPr>
          <w:rFonts w:ascii="Arial" w:hAnsi="Arial" w:cs="Arial"/>
          <w:lang w:val="en-US"/>
        </w:rPr>
        <w:t xml:space="preserve"> &lt; 0.05.</w:t>
      </w:r>
    </w:p>
    <w:p w14:paraId="409D6893" w14:textId="0C346044" w:rsidR="005145BB" w:rsidRDefault="005145BB" w:rsidP="005145BB">
      <w:pPr>
        <w:spacing w:after="0" w:line="360" w:lineRule="auto"/>
        <w:ind w:firstLine="708"/>
        <w:jc w:val="both"/>
        <w:rPr>
          <w:rFonts w:ascii="Arial" w:hAnsi="Arial" w:cs="Arial"/>
          <w:lang w:val="en-US"/>
        </w:rPr>
      </w:pPr>
      <w:r w:rsidRPr="0014236F">
        <w:rPr>
          <w:rFonts w:ascii="Arial" w:hAnsi="Arial" w:cs="Arial"/>
          <w:lang w:val="en-US"/>
        </w:rPr>
        <w:t>The study was approved by the local Ethics Committee.</w:t>
      </w:r>
    </w:p>
    <w:p w14:paraId="505DD569" w14:textId="3AD10CA3" w:rsidR="008324EF" w:rsidRDefault="008324EF" w:rsidP="005145BB">
      <w:pPr>
        <w:spacing w:after="0" w:line="360" w:lineRule="auto"/>
        <w:ind w:firstLine="708"/>
        <w:jc w:val="both"/>
        <w:rPr>
          <w:rFonts w:ascii="Arial" w:hAnsi="Arial" w:cs="Arial"/>
          <w:lang w:val="en-US"/>
        </w:rPr>
      </w:pPr>
    </w:p>
    <w:p w14:paraId="2A72E4A2" w14:textId="77777777" w:rsidR="005145BB" w:rsidRPr="0014236F" w:rsidRDefault="005145BB" w:rsidP="005145BB">
      <w:pPr>
        <w:spacing w:after="0" w:line="360" w:lineRule="auto"/>
        <w:jc w:val="both"/>
        <w:rPr>
          <w:rFonts w:ascii="Arial" w:hAnsi="Arial" w:cs="Arial"/>
          <w:b/>
          <w:lang w:val="en-US"/>
        </w:rPr>
      </w:pPr>
      <w:r w:rsidRPr="0014236F">
        <w:rPr>
          <w:rFonts w:ascii="Arial" w:hAnsi="Arial" w:cs="Arial"/>
          <w:b/>
          <w:lang w:val="en-US"/>
        </w:rPr>
        <w:t>RESULTS</w:t>
      </w:r>
    </w:p>
    <w:p w14:paraId="14B9DE84" w14:textId="77777777" w:rsidR="005145BB" w:rsidRPr="00A70D9A" w:rsidRDefault="005145BB" w:rsidP="005145BB">
      <w:pPr>
        <w:spacing w:after="0" w:line="360" w:lineRule="auto"/>
        <w:ind w:firstLine="708"/>
        <w:jc w:val="both"/>
        <w:rPr>
          <w:rFonts w:ascii="Arial" w:hAnsi="Arial" w:cs="Arial"/>
          <w:lang w:val="en-US"/>
        </w:rPr>
      </w:pPr>
      <w:r w:rsidRPr="0014236F">
        <w:rPr>
          <w:rFonts w:ascii="Arial" w:hAnsi="Arial" w:cs="Arial"/>
          <w:bCs/>
          <w:lang w:val="en-US"/>
        </w:rPr>
        <w:t xml:space="preserve">We </w:t>
      </w:r>
      <w:r w:rsidRPr="00D208A2">
        <w:rPr>
          <w:rFonts w:ascii="Arial" w:hAnsi="Arial" w:cs="Arial"/>
          <w:bCs/>
          <w:lang w:val="en-US"/>
        </w:rPr>
        <w:t xml:space="preserve">obtained 12,390 </w:t>
      </w:r>
      <w:r w:rsidRPr="00A70D9A">
        <w:rPr>
          <w:rFonts w:ascii="Arial" w:hAnsi="Arial" w:cs="Arial"/>
          <w:bCs/>
          <w:lang w:val="en-US"/>
        </w:rPr>
        <w:t xml:space="preserve">responses to the survey, regarding 19,745 children. </w:t>
      </w:r>
      <w:r w:rsidRPr="00A70D9A">
        <w:rPr>
          <w:rFonts w:ascii="Arial" w:hAnsi="Arial" w:cs="Arial"/>
          <w:lang w:val="en-US"/>
        </w:rPr>
        <w:t>No participants were excluded from the study.</w:t>
      </w:r>
    </w:p>
    <w:p w14:paraId="399A2241" w14:textId="77777777" w:rsidR="005145BB" w:rsidRPr="00A70D9A" w:rsidRDefault="005145BB" w:rsidP="005145BB">
      <w:pPr>
        <w:spacing w:after="0" w:line="360" w:lineRule="auto"/>
        <w:ind w:firstLine="708"/>
        <w:jc w:val="both"/>
        <w:rPr>
          <w:rFonts w:ascii="Arial" w:hAnsi="Arial" w:cs="Arial"/>
          <w:bCs/>
          <w:lang w:val="en-US"/>
        </w:rPr>
      </w:pPr>
      <w:r w:rsidRPr="00A70D9A">
        <w:rPr>
          <w:rFonts w:ascii="Arial" w:hAnsi="Arial" w:cs="Arial"/>
          <w:bCs/>
          <w:lang w:val="en-US"/>
        </w:rPr>
        <w:t>Socio-demographic characteristics of the participants are depicted in Table 1. The mean age of children in the study was 6.29 years (SD = 4.84). [Insert Table 1 here]</w:t>
      </w:r>
    </w:p>
    <w:p w14:paraId="6920E935" w14:textId="7DB1A0EB"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bCs/>
          <w:lang w:val="en-US"/>
        </w:rPr>
        <w:t xml:space="preserve">As far as the </w:t>
      </w:r>
      <w:r w:rsidRPr="00A70D9A">
        <w:rPr>
          <w:rFonts w:ascii="Arial" w:hAnsi="Arial" w:cs="Arial"/>
          <w:lang w:val="en-US"/>
        </w:rPr>
        <w:t xml:space="preserve">utilization of health services during the pandemic is concerned, 20.6% of parents reported at least one of their children to have been ill during the designated period. Most frequently described symptoms were fever (49.3%), cough (34.9%) and odynophagia (21.9%). Among the 2,552 children who were reported to have been ill, 31.8% were taken to an ED. When questioned, 33.9% of parents who visited the ED believed they would have resorted earlier and 16.0% more often to the ED if it were not for the pandemic. Among the inquired whose children were ill and did not visit the ED, 22.8% admitted they would have visited the ED if there were no pandemic. Children’s presentation of symptoms during the designated period did not associate significantly to parental degree of concern towards the virus (U = 12338909.5, </w:t>
      </w:r>
      <w:r w:rsidRPr="00A70D9A">
        <w:rPr>
          <w:rFonts w:ascii="Arial" w:hAnsi="Arial" w:cs="Arial"/>
          <w:i/>
          <w:iCs/>
          <w:lang w:val="en-US"/>
        </w:rPr>
        <w:t>p</w:t>
      </w:r>
      <w:r w:rsidRPr="00A70D9A">
        <w:rPr>
          <w:rFonts w:ascii="Arial" w:hAnsi="Arial" w:cs="Arial"/>
          <w:lang w:val="en-US"/>
        </w:rPr>
        <w:t xml:space="preserve"> &gt; 0.05). During the stated period, 1.0% of children in the survey were hospitalized and 3.2% were submitted to invasive interventions. There were no significant differences in hospitalization rates or invasive interventions between children whose parents stated they would have come earlier (</w:t>
      </w:r>
      <w:r w:rsidR="000177E2">
        <w:rPr>
          <w:rFonts w:ascii="Arial" w:hAnsi="Arial" w:cs="Arial"/>
          <w:color w:val="4F81BD" w:themeColor="accent1"/>
          <w:lang w:val="en-US"/>
        </w:rPr>
        <w:t>w</w:t>
      </w:r>
      <w:r w:rsidR="00AA7E79" w:rsidRPr="000177E2">
        <w:rPr>
          <w:rFonts w:ascii="Arial" w:hAnsi="Arial" w:cs="Arial"/>
          <w:color w:val="4F81BD" w:themeColor="accent1"/>
          <w:lang w:val="en-US"/>
        </w:rPr>
        <w:t>ould have come earlier:</w:t>
      </w:r>
      <w:r w:rsidR="000177E2" w:rsidRPr="000177E2">
        <w:rPr>
          <w:rFonts w:ascii="Arial" w:hAnsi="Arial" w:cs="Arial"/>
          <w:color w:val="4F81BD" w:themeColor="accent1"/>
          <w:lang w:val="en-US"/>
        </w:rPr>
        <w:t xml:space="preserve"> 19.0%; </w:t>
      </w:r>
      <w:r w:rsidR="000177E2">
        <w:rPr>
          <w:rFonts w:ascii="Arial" w:hAnsi="Arial" w:cs="Arial"/>
          <w:color w:val="4F81BD" w:themeColor="accent1"/>
          <w:lang w:val="en-US"/>
        </w:rPr>
        <w:t>w</w:t>
      </w:r>
      <w:r w:rsidR="000177E2" w:rsidRPr="000177E2">
        <w:rPr>
          <w:rFonts w:ascii="Arial" w:hAnsi="Arial" w:cs="Arial"/>
          <w:color w:val="4F81BD" w:themeColor="accent1"/>
          <w:lang w:val="en-US"/>
        </w:rPr>
        <w:t>ould not have come earlier: 21.9%;</w:t>
      </w:r>
      <w:r w:rsidR="00AA7E79">
        <w:rPr>
          <w:rFonts w:ascii="Arial" w:hAnsi="Arial" w:cs="Arial"/>
          <w:lang w:val="en-US"/>
        </w:rPr>
        <w:t xml:space="preserve"> </w:t>
      </w:r>
      <w:r w:rsidRPr="00A70D9A">
        <w:rPr>
          <w:rFonts w:ascii="Arial" w:hAnsi="Arial" w:cs="Arial"/>
          <w:lang w:val="en-US"/>
        </w:rPr>
        <w:t xml:space="preserve">χ2 = 2.184, </w:t>
      </w:r>
      <w:r w:rsidRPr="00A70D9A">
        <w:rPr>
          <w:rFonts w:ascii="Arial" w:hAnsi="Arial" w:cs="Arial"/>
          <w:i/>
          <w:iCs/>
          <w:lang w:val="en-US"/>
        </w:rPr>
        <w:t>p</w:t>
      </w:r>
      <w:r w:rsidRPr="00A70D9A">
        <w:rPr>
          <w:rFonts w:ascii="Arial" w:hAnsi="Arial" w:cs="Arial"/>
          <w:lang w:val="en-US"/>
        </w:rPr>
        <w:t xml:space="preserve"> &gt; 0.05) or more often (</w:t>
      </w:r>
      <w:r w:rsidR="000177E2" w:rsidRPr="000177E2">
        <w:rPr>
          <w:rFonts w:ascii="Arial" w:hAnsi="Arial" w:cs="Arial"/>
          <w:color w:val="4F81BD" w:themeColor="accent1"/>
          <w:lang w:val="en-US"/>
        </w:rPr>
        <w:t>w</w:t>
      </w:r>
      <w:r w:rsidR="000177E2" w:rsidRPr="000177E2">
        <w:rPr>
          <w:rFonts w:ascii="Arial" w:hAnsi="Arial" w:cs="Arial"/>
          <w:color w:val="4F81BD" w:themeColor="accent1"/>
          <w:lang w:val="en-US"/>
        </w:rPr>
        <w:t xml:space="preserve">ould have come </w:t>
      </w:r>
      <w:r w:rsidR="000177E2" w:rsidRPr="000177E2">
        <w:rPr>
          <w:rFonts w:ascii="Arial" w:hAnsi="Arial" w:cs="Arial"/>
          <w:color w:val="4F81BD" w:themeColor="accent1"/>
          <w:lang w:val="en-US"/>
        </w:rPr>
        <w:t>more often</w:t>
      </w:r>
      <w:r w:rsidR="000177E2" w:rsidRPr="000177E2">
        <w:rPr>
          <w:rFonts w:ascii="Arial" w:hAnsi="Arial" w:cs="Arial"/>
          <w:color w:val="4F81BD" w:themeColor="accent1"/>
          <w:lang w:val="en-US"/>
        </w:rPr>
        <w:t xml:space="preserve">: </w:t>
      </w:r>
      <w:r w:rsidR="000177E2" w:rsidRPr="000177E2">
        <w:rPr>
          <w:rFonts w:ascii="Arial" w:hAnsi="Arial" w:cs="Arial"/>
          <w:color w:val="4F81BD" w:themeColor="accent1"/>
          <w:lang w:val="en-US"/>
        </w:rPr>
        <w:t>21.5</w:t>
      </w:r>
      <w:r w:rsidR="000177E2" w:rsidRPr="000177E2">
        <w:rPr>
          <w:rFonts w:ascii="Arial" w:hAnsi="Arial" w:cs="Arial"/>
          <w:color w:val="4F81BD" w:themeColor="accent1"/>
          <w:lang w:val="en-US"/>
        </w:rPr>
        <w:t xml:space="preserve">%; </w:t>
      </w:r>
      <w:r w:rsidR="000177E2" w:rsidRPr="000177E2">
        <w:rPr>
          <w:rFonts w:ascii="Arial" w:hAnsi="Arial" w:cs="Arial"/>
          <w:color w:val="4F81BD" w:themeColor="accent1"/>
          <w:lang w:val="en-US"/>
        </w:rPr>
        <w:t>w</w:t>
      </w:r>
      <w:r w:rsidR="000177E2" w:rsidRPr="000177E2">
        <w:rPr>
          <w:rFonts w:ascii="Arial" w:hAnsi="Arial" w:cs="Arial"/>
          <w:color w:val="4F81BD" w:themeColor="accent1"/>
          <w:lang w:val="en-US"/>
        </w:rPr>
        <w:t xml:space="preserve">ould not have come </w:t>
      </w:r>
      <w:r w:rsidR="000177E2" w:rsidRPr="000177E2">
        <w:rPr>
          <w:rFonts w:ascii="Arial" w:hAnsi="Arial" w:cs="Arial"/>
          <w:color w:val="4F81BD" w:themeColor="accent1"/>
          <w:lang w:val="en-US"/>
        </w:rPr>
        <w:t>more often</w:t>
      </w:r>
      <w:r w:rsidR="000177E2" w:rsidRPr="000177E2">
        <w:rPr>
          <w:rFonts w:ascii="Arial" w:hAnsi="Arial" w:cs="Arial"/>
          <w:color w:val="4F81BD" w:themeColor="accent1"/>
          <w:lang w:val="en-US"/>
        </w:rPr>
        <w:t>: 21.</w:t>
      </w:r>
      <w:r w:rsidR="000177E2" w:rsidRPr="000177E2">
        <w:rPr>
          <w:rFonts w:ascii="Arial" w:hAnsi="Arial" w:cs="Arial"/>
          <w:color w:val="4F81BD" w:themeColor="accent1"/>
          <w:lang w:val="en-US"/>
        </w:rPr>
        <w:t>4</w:t>
      </w:r>
      <w:r w:rsidR="000177E2" w:rsidRPr="000177E2">
        <w:rPr>
          <w:rFonts w:ascii="Arial" w:hAnsi="Arial" w:cs="Arial"/>
          <w:color w:val="4F81BD" w:themeColor="accent1"/>
          <w:lang w:val="en-US"/>
        </w:rPr>
        <w:t>%;</w:t>
      </w:r>
      <w:r w:rsidR="000177E2" w:rsidRPr="000177E2">
        <w:rPr>
          <w:rFonts w:ascii="Arial" w:hAnsi="Arial" w:cs="Arial"/>
          <w:color w:val="4F81BD" w:themeColor="accent1"/>
          <w:lang w:val="en-US"/>
        </w:rPr>
        <w:t xml:space="preserve"> </w:t>
      </w:r>
      <w:r w:rsidRPr="00A70D9A">
        <w:rPr>
          <w:rFonts w:ascii="Arial" w:hAnsi="Arial" w:cs="Arial"/>
          <w:lang w:val="en-US"/>
        </w:rPr>
        <w:t xml:space="preserve">χ2 = 0.001, </w:t>
      </w:r>
      <w:r w:rsidRPr="00A70D9A">
        <w:rPr>
          <w:rFonts w:ascii="Arial" w:hAnsi="Arial" w:cs="Arial"/>
          <w:i/>
          <w:iCs/>
          <w:lang w:val="en-US"/>
        </w:rPr>
        <w:t>p</w:t>
      </w:r>
      <w:r w:rsidRPr="00A70D9A">
        <w:rPr>
          <w:rFonts w:ascii="Arial" w:hAnsi="Arial" w:cs="Arial"/>
          <w:lang w:val="en-US"/>
        </w:rPr>
        <w:t xml:space="preserve"> &gt; 0.05) to the ED in comparison to other children.</w:t>
      </w:r>
    </w:p>
    <w:p w14:paraId="2E9F8F0A" w14:textId="1D09F456" w:rsidR="005145BB" w:rsidRPr="001E34F1" w:rsidRDefault="005145BB" w:rsidP="005145BB">
      <w:pPr>
        <w:spacing w:after="0" w:line="360" w:lineRule="auto"/>
        <w:ind w:firstLine="708"/>
        <w:jc w:val="both"/>
        <w:rPr>
          <w:rFonts w:ascii="Arial" w:hAnsi="Arial" w:cs="Arial"/>
          <w:lang w:val="en-US"/>
        </w:rPr>
      </w:pPr>
      <w:r w:rsidRPr="00CB7599">
        <w:rPr>
          <w:rFonts w:ascii="Arial" w:hAnsi="Arial" w:cs="Arial"/>
          <w:lang w:val="en-US"/>
        </w:rPr>
        <w:t>Concerning pandemic-related information, almost half of parents (49.6%) affirmed they were extremely concerned (5 on the Likert scale) with the possibility of their child contracting the novel coronavirus (Fig.</w:t>
      </w:r>
      <w:r>
        <w:rPr>
          <w:rFonts w:ascii="Arial" w:hAnsi="Arial" w:cs="Arial"/>
          <w:lang w:val="en-US"/>
        </w:rPr>
        <w:t xml:space="preserve"> 1</w:t>
      </w:r>
      <w:r w:rsidRPr="00CB7599">
        <w:rPr>
          <w:rFonts w:ascii="Arial" w:hAnsi="Arial" w:cs="Arial"/>
          <w:lang w:val="en-US"/>
        </w:rPr>
        <w:t xml:space="preserve">). Only 1.4% of respondents considered to be not at all concerned (1 on the Likert scale). </w:t>
      </w:r>
      <w:r>
        <w:rPr>
          <w:rFonts w:ascii="Arial" w:hAnsi="Arial" w:cs="Arial"/>
          <w:lang w:val="en-US"/>
        </w:rPr>
        <w:t xml:space="preserve">[Insert Figure 1 here] </w:t>
      </w:r>
      <w:r w:rsidRPr="00CB7599">
        <w:rPr>
          <w:rFonts w:ascii="Arial" w:hAnsi="Arial" w:cs="Arial"/>
          <w:lang w:val="en-US"/>
        </w:rPr>
        <w:t>Regarding the risk groups for Covid-19, 18.1% of children in our study were included in at least one of the groups, mainly due to asthma (9.6%), followed by prematurity (5.1%) and being newborn (1.8%). During the designated period children in a risk group presented with symptoms significantly more often than other children but did not attend the ED in significantly higher</w:t>
      </w:r>
      <w:r>
        <w:rPr>
          <w:rFonts w:ascii="Arial" w:hAnsi="Arial" w:cs="Arial"/>
          <w:lang w:val="en-US"/>
        </w:rPr>
        <w:t xml:space="preserve"> rates</w:t>
      </w:r>
      <w:r w:rsidRPr="00CB7599">
        <w:rPr>
          <w:rFonts w:ascii="Arial" w:hAnsi="Arial" w:cs="Arial"/>
          <w:lang w:val="en-US"/>
        </w:rPr>
        <w:t xml:space="preserve"> (Table </w:t>
      </w:r>
      <w:r>
        <w:rPr>
          <w:rFonts w:ascii="Arial" w:hAnsi="Arial" w:cs="Arial"/>
          <w:lang w:val="en-US"/>
        </w:rPr>
        <w:t>2</w:t>
      </w:r>
      <w:r w:rsidRPr="00CB7599">
        <w:rPr>
          <w:rFonts w:ascii="Arial" w:hAnsi="Arial" w:cs="Arial"/>
          <w:lang w:val="en-US"/>
        </w:rPr>
        <w:t>). There was</w:t>
      </w:r>
      <w:r w:rsidRPr="0014236F">
        <w:rPr>
          <w:rFonts w:ascii="Arial" w:hAnsi="Arial" w:cs="Arial"/>
          <w:lang w:val="en-US"/>
        </w:rPr>
        <w:t xml:space="preserve"> a significant association between belonging to a risk group and being submitted to an invasive intervention or hospitalization (</w:t>
      </w:r>
      <w:r>
        <w:rPr>
          <w:rFonts w:ascii="Arial" w:hAnsi="Arial" w:cs="Arial"/>
          <w:lang w:val="en-US"/>
        </w:rPr>
        <w:t>Table 2</w:t>
      </w:r>
      <w:r w:rsidRPr="0014236F">
        <w:rPr>
          <w:rFonts w:ascii="Arial" w:hAnsi="Arial" w:cs="Arial"/>
          <w:lang w:val="en-US"/>
        </w:rPr>
        <w:t xml:space="preserve">), with the odds being 3.44 times higher if the child had a risk factor than if he or she </w:t>
      </w:r>
      <w:r w:rsidRPr="001E34F1">
        <w:rPr>
          <w:rFonts w:ascii="Arial" w:hAnsi="Arial" w:cs="Arial"/>
          <w:lang w:val="en-US"/>
        </w:rPr>
        <w:t xml:space="preserve">did not. </w:t>
      </w:r>
      <w:r w:rsidRPr="001E34F1">
        <w:rPr>
          <w:rFonts w:ascii="Arial" w:hAnsi="Arial" w:cs="Arial"/>
          <w:lang w:val="en-US"/>
        </w:rPr>
        <w:lastRenderedPageBreak/>
        <w:t>Being included in a risk group also associated significantly to a higher level of parental concern of their child contracting the virus (</w:t>
      </w:r>
      <w:r w:rsidR="006D1F21">
        <w:rPr>
          <w:rFonts w:ascii="Arial" w:hAnsi="Arial" w:cs="Arial"/>
          <w:color w:val="4F81BD" w:themeColor="accent1"/>
          <w:lang w:val="en-US"/>
        </w:rPr>
        <w:t>r</w:t>
      </w:r>
      <w:r w:rsidRPr="00A70D9A">
        <w:rPr>
          <w:rFonts w:ascii="Arial" w:hAnsi="Arial" w:cs="Arial"/>
          <w:color w:val="4F81BD" w:themeColor="accent1"/>
          <w:lang w:val="en-US"/>
        </w:rPr>
        <w:t xml:space="preserve">isk group: </w:t>
      </w:r>
      <w:proofErr w:type="spellStart"/>
      <w:r w:rsidRPr="00A70D9A">
        <w:rPr>
          <w:rFonts w:ascii="Arial" w:hAnsi="Arial" w:cs="Arial"/>
          <w:color w:val="4F81BD" w:themeColor="accent1"/>
          <w:lang w:val="en-US"/>
        </w:rPr>
        <w:t>M</w:t>
      </w:r>
      <w:r w:rsidR="00A70D9A" w:rsidRPr="00A70D9A">
        <w:rPr>
          <w:rFonts w:ascii="Arial" w:hAnsi="Arial" w:cs="Arial"/>
          <w:color w:val="4F81BD" w:themeColor="accent1"/>
          <w:lang w:val="en-US"/>
        </w:rPr>
        <w:t>dn</w:t>
      </w:r>
      <w:proofErr w:type="spellEnd"/>
      <w:r w:rsidRPr="00A70D9A">
        <w:rPr>
          <w:rFonts w:ascii="Arial" w:hAnsi="Arial" w:cs="Arial"/>
          <w:color w:val="4F81BD" w:themeColor="accent1"/>
          <w:lang w:val="en-US"/>
        </w:rPr>
        <w:t xml:space="preserve"> = </w:t>
      </w:r>
      <w:r w:rsidR="00A70D9A" w:rsidRPr="00A70D9A">
        <w:rPr>
          <w:rFonts w:ascii="Arial" w:hAnsi="Arial" w:cs="Arial"/>
          <w:color w:val="4F81BD" w:themeColor="accent1"/>
          <w:lang w:val="en-US"/>
        </w:rPr>
        <w:t>5.00</w:t>
      </w:r>
      <w:r w:rsidRPr="00A70D9A">
        <w:rPr>
          <w:rFonts w:ascii="Arial" w:hAnsi="Arial" w:cs="Arial"/>
          <w:color w:val="4F81BD" w:themeColor="accent1"/>
          <w:lang w:val="en-US"/>
        </w:rPr>
        <w:t xml:space="preserve">, </w:t>
      </w:r>
      <w:r w:rsidR="00A70D9A" w:rsidRPr="00A70D9A">
        <w:rPr>
          <w:rFonts w:ascii="Arial" w:hAnsi="Arial" w:cs="Arial"/>
          <w:color w:val="4F81BD" w:themeColor="accent1"/>
          <w:lang w:val="en-US"/>
        </w:rPr>
        <w:t>IQR</w:t>
      </w:r>
      <w:r w:rsidRPr="00A70D9A">
        <w:rPr>
          <w:rFonts w:ascii="Arial" w:hAnsi="Arial" w:cs="Arial"/>
          <w:color w:val="4F81BD" w:themeColor="accent1"/>
          <w:lang w:val="en-US"/>
        </w:rPr>
        <w:t xml:space="preserve"> = </w:t>
      </w:r>
      <w:r w:rsidR="00A70D9A" w:rsidRPr="00A70D9A">
        <w:rPr>
          <w:rFonts w:ascii="Arial" w:hAnsi="Arial" w:cs="Arial"/>
          <w:color w:val="4F81BD" w:themeColor="accent1"/>
          <w:lang w:val="en-US"/>
        </w:rPr>
        <w:t>4.00-5.00</w:t>
      </w:r>
      <w:r w:rsidRPr="00A70D9A">
        <w:rPr>
          <w:rFonts w:ascii="Arial" w:hAnsi="Arial" w:cs="Arial"/>
          <w:color w:val="4F81BD" w:themeColor="accent1"/>
          <w:lang w:val="en-US"/>
        </w:rPr>
        <w:t xml:space="preserve">; </w:t>
      </w:r>
      <w:r w:rsidR="006D1F21">
        <w:rPr>
          <w:rFonts w:ascii="Arial" w:hAnsi="Arial" w:cs="Arial"/>
          <w:color w:val="4F81BD" w:themeColor="accent1"/>
          <w:lang w:val="en-US"/>
        </w:rPr>
        <w:t>n</w:t>
      </w:r>
      <w:r w:rsidRPr="00A70D9A">
        <w:rPr>
          <w:rFonts w:ascii="Arial" w:hAnsi="Arial" w:cs="Arial"/>
          <w:color w:val="4F81BD" w:themeColor="accent1"/>
          <w:lang w:val="en-US"/>
        </w:rPr>
        <w:t xml:space="preserve">o risk group: </w:t>
      </w:r>
      <w:proofErr w:type="spellStart"/>
      <w:r w:rsidRPr="00A70D9A">
        <w:rPr>
          <w:rFonts w:ascii="Arial" w:hAnsi="Arial" w:cs="Arial"/>
          <w:color w:val="4F81BD" w:themeColor="accent1"/>
          <w:lang w:val="en-US"/>
        </w:rPr>
        <w:t>M</w:t>
      </w:r>
      <w:r w:rsidR="00A70D9A" w:rsidRPr="00A70D9A">
        <w:rPr>
          <w:rFonts w:ascii="Arial" w:hAnsi="Arial" w:cs="Arial"/>
          <w:color w:val="4F81BD" w:themeColor="accent1"/>
          <w:lang w:val="en-US"/>
        </w:rPr>
        <w:t>dn</w:t>
      </w:r>
      <w:proofErr w:type="spellEnd"/>
      <w:r w:rsidRPr="00A70D9A">
        <w:rPr>
          <w:rFonts w:ascii="Arial" w:hAnsi="Arial" w:cs="Arial"/>
          <w:color w:val="4F81BD" w:themeColor="accent1"/>
          <w:lang w:val="en-US"/>
        </w:rPr>
        <w:t xml:space="preserve"> = 4.</w:t>
      </w:r>
      <w:r w:rsidR="00A70D9A" w:rsidRPr="00A70D9A">
        <w:rPr>
          <w:rFonts w:ascii="Arial" w:hAnsi="Arial" w:cs="Arial"/>
          <w:color w:val="4F81BD" w:themeColor="accent1"/>
          <w:lang w:val="en-US"/>
        </w:rPr>
        <w:t>00</w:t>
      </w:r>
      <w:r w:rsidRPr="00A70D9A">
        <w:rPr>
          <w:rFonts w:ascii="Arial" w:hAnsi="Arial" w:cs="Arial"/>
          <w:color w:val="4F81BD" w:themeColor="accent1"/>
          <w:lang w:val="en-US"/>
        </w:rPr>
        <w:t xml:space="preserve">, </w:t>
      </w:r>
      <w:r w:rsidR="00A70D9A" w:rsidRPr="00A70D9A">
        <w:rPr>
          <w:rFonts w:ascii="Arial" w:hAnsi="Arial" w:cs="Arial"/>
          <w:color w:val="4F81BD" w:themeColor="accent1"/>
          <w:lang w:val="en-US"/>
        </w:rPr>
        <w:t>IQR = 3.00-5.00</w:t>
      </w:r>
      <w:r w:rsidR="00C22492">
        <w:rPr>
          <w:rFonts w:ascii="Arial" w:hAnsi="Arial" w:cs="Arial"/>
          <w:lang w:val="en-US"/>
        </w:rPr>
        <w:t>;</w:t>
      </w:r>
      <w:r w:rsidRPr="00A70D9A">
        <w:rPr>
          <w:rFonts w:ascii="Arial" w:hAnsi="Arial" w:cs="Arial"/>
          <w:lang w:val="en-US"/>
        </w:rPr>
        <w:t xml:space="preserve"> U = 9640774, </w:t>
      </w:r>
      <w:r w:rsidRPr="00A70D9A">
        <w:rPr>
          <w:rFonts w:ascii="Arial" w:hAnsi="Arial" w:cs="Arial"/>
          <w:i/>
          <w:iCs/>
          <w:lang w:val="en-US"/>
        </w:rPr>
        <w:t>p</w:t>
      </w:r>
      <w:r w:rsidRPr="00A70D9A">
        <w:rPr>
          <w:rFonts w:ascii="Arial" w:hAnsi="Arial" w:cs="Arial"/>
          <w:lang w:val="en-US"/>
        </w:rPr>
        <w:t xml:space="preserve"> &lt; 0.001</w:t>
      </w:r>
      <w:r w:rsidRPr="001E34F1">
        <w:rPr>
          <w:rFonts w:ascii="Arial" w:hAnsi="Arial" w:cs="Arial"/>
          <w:lang w:val="en-US"/>
        </w:rPr>
        <w:t xml:space="preserve">). [Insert Table </w:t>
      </w:r>
      <w:r>
        <w:rPr>
          <w:rFonts w:ascii="Arial" w:hAnsi="Arial" w:cs="Arial"/>
          <w:lang w:val="en-US"/>
        </w:rPr>
        <w:t>2</w:t>
      </w:r>
      <w:r w:rsidRPr="001E34F1">
        <w:rPr>
          <w:rFonts w:ascii="Arial" w:hAnsi="Arial" w:cs="Arial"/>
          <w:lang w:val="en-US"/>
        </w:rPr>
        <w:t xml:space="preserve"> here]</w:t>
      </w:r>
    </w:p>
    <w:p w14:paraId="3A3F44FB" w14:textId="069EC517" w:rsidR="005145BB" w:rsidRPr="00A70D9A" w:rsidRDefault="005145BB" w:rsidP="005145BB">
      <w:pPr>
        <w:spacing w:after="0" w:line="360" w:lineRule="auto"/>
        <w:ind w:firstLine="708"/>
        <w:jc w:val="both"/>
        <w:rPr>
          <w:rFonts w:ascii="Arial" w:hAnsi="Arial" w:cs="Arial"/>
          <w:lang w:val="en-US"/>
        </w:rPr>
      </w:pPr>
      <w:r w:rsidRPr="001E34F1">
        <w:rPr>
          <w:rFonts w:ascii="Arial" w:hAnsi="Arial" w:cs="Arial"/>
          <w:lang w:val="en-US"/>
        </w:rPr>
        <w:t>Regarding the consequences of Covid-19 on</w:t>
      </w:r>
      <w:r w:rsidRPr="0014236F">
        <w:rPr>
          <w:rFonts w:ascii="Arial" w:hAnsi="Arial" w:cs="Arial"/>
          <w:lang w:val="en-US"/>
        </w:rPr>
        <w:t xml:space="preserve"> children’s health and access to medical care, 48.3% of responders had a medical appointment previously scheduled for their child during the stated period. Of these 5,984 scheduled appointments, 21.7% were carried out in person, 10.9% were conducted virtually (</w:t>
      </w:r>
      <w:proofErr w:type="gramStart"/>
      <w:r w:rsidRPr="0014236F">
        <w:rPr>
          <w:rFonts w:ascii="Arial" w:hAnsi="Arial" w:cs="Arial"/>
          <w:lang w:val="en-US"/>
        </w:rPr>
        <w:t>e.g.</w:t>
      </w:r>
      <w:proofErr w:type="gramEnd"/>
      <w:r w:rsidRPr="0014236F">
        <w:rPr>
          <w:rFonts w:ascii="Arial" w:hAnsi="Arial" w:cs="Arial"/>
          <w:lang w:val="en-US"/>
        </w:rPr>
        <w:t xml:space="preserve"> by telephone), 13.3% were cancelled at the request of the family, while 54.2% of </w:t>
      </w:r>
      <w:r w:rsidRPr="001E34F1">
        <w:rPr>
          <w:rFonts w:ascii="Arial" w:hAnsi="Arial" w:cs="Arial"/>
          <w:lang w:val="en-US"/>
        </w:rPr>
        <w:t>appointments did not take place due to postponement or cancellation by the health institution or doctor (Table 3). Parents’ perception of a negative impact of the pandemic on their child was significantly impacted by the way medical appointments were conducted during this period (</w:t>
      </w:r>
      <w:proofErr w:type="gramStart"/>
      <w:r w:rsidRPr="001E34F1">
        <w:rPr>
          <w:rFonts w:ascii="Arial" w:hAnsi="Arial" w:cs="Arial"/>
          <w:lang w:val="en-US"/>
        </w:rPr>
        <w:t>H(</w:t>
      </w:r>
      <w:proofErr w:type="gramEnd"/>
      <w:r w:rsidRPr="001E34F1">
        <w:rPr>
          <w:rFonts w:ascii="Arial" w:hAnsi="Arial" w:cs="Arial"/>
          <w:lang w:val="en-US"/>
        </w:rPr>
        <w:t>3)</w:t>
      </w:r>
      <w:r>
        <w:rPr>
          <w:rFonts w:ascii="Arial" w:hAnsi="Arial" w:cs="Arial"/>
          <w:lang w:val="en-US"/>
        </w:rPr>
        <w:t xml:space="preserve"> </w:t>
      </w:r>
      <w:r w:rsidRPr="001E34F1">
        <w:rPr>
          <w:rFonts w:ascii="Arial" w:hAnsi="Arial" w:cs="Arial"/>
          <w:lang w:val="en-US"/>
        </w:rPr>
        <w:t>=</w:t>
      </w:r>
      <w:r>
        <w:rPr>
          <w:rFonts w:ascii="Arial" w:hAnsi="Arial" w:cs="Arial"/>
          <w:lang w:val="en-US"/>
        </w:rPr>
        <w:t xml:space="preserve"> </w:t>
      </w:r>
      <w:r w:rsidRPr="001E34F1">
        <w:rPr>
          <w:rFonts w:ascii="Arial" w:hAnsi="Arial" w:cs="Arial"/>
          <w:lang w:val="en-US"/>
        </w:rPr>
        <w:t xml:space="preserve">40.334, </w:t>
      </w:r>
      <w:r w:rsidRPr="001E34F1">
        <w:rPr>
          <w:rFonts w:ascii="Arial" w:hAnsi="Arial" w:cs="Arial"/>
          <w:i/>
          <w:iCs/>
          <w:lang w:val="en-US"/>
        </w:rPr>
        <w:t>p</w:t>
      </w:r>
      <w:r>
        <w:rPr>
          <w:rFonts w:ascii="Arial" w:hAnsi="Arial" w:cs="Arial"/>
          <w:lang w:val="en-US"/>
        </w:rPr>
        <w:t xml:space="preserve"> </w:t>
      </w:r>
      <w:r w:rsidRPr="001E34F1">
        <w:rPr>
          <w:rFonts w:ascii="Arial" w:hAnsi="Arial" w:cs="Arial"/>
          <w:lang w:val="en-US"/>
        </w:rPr>
        <w:t>&lt;</w:t>
      </w:r>
      <w:r>
        <w:rPr>
          <w:rFonts w:ascii="Arial" w:hAnsi="Arial" w:cs="Arial"/>
          <w:lang w:val="en-US"/>
        </w:rPr>
        <w:t xml:space="preserve"> </w:t>
      </w:r>
      <w:r w:rsidRPr="001E34F1">
        <w:rPr>
          <w:rFonts w:ascii="Arial" w:hAnsi="Arial" w:cs="Arial"/>
          <w:lang w:val="en-US"/>
        </w:rPr>
        <w:t>0.01). Compared to when consultations were carried out in person, there was no significant difference in parents’ perception when they were cancelled by the family itself (U</w:t>
      </w:r>
      <w:r>
        <w:rPr>
          <w:rFonts w:ascii="Arial" w:hAnsi="Arial" w:cs="Arial"/>
          <w:lang w:val="en-US"/>
        </w:rPr>
        <w:t xml:space="preserve"> </w:t>
      </w:r>
      <w:r w:rsidRPr="001E34F1">
        <w:rPr>
          <w:rFonts w:ascii="Arial" w:hAnsi="Arial" w:cs="Arial"/>
          <w:lang w:val="en-US"/>
        </w:rPr>
        <w:t xml:space="preserve">= 494987.5, </w:t>
      </w:r>
      <w:r w:rsidRPr="001E34F1">
        <w:rPr>
          <w:rFonts w:ascii="Arial" w:hAnsi="Arial" w:cs="Arial"/>
          <w:i/>
          <w:iCs/>
          <w:lang w:val="en-US"/>
        </w:rPr>
        <w:t>p</w:t>
      </w:r>
      <w:r>
        <w:rPr>
          <w:rFonts w:ascii="Arial" w:hAnsi="Arial" w:cs="Arial"/>
          <w:lang w:val="en-US"/>
        </w:rPr>
        <w:t xml:space="preserve"> </w:t>
      </w:r>
      <w:r w:rsidRPr="001E34F1">
        <w:rPr>
          <w:rFonts w:ascii="Arial" w:hAnsi="Arial" w:cs="Arial"/>
          <w:lang w:val="en-US"/>
        </w:rPr>
        <w:t>&gt;</w:t>
      </w:r>
      <w:r>
        <w:rPr>
          <w:rFonts w:ascii="Arial" w:hAnsi="Arial" w:cs="Arial"/>
          <w:lang w:val="en-US"/>
        </w:rPr>
        <w:t xml:space="preserve"> </w:t>
      </w:r>
      <w:r w:rsidRPr="001E34F1">
        <w:rPr>
          <w:rFonts w:ascii="Arial" w:hAnsi="Arial" w:cs="Arial"/>
          <w:lang w:val="en-US"/>
        </w:rPr>
        <w:t>0.05). However, when appointments were conducted virtually (</w:t>
      </w:r>
      <w:r w:rsidR="006D1F21">
        <w:rPr>
          <w:rFonts w:ascii="Arial" w:hAnsi="Arial" w:cs="Arial"/>
          <w:color w:val="4F81BD" w:themeColor="accent1"/>
          <w:lang w:val="en-US"/>
        </w:rPr>
        <w:t>vi</w:t>
      </w:r>
      <w:r w:rsidR="00C22492" w:rsidRPr="00AA7E79">
        <w:rPr>
          <w:rFonts w:ascii="Arial" w:hAnsi="Arial" w:cs="Arial"/>
          <w:color w:val="4F81BD" w:themeColor="accent1"/>
          <w:lang w:val="en-US"/>
        </w:rPr>
        <w:t xml:space="preserve">rtual </w:t>
      </w:r>
      <w:r w:rsidR="006D1F21">
        <w:rPr>
          <w:rFonts w:ascii="Arial" w:hAnsi="Arial" w:cs="Arial"/>
          <w:color w:val="4F81BD" w:themeColor="accent1"/>
          <w:lang w:val="en-US"/>
        </w:rPr>
        <w:t>appointments</w:t>
      </w:r>
      <w:r w:rsidR="00C22492" w:rsidRPr="00AA7E79">
        <w:rPr>
          <w:rFonts w:ascii="Arial" w:hAnsi="Arial" w:cs="Arial"/>
          <w:color w:val="4F81BD" w:themeColor="accent1"/>
          <w:lang w:val="en-US"/>
        </w:rPr>
        <w:t xml:space="preserve">: </w:t>
      </w:r>
      <w:proofErr w:type="spellStart"/>
      <w:r w:rsidR="00C22492" w:rsidRPr="00AA7E79">
        <w:rPr>
          <w:rFonts w:ascii="Arial" w:hAnsi="Arial" w:cs="Arial"/>
          <w:color w:val="4F81BD" w:themeColor="accent1"/>
          <w:lang w:val="en-US"/>
        </w:rPr>
        <w:t>Mdn</w:t>
      </w:r>
      <w:proofErr w:type="spellEnd"/>
      <w:r w:rsidR="00C22492" w:rsidRPr="00AA7E79">
        <w:rPr>
          <w:rFonts w:ascii="Arial" w:hAnsi="Arial" w:cs="Arial"/>
          <w:color w:val="4F81BD" w:themeColor="accent1"/>
          <w:lang w:val="en-US"/>
        </w:rPr>
        <w:t xml:space="preserve"> = 2.00, IQR 1.00-3.00; </w:t>
      </w:r>
      <w:r w:rsidR="006D1F21">
        <w:rPr>
          <w:rFonts w:ascii="Arial" w:hAnsi="Arial" w:cs="Arial"/>
          <w:color w:val="4F81BD" w:themeColor="accent1"/>
          <w:lang w:val="en-US"/>
        </w:rPr>
        <w:t>appointments</w:t>
      </w:r>
      <w:r w:rsidR="00C22492" w:rsidRPr="00AA7E79">
        <w:rPr>
          <w:rFonts w:ascii="Arial" w:hAnsi="Arial" w:cs="Arial"/>
          <w:color w:val="4F81BD" w:themeColor="accent1"/>
          <w:lang w:val="en-US"/>
        </w:rPr>
        <w:t xml:space="preserve"> in person: </w:t>
      </w:r>
      <w:proofErr w:type="spellStart"/>
      <w:r w:rsidR="00C22492" w:rsidRPr="00AA7E79">
        <w:rPr>
          <w:rFonts w:ascii="Arial" w:hAnsi="Arial" w:cs="Arial"/>
          <w:color w:val="4F81BD" w:themeColor="accent1"/>
          <w:lang w:val="en-US"/>
        </w:rPr>
        <w:t>Mdn</w:t>
      </w:r>
      <w:proofErr w:type="spellEnd"/>
      <w:r w:rsidR="00C22492" w:rsidRPr="00AA7E79">
        <w:rPr>
          <w:rFonts w:ascii="Arial" w:hAnsi="Arial" w:cs="Arial"/>
          <w:color w:val="4F81BD" w:themeColor="accent1"/>
          <w:lang w:val="en-US"/>
        </w:rPr>
        <w:t xml:space="preserve"> = 1.00, IQR = 1-00-3.00</w:t>
      </w:r>
      <w:r w:rsidR="00AA7E79" w:rsidRPr="00AA7E79">
        <w:rPr>
          <w:rFonts w:ascii="Arial" w:hAnsi="Arial" w:cs="Arial"/>
          <w:color w:val="4F81BD" w:themeColor="accent1"/>
          <w:lang w:val="en-US"/>
        </w:rPr>
        <w:t xml:space="preserve">; </w:t>
      </w:r>
      <w:r w:rsidRPr="001E34F1">
        <w:rPr>
          <w:rFonts w:ascii="Arial" w:hAnsi="Arial" w:cs="Arial"/>
          <w:lang w:val="en-US"/>
        </w:rPr>
        <w:t>U</w:t>
      </w:r>
      <w:r>
        <w:rPr>
          <w:rFonts w:ascii="Arial" w:hAnsi="Arial" w:cs="Arial"/>
          <w:lang w:val="en-US"/>
        </w:rPr>
        <w:t xml:space="preserve"> </w:t>
      </w:r>
      <w:r w:rsidRPr="001E34F1">
        <w:rPr>
          <w:rFonts w:ascii="Arial" w:hAnsi="Arial" w:cs="Arial"/>
          <w:lang w:val="en-US"/>
        </w:rPr>
        <w:t>=</w:t>
      </w:r>
      <w:r>
        <w:rPr>
          <w:rFonts w:ascii="Arial" w:hAnsi="Arial" w:cs="Arial"/>
          <w:lang w:val="en-US"/>
        </w:rPr>
        <w:t xml:space="preserve"> </w:t>
      </w:r>
      <w:r w:rsidRPr="001E34F1">
        <w:rPr>
          <w:rFonts w:ascii="Arial" w:hAnsi="Arial" w:cs="Arial"/>
          <w:lang w:val="en-US"/>
        </w:rPr>
        <w:t>389571</w:t>
      </w:r>
      <w:r>
        <w:rPr>
          <w:rFonts w:ascii="Arial" w:hAnsi="Arial" w:cs="Arial"/>
          <w:lang w:val="en-US"/>
        </w:rPr>
        <w:t>.</w:t>
      </w:r>
      <w:r w:rsidRPr="001E34F1">
        <w:rPr>
          <w:rFonts w:ascii="Arial" w:hAnsi="Arial" w:cs="Arial"/>
          <w:lang w:val="en-US"/>
        </w:rPr>
        <w:t xml:space="preserve">5, </w:t>
      </w:r>
      <w:r w:rsidRPr="001E34F1">
        <w:rPr>
          <w:rFonts w:ascii="Arial" w:hAnsi="Arial" w:cs="Arial"/>
          <w:i/>
          <w:iCs/>
          <w:lang w:val="en-US"/>
        </w:rPr>
        <w:t>p</w:t>
      </w:r>
      <w:r>
        <w:rPr>
          <w:rFonts w:ascii="Arial" w:hAnsi="Arial" w:cs="Arial"/>
          <w:lang w:val="en-US"/>
        </w:rPr>
        <w:t xml:space="preserve"> </w:t>
      </w:r>
      <w:r w:rsidRPr="001E34F1">
        <w:rPr>
          <w:rFonts w:ascii="Arial" w:hAnsi="Arial" w:cs="Arial"/>
          <w:lang w:val="en-US"/>
        </w:rPr>
        <w:t>&lt;</w:t>
      </w:r>
      <w:r>
        <w:rPr>
          <w:rFonts w:ascii="Arial" w:hAnsi="Arial" w:cs="Arial"/>
          <w:lang w:val="en-US"/>
        </w:rPr>
        <w:t xml:space="preserve"> </w:t>
      </w:r>
      <w:r w:rsidRPr="001E34F1">
        <w:rPr>
          <w:rFonts w:ascii="Arial" w:hAnsi="Arial" w:cs="Arial"/>
          <w:lang w:val="en-US"/>
        </w:rPr>
        <w:t xml:space="preserve">0.01) or </w:t>
      </w:r>
      <w:r w:rsidRPr="00A70D9A">
        <w:rPr>
          <w:rFonts w:ascii="Arial" w:hAnsi="Arial" w:cs="Arial"/>
          <w:lang w:val="en-US"/>
        </w:rPr>
        <w:t>cancelled/postponed by the health institution (</w:t>
      </w:r>
      <w:r w:rsidR="006D1F21">
        <w:rPr>
          <w:rFonts w:ascii="Arial" w:hAnsi="Arial" w:cs="Arial"/>
          <w:color w:val="4F81BD" w:themeColor="accent1"/>
          <w:lang w:val="en-US"/>
        </w:rPr>
        <w:t>appointments</w:t>
      </w:r>
      <w:r w:rsidR="00AA7E79">
        <w:rPr>
          <w:rFonts w:ascii="Arial" w:hAnsi="Arial" w:cs="Arial"/>
          <w:color w:val="4F81BD" w:themeColor="accent1"/>
          <w:lang w:val="en-US"/>
        </w:rPr>
        <w:t xml:space="preserve"> cancelled by health institution</w:t>
      </w:r>
      <w:r w:rsidR="00AA7E79" w:rsidRPr="00AA7E79">
        <w:rPr>
          <w:rFonts w:ascii="Arial" w:hAnsi="Arial" w:cs="Arial"/>
          <w:color w:val="4F81BD" w:themeColor="accent1"/>
          <w:lang w:val="en-US"/>
        </w:rPr>
        <w:t xml:space="preserve">: </w:t>
      </w:r>
      <w:proofErr w:type="spellStart"/>
      <w:r w:rsidR="00AA7E79" w:rsidRPr="00AA7E79">
        <w:rPr>
          <w:rFonts w:ascii="Arial" w:hAnsi="Arial" w:cs="Arial"/>
          <w:color w:val="4F81BD" w:themeColor="accent1"/>
          <w:lang w:val="en-US"/>
        </w:rPr>
        <w:t>Mdn</w:t>
      </w:r>
      <w:proofErr w:type="spellEnd"/>
      <w:r w:rsidR="00AA7E79" w:rsidRPr="00AA7E79">
        <w:rPr>
          <w:rFonts w:ascii="Arial" w:hAnsi="Arial" w:cs="Arial"/>
          <w:color w:val="4F81BD" w:themeColor="accent1"/>
          <w:lang w:val="en-US"/>
        </w:rPr>
        <w:t xml:space="preserve"> = 2.00, IQR 1.00-3.00; </w:t>
      </w:r>
      <w:r w:rsidR="006D1F21">
        <w:rPr>
          <w:rFonts w:ascii="Arial" w:hAnsi="Arial" w:cs="Arial"/>
          <w:color w:val="4F81BD" w:themeColor="accent1"/>
          <w:lang w:val="en-US"/>
        </w:rPr>
        <w:t>appointments</w:t>
      </w:r>
      <w:r w:rsidR="00AA7E79" w:rsidRPr="00AA7E79">
        <w:rPr>
          <w:rFonts w:ascii="Arial" w:hAnsi="Arial" w:cs="Arial"/>
          <w:color w:val="4F81BD" w:themeColor="accent1"/>
          <w:lang w:val="en-US"/>
        </w:rPr>
        <w:t xml:space="preserve"> in person: </w:t>
      </w:r>
      <w:proofErr w:type="spellStart"/>
      <w:r w:rsidR="00AA7E79" w:rsidRPr="00AA7E79">
        <w:rPr>
          <w:rFonts w:ascii="Arial" w:hAnsi="Arial" w:cs="Arial"/>
          <w:color w:val="4F81BD" w:themeColor="accent1"/>
          <w:lang w:val="en-US"/>
        </w:rPr>
        <w:t>Mdn</w:t>
      </w:r>
      <w:proofErr w:type="spellEnd"/>
      <w:r w:rsidR="00AA7E79" w:rsidRPr="00AA7E79">
        <w:rPr>
          <w:rFonts w:ascii="Arial" w:hAnsi="Arial" w:cs="Arial"/>
          <w:color w:val="4F81BD" w:themeColor="accent1"/>
          <w:lang w:val="en-US"/>
        </w:rPr>
        <w:t xml:space="preserve"> = 1.00, IQR = 1-00-3.00;</w:t>
      </w:r>
      <w:r w:rsidR="00AA7E79">
        <w:rPr>
          <w:rFonts w:ascii="Arial" w:hAnsi="Arial" w:cs="Arial"/>
          <w:color w:val="4F81BD" w:themeColor="accent1"/>
          <w:lang w:val="en-US"/>
        </w:rPr>
        <w:t xml:space="preserve"> </w:t>
      </w:r>
      <w:r w:rsidRPr="00A70D9A">
        <w:rPr>
          <w:rFonts w:ascii="Arial" w:hAnsi="Arial" w:cs="Arial"/>
          <w:lang w:val="en-US"/>
        </w:rPr>
        <w:t xml:space="preserve">U = 1874389, </w:t>
      </w:r>
      <w:r w:rsidRPr="00A70D9A">
        <w:rPr>
          <w:rFonts w:ascii="Arial" w:hAnsi="Arial" w:cs="Arial"/>
          <w:i/>
          <w:iCs/>
          <w:lang w:val="en-US"/>
        </w:rPr>
        <w:t>p</w:t>
      </w:r>
      <w:r w:rsidRPr="00A70D9A">
        <w:rPr>
          <w:rFonts w:ascii="Arial" w:hAnsi="Arial" w:cs="Arial"/>
          <w:lang w:val="en-US"/>
        </w:rPr>
        <w:t xml:space="preserve"> &lt; 0.001), parents’ conviction of a negative impact was significantly higher.</w:t>
      </w:r>
    </w:p>
    <w:p w14:paraId="28461C90" w14:textId="77777777"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lang w:val="en-US"/>
        </w:rPr>
        <w:t>Concerning the vaccination appointments scheduled for vaccines included in the national vaccination program, 22.2% (2,747 children) had a vaccine administration planned during the designated period. While 78.4% were vaccinated according to plan, 21.6% (594 children) missed their vaccination – 11.6% due to the families’ preferences and 10.0% due to postponement or cancellation by the health institution (Table 3).</w:t>
      </w:r>
    </w:p>
    <w:p w14:paraId="24C28FD0" w14:textId="77777777"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lang w:val="en-US"/>
        </w:rPr>
        <w:t>Neonatal metabolic screening (heel prick test) was planned for 2.9% of children included in the survey, 1.4% of whom did not take place (five newborns) – one of them by choice of the family and four because of cancellation by the health institution (Table 3). [Insert Table 3 here]</w:t>
      </w:r>
    </w:p>
    <w:p w14:paraId="5713EDB0" w14:textId="77777777" w:rsidR="005145BB" w:rsidRPr="0014236F" w:rsidRDefault="005145BB" w:rsidP="005145BB">
      <w:pPr>
        <w:spacing w:after="0" w:line="360" w:lineRule="auto"/>
        <w:ind w:firstLine="708"/>
        <w:jc w:val="both"/>
        <w:rPr>
          <w:rFonts w:ascii="Arial" w:hAnsi="Arial" w:cs="Arial"/>
          <w:lang w:val="en-US"/>
        </w:rPr>
      </w:pPr>
      <w:r w:rsidRPr="0014236F">
        <w:rPr>
          <w:rFonts w:ascii="Arial" w:hAnsi="Arial" w:cs="Arial"/>
          <w:lang w:val="en-US"/>
        </w:rPr>
        <w:t xml:space="preserve">Nearly half of parents (48.7%) strongly disagreed that the social distancing imposed by the pandemic affected their children’s’ health negatively (1 on the Likert scale), while only 4.4% strongly agreed there were negative health consequences (5 on the Likert scale). When asked to characterize these consequences in a non-mandatory question, 2517 parents described the </w:t>
      </w:r>
      <w:r w:rsidRPr="001E34F1">
        <w:rPr>
          <w:rFonts w:ascii="Arial" w:hAnsi="Arial" w:cs="Arial"/>
          <w:lang w:val="en-US"/>
        </w:rPr>
        <w:t xml:space="preserve">negative effects observed in their children. Parental concerns included psychological consequences (47.2%) </w:t>
      </w:r>
      <w:r>
        <w:rPr>
          <w:rFonts w:ascii="Arial" w:hAnsi="Arial" w:cs="Arial"/>
          <w:lang w:val="en-US"/>
        </w:rPr>
        <w:t>such as</w:t>
      </w:r>
      <w:r w:rsidRPr="001E34F1">
        <w:rPr>
          <w:rFonts w:ascii="Arial" w:hAnsi="Arial" w:cs="Arial"/>
          <w:lang w:val="en-US"/>
        </w:rPr>
        <w:t xml:space="preserve"> anxiety</w:t>
      </w:r>
      <w:r>
        <w:rPr>
          <w:rFonts w:ascii="Arial" w:hAnsi="Arial" w:cs="Arial"/>
          <w:lang w:val="en-US"/>
        </w:rPr>
        <w:t xml:space="preserve">, </w:t>
      </w:r>
      <w:r w:rsidRPr="001E34F1">
        <w:rPr>
          <w:rFonts w:ascii="Arial" w:hAnsi="Arial" w:cs="Arial"/>
          <w:lang w:val="en-US"/>
        </w:rPr>
        <w:t>the most reported negative outcome (417 children)</w:t>
      </w:r>
      <w:r>
        <w:rPr>
          <w:rFonts w:ascii="Arial" w:hAnsi="Arial" w:cs="Arial"/>
          <w:lang w:val="en-US"/>
        </w:rPr>
        <w:t>, as well as behavioral and emotional changes</w:t>
      </w:r>
      <w:r w:rsidRPr="001E34F1">
        <w:rPr>
          <w:rFonts w:ascii="Arial" w:hAnsi="Arial" w:cs="Arial"/>
          <w:lang w:val="en-US"/>
        </w:rPr>
        <w:t xml:space="preserve">; social consequences (33.6%) comprising social isolation, diminished outdoor time and augmented screen-time; health related issues (27.0%), namely the loss of </w:t>
      </w:r>
      <w:r w:rsidRPr="001E34F1">
        <w:rPr>
          <w:rFonts w:ascii="Arial" w:hAnsi="Arial" w:cs="Arial"/>
          <w:lang w:val="en-US"/>
        </w:rPr>
        <w:lastRenderedPageBreak/>
        <w:t>medical appointments and therapies considered essential; and physical health (20.6%) including</w:t>
      </w:r>
      <w:r w:rsidRPr="0014236F">
        <w:rPr>
          <w:rFonts w:ascii="Arial" w:hAnsi="Arial" w:cs="Arial"/>
          <w:lang w:val="en-US"/>
        </w:rPr>
        <w:t xml:space="preserve"> reduction of physical activity, augmented weight and alteration of eating and sleep habits. There was a significant positive correlation between the parents’ degree of concern towards the virus and the conviction of the pandemic and social distancing measures having a negative impact in their children’s health (</w:t>
      </w:r>
      <w:proofErr w:type="spellStart"/>
      <w:r w:rsidRPr="0014236F">
        <w:rPr>
          <w:rFonts w:ascii="Arial" w:hAnsi="Arial" w:cs="Arial"/>
          <w:lang w:val="en-US"/>
        </w:rPr>
        <w:t>rs</w:t>
      </w:r>
      <w:proofErr w:type="spellEnd"/>
      <w:r>
        <w:rPr>
          <w:rFonts w:ascii="Arial" w:hAnsi="Arial" w:cs="Arial"/>
          <w:lang w:val="en-US"/>
        </w:rPr>
        <w:t xml:space="preserve"> </w:t>
      </w:r>
      <w:r w:rsidRPr="0014236F">
        <w:rPr>
          <w:rFonts w:ascii="Arial" w:hAnsi="Arial" w:cs="Arial"/>
          <w:lang w:val="en-US"/>
        </w:rPr>
        <w:t>=</w:t>
      </w:r>
      <w:r>
        <w:rPr>
          <w:rFonts w:ascii="Arial" w:hAnsi="Arial" w:cs="Arial"/>
          <w:lang w:val="en-US"/>
        </w:rPr>
        <w:t xml:space="preserve"> </w:t>
      </w:r>
      <w:r w:rsidRPr="0014236F">
        <w:rPr>
          <w:rFonts w:ascii="Arial" w:hAnsi="Arial" w:cs="Arial"/>
          <w:lang w:val="en-US"/>
        </w:rPr>
        <w:t xml:space="preserve">0.054, </w:t>
      </w:r>
      <w:r w:rsidRPr="001E34F1">
        <w:rPr>
          <w:rFonts w:ascii="Arial" w:hAnsi="Arial" w:cs="Arial"/>
          <w:i/>
          <w:iCs/>
          <w:lang w:val="en-US"/>
        </w:rPr>
        <w:t>p</w:t>
      </w:r>
      <w:r>
        <w:rPr>
          <w:rFonts w:ascii="Arial" w:hAnsi="Arial" w:cs="Arial"/>
          <w:lang w:val="en-US"/>
        </w:rPr>
        <w:t xml:space="preserve"> </w:t>
      </w:r>
      <w:r w:rsidRPr="0014236F">
        <w:rPr>
          <w:rFonts w:ascii="Arial" w:hAnsi="Arial" w:cs="Arial"/>
          <w:lang w:val="en-US"/>
        </w:rPr>
        <w:t>&lt;</w:t>
      </w:r>
      <w:r>
        <w:rPr>
          <w:rFonts w:ascii="Arial" w:hAnsi="Arial" w:cs="Arial"/>
          <w:lang w:val="en-US"/>
        </w:rPr>
        <w:t xml:space="preserve"> </w:t>
      </w:r>
      <w:r w:rsidRPr="0014236F">
        <w:rPr>
          <w:rFonts w:ascii="Arial" w:hAnsi="Arial" w:cs="Arial"/>
          <w:lang w:val="en-US"/>
        </w:rPr>
        <w:t>0.001).</w:t>
      </w:r>
      <w:r>
        <w:rPr>
          <w:rFonts w:ascii="Arial" w:hAnsi="Arial" w:cs="Arial"/>
          <w:lang w:val="en-US"/>
        </w:rPr>
        <w:t xml:space="preserve"> </w:t>
      </w:r>
    </w:p>
    <w:p w14:paraId="32924B96" w14:textId="77777777" w:rsidR="005145BB" w:rsidRPr="0014236F" w:rsidRDefault="005145BB" w:rsidP="005145BB">
      <w:pPr>
        <w:spacing w:after="0" w:line="360" w:lineRule="auto"/>
        <w:rPr>
          <w:rFonts w:ascii="Arial" w:hAnsi="Arial" w:cs="Arial"/>
          <w:color w:val="4F81BD" w:themeColor="accent1"/>
          <w:lang w:val="en-US"/>
        </w:rPr>
      </w:pPr>
    </w:p>
    <w:p w14:paraId="316A7A62" w14:textId="77777777" w:rsidR="005145BB" w:rsidRPr="0014236F" w:rsidRDefault="005145BB" w:rsidP="005145BB">
      <w:pPr>
        <w:spacing w:after="0" w:line="360" w:lineRule="auto"/>
        <w:jc w:val="both"/>
        <w:rPr>
          <w:rFonts w:ascii="Arial" w:hAnsi="Arial" w:cs="Arial"/>
          <w:b/>
          <w:lang w:val="en-US"/>
        </w:rPr>
      </w:pPr>
      <w:r w:rsidRPr="0014236F">
        <w:rPr>
          <w:rFonts w:ascii="Arial" w:hAnsi="Arial" w:cs="Arial"/>
          <w:b/>
          <w:lang w:val="en-US"/>
        </w:rPr>
        <w:t>DISCUSSION</w:t>
      </w:r>
    </w:p>
    <w:p w14:paraId="5CE5C09D" w14:textId="77777777"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lang w:val="en-US"/>
        </w:rPr>
        <w:t>This study aims to describe the consequences of the Covid-19 pandemic on children’s health and use of medical care in Portugal. We gathered information concerning circa 1% of the Portuguese pediatric population, according to the national data of 2019</w:t>
      </w:r>
      <w:r w:rsidRPr="00A70D9A">
        <w:rPr>
          <w:rFonts w:ascii="Arial" w:hAnsi="Arial" w:cs="Arial"/>
          <w:lang w:val="en-US"/>
        </w:rPr>
        <w:fldChar w:fldCharType="begin" w:fldLock="1"/>
      </w:r>
      <w:r w:rsidRPr="00A70D9A">
        <w:rPr>
          <w:rFonts w:ascii="Arial" w:hAnsi="Arial" w:cs="Arial"/>
          <w:lang w:val="en-US"/>
        </w:rPr>
        <w:instrText>ADDIN CSL_CITATION {"citationItems":[{"id":"ITEM-1","itemData":{"id":"ITEM-1","issued":{"date-parts":[["0"]]},"title":"PORDATA - População residente, média anual: total e por grupo etário","type":"webpage"},"uris":["http://www.mendeley.com/documents/?uuid=a172b81f-23ee-3c1c-b6da-a8ab004d3eb9","http://www.mendeley.com/documents/?uuid=1592ef32-6656-45d1-9702-aabf12e24058"]}],"mendeley":{"formattedCitation":"&lt;sup&gt;26&lt;/sup&gt;","plainTextFormattedCitation":"26","previouslyFormattedCitation":"&lt;sup&gt;26&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26</w:t>
      </w:r>
      <w:r w:rsidRPr="00A70D9A">
        <w:rPr>
          <w:rFonts w:ascii="Arial" w:hAnsi="Arial" w:cs="Arial"/>
          <w:lang w:val="en-US"/>
        </w:rPr>
        <w:fldChar w:fldCharType="end"/>
      </w:r>
      <w:r w:rsidRPr="00A70D9A">
        <w:rPr>
          <w:rFonts w:ascii="Arial" w:hAnsi="Arial" w:cs="Arial"/>
          <w:lang w:val="en-US"/>
        </w:rPr>
        <w:t>.</w:t>
      </w:r>
    </w:p>
    <w:p w14:paraId="751B3E05" w14:textId="77777777"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lang w:val="en-US"/>
        </w:rPr>
        <w:t>The Covid-19 pandemic contributed to changes in health-behaviors concerning the pediatric population including a reduction of the use of healthcare services, as one can see by the rate of parents in our study who claim they would have visited the ED earlier, more in seeking often, or instead of other medical services for their children’s symptoms if there were no pandemic. The altered access to healthcare is further evidenced by the reduction of visits to the ED observed in several countries</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10.1016/S2352-4642(20)30108-5","ISSN":"23524642","PMID":"32278365","author":[{"dropping-particle":"","family":"Lazzerini","given":"Marzia","non-dropping-particle":"","parse-names":false,"suffix":""},{"dropping-particle":"","family":"Barbi","given":"Egidio","non-dropping-particle":"","parse-names":false,"suffix":""},{"dropping-particle":"","family":"Apicella","given":"Andrea","non-dropping-particle":"","parse-names":false,"suffix":""},{"dropping-particle":"","family":"Marchetti","given":"Federico","non-dropping-particle":"","parse-names":false,"suffix":""},{"dropping-particle":"","family":"Cardinale","given":"Fabio","non-dropping-particle":"","parse-names":false,"suffix":""},{"dropping-particle":"","family":"Trobia","given":"Gianluca","non-dropping-particle":"","parse-names":false,"suffix":""}],"container-title":"The Lancet Child and Adolescent Health","id":"ITEM-1","issue":"5","issued":{"date-parts":[["2020","5"]]},"page":"e10-e11","publisher":"Elsevier B.V.","title":"Delayed access or provision of care in Italy resulting from fear of COVID-19","type":"article","volume":"4"},"uris":["http://www.mendeley.com/documents/?uuid=20e0d5e6-b8a8-4158-86c1-2f787f443d6f","http://www.mendeley.com/documents/?uuid=218398d6-a241-39ee-9c53-a53343060d8b"]},{"id":"ITEM-2","itemData":{"DOI":"10.15585/mmwr.mm6923e1","ISSN":"0149-2195","abstract":"On March 13, 2020, the United States declared a national emergency to combat coronavirus disease 2019 (COVID-19). As the number of persons hospitalized with COVID-19 increased, early reports from Austria (1), Hong Kong (2), Italy (3), and California (4) suggested sharp drops in the numbers of persons seeking emergency medical care for other reasons. To quantify the effect of COVID-19 on U.S. emergency department (ED) visits, CDC compared the volume of ED visits during four weeks early in the pandemic March 29-April 25, 2020 (weeks 14 to 17; the early pandemic period) to that during March 31-April 27, 2019 (the comparison period). During the early pandemic period, the total number of U.S. ED visits was 42% lower than during the same period a year earlier, with the largest declines in visits in persons aged ≤14 years, females, and the Northeast region. Health messages that reinforce the importance of immediately seeking care for symptoms of serious conditions, such as myocardial infarction, are needed. To minimize SARS-CoV-2, the virus that causes COVID-19, transmission risk and address public concerns about visiting the ED during the pandemic, CDC recommends continued use of virtual visits and triage help lines and adherence to CDC infection control guidance.","author":[{"dropping-particle":"","family":"Hartnett","given":"Kathleen P.","non-dropping-particle":"","parse-names":false,"suffix":""},{"dropping-particle":"","family":"Kite-Powell","given":"Aaron","non-dropping-particle":"","parse-names":false,"suffix":""},{"dropping-particle":"","family":"DeVies","given":"Jourdan","non-dropping-particle":"","parse-names":false,"suffix":""},{"dropping-particle":"","family":"Coletta","given":"Michael A.","non-dropping-particle":"","parse-names":false,"suffix":""},{"dropping-particle":"","family":"Boehmer","given":"Tegan K.","non-dropping-particle":"","parse-names":false,"suffix":""},{"dropping-particle":"","family":"Adjemian","given":"Jennifer","non-dropping-particle":"","parse-names":false,"suffix":""},{"dropping-particle":"V.","family":"Gundlapalli","given":"Adi","non-dropping-particle":"","parse-names":false,"suffix":""}],"container-title":"MMWR. Morbidity and Mortality Weekly Report","id":"ITEM-2","issue":"23","issued":{"date-parts":[["2020","6"]]},"page":"699-704","publisher":"NLM (Medline)","title":"Impact of the COVID-19 Pandemic on Emergency Department Visits — United States, January 1, 2019–May 30, 2020","type":"article-journal","volume":"69"},"uris":["http://www.mendeley.com/documents/?uuid=73848343-b7c0-4c3e-b82d-f4636a2a1141","http://www.mendeley.com/documents/?uuid=f1feb0be-7b36-3529-9353-d65112a738c1","http://www.mendeley.com/documents/?uuid=62943d31-6c51-417f-9b71-89cebc5101d9"]},{"id":"ITEM-3","itemData":{"DOI":"10.1159/000507764","ISSN":"2504-3137","abstract":"Introduction: Since December 2019, more than 925,000 cases of COVID-19 have been reported worldwide, 8,251 cases in Portugal by the end of March. Previous studies related to the SARS pandemic showed a decrease up to 80% in the emergency care episodes. Hence, the objective of this study is to analyze the use of emergency services during the first pandemic month, compared to historical records. Methods: Data from emergency episodes in mainland Portugal, from January 2014 to March 2020, were downloaded from the National Health Service (NHS) Transparency Portal and the NHS monitoring website. The evolution of emergency services from March to September 2020 was forecasted based on historical data from January 2014 to February 2020. Information for March 2020 was forecasted globally, by the Regional Health Administration (RHA) and Manchester Triage System (MTS). Results: Compared with forecasted values, there was a 48% reduction in the number of emergency episodes in March 2020. In the analysis by the RHA, Alentejo had the smallest decrease in the number of episodes; interestingly, Alentejo is also the area with fewer COVID-19 cases in mainland Portugal. In the analysis by the MTS, the episodes classified as yellow showed the highest reduction (50%). For episodes classified as urgent, there is a difference of about 144,000 episodes during March 2020. Discussion: The results of this preliminary study are aligned with the evidence produced for previous pandemics. Data about the use of emergency services, demographic and clinical characteristics of the episodes would be relevant to analyze this reduction. Conclusion: There was a significant drop in the number of emergency service use in March 2020, and although the causes of this reduction are not determined, the association between the beginning of the pandemic and the reduction of demand is evident. Understanding this phenomenon is crucial to plan interventions to avoid unnecessary morbidities or deaths, caused by a delayed visit to the emergency department.","author":[{"dropping-particle":"","family":"Santana","given":"Rui","non-dropping-particle":"","parse-names":false,"suffix":""},{"dropping-particle":"","family":"Sousa","given":"Joana Santos","non-dropping-particle":"","parse-names":false,"suffix":""},{"dropping-particle":"","family":"Soares","given":"Patrícia","non-dropping-particle":"","parse-names":false,"suffix":""},{"dropping-particle":"","family":"Lopes","given":"Sílvia","non-dropping-particle":"","parse-names":false,"suffix":""},{"dropping-particle":"","family":"Boto","given":"Paulo","non-dropping-particle":"","parse-names":false,"suffix":""},{"dropping-particle":"","family":"Rocha","given":"João Victor","non-dropping-particle":"","parse-names":false,"suffix":""}],"container-title":"Portuguese Journal of Public Health","id":"ITEM-3","issued":{"date-parts":[["2020","4"]]},"page":"1-7","publisher":"S. Karger AG","title":"The Demand for Hospital Emergency Services: Trends during the First Month of COVID-19 Response","type":"article-journal"},"uris":["http://www.mendeley.com/documents/?uuid=383714ed-8679-407b-8695-c8a964428e99","http://www.mendeley.com/documents/?uuid=018c1fcc-36c4-3a39-870e-1a60216afc2f","http://www.mendeley.com/documents/?uuid=738f41ef-efa3-4648-acf4-9dda9ce68c66"]},{"id":"ITEM-4","itemData":{"DOI":"10.1093/eurheartj/ehaa314","ISBN":"4351250422767","author":[{"dropping-particle":"","family":"Metzler","given":"Bernhard","non-dropping-particle":"","parse-names":false,"suffix":""},{"dropping-particle":"","family":"Siostrzonek","given":"Peter","non-dropping-particle":"","parse-names":false,"suffix":""},{"dropping-particle":"","family":"Binder","given":"Ronald K","non-dropping-particle":"","parse-names":false,"suffix":""},{"dropping-particle":"","family":"Bauer","given":"Axel","non-dropping-particle":"","parse-names":false,"suffix":""},{"dropping-particle":"","family":"Reinstadler","given":"Sebastian Johannes","non-dropping-particle":"","parse-names":false,"suffix":""}],"container-title":"European Heart Journal","id":"ITEM-4","issued":{"date-parts":[["2020"]]},"page":"1852-1853","title":"Decline of acute coronary syndrome admissions in Austria since the outbreak of COVID-19: the pandemic response causes cardiac collateral damage","type":"article-journal","volume":"41"},"uris":["http://www.mendeley.com/documents/?uuid=3dbde4a0-6f02-409c-bf0c-c55b797e5cce","http://www.mendeley.com/documents/?uuid=3e440245-4a51-3fc4-8667-346a28a81f1a","http://www.mendeley.com/documents/?uuid=ec1f2a98-a579-41ba-9679-2949b7762b61"]},{"id":"ITEM-5","itemData":{"DOI":"https://catalyst.nejm.org/doi/abs/10.1056/CAT.20.0193","abstract":"Emergency department volume is down nearly 50% as the United States struggles with the Covid-19 epidemic. There is increasing evidence that patients with medical emergencies are avoiding the emergency department because of fear of contracting Covid-19, leading to increased morbidity and mortality. Here, the authors describe efforts taken in a community hospital to understand and combat this public health concern by using human-centered design. They share interview themes, the brainstorming process, and implementation of prototypes, as well as challenges faced in the early stages of implementation. They show that addressing patient fears by dividing the emergency department into respiratory and non-respiratory pods and through targeted messaging can result in increased visits to the emergency room. Time will tell if this results in improved health outcomes for community members.","author":[{"dropping-particle":"","family":"Wong","given":"Laura E","non-dropping-particle":"","parse-names":false,"suffix":""},{"dropping-particle":"","family":"Hawkins","given":"Jessica E","non-dropping-particle":"","parse-names":false,"suffix":""},{"dropping-particle":"","family":"Langness","given":"S","non-dropping-particle":"","parse-names":false,"suffix":""},{"dropping-particle":"","family":"Murrell","given":"Karen L","non-dropping-particle":"","parse-names":false,"suffix":""},{"dropping-particle":"","family":"Iris","given":"P","non-dropping-particle":"","parse-names":false,"suffix":""},{"dropping-particle":"","family":"Sammann","given":"A","non-dropping-particle":"","parse-names":false,"suffix":""}],"container-title":"NEJM Catalyst","id":"ITEM-5","issued":{"date-parts":[["2020"]]},"page":"1-12","title":"Where Are All the Patients? Addressing Covid-19 Fear to Encourage Sick Patients to Seek Emergency Care","type":"article-journal"},"uris":["http://www.mendeley.com/documents/?uuid=fe9af52e-15ad-4642-8d22-ff23242ca4b7","http://www.mendeley.com/documents/?uuid=1ce7006d-275d-43c3-99ef-4482239e696f","http://www.mendeley.com/documents/?uuid=8fc0840e-4e8d-4de0-b53f-d5f77131fb73"]}],"mendeley":{"formattedCitation":"&lt;sup&gt;9,12,16,17,19&lt;/sup&gt;","plainTextFormattedCitation":"9,12,16,17,19","previouslyFormattedCitation":"&lt;sup&gt;9,12,16,17,19&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9,12,16,17,19</w:t>
      </w:r>
      <w:r w:rsidRPr="00A70D9A">
        <w:rPr>
          <w:rFonts w:ascii="Arial" w:hAnsi="Arial" w:cs="Arial"/>
          <w:lang w:val="en-US"/>
        </w:rPr>
        <w:fldChar w:fldCharType="end"/>
      </w:r>
      <w:r w:rsidRPr="00A70D9A">
        <w:rPr>
          <w:rFonts w:ascii="Arial" w:hAnsi="Arial" w:cs="Arial"/>
          <w:lang w:val="en-US"/>
        </w:rPr>
        <w:t xml:space="preserve">. The </w:t>
      </w:r>
      <w:r w:rsidRPr="00A70D9A">
        <w:rPr>
          <w:rFonts w:ascii="Arial" w:hAnsi="Arial" w:cs="Arial"/>
          <w:i/>
          <w:iCs/>
          <w:lang w:val="en-US"/>
        </w:rPr>
        <w:t>quasi</w:t>
      </w:r>
      <w:r w:rsidRPr="00A70D9A">
        <w:rPr>
          <w:rFonts w:ascii="Arial" w:hAnsi="Arial" w:cs="Arial"/>
          <w:lang w:val="en-US"/>
        </w:rPr>
        <w:t xml:space="preserve"> simultaneous beginning of the pandemic with the decrease of ED visits seems to underline the association between the two events</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{"citationItems":[{"id":"ITEM-1","itemData":{"DOI":"10.1159/000507764","ISSN":"2504-3137","abstract":"Introduction: Since December 2019, more than 925,000 cases of COVID-19 have been reported worldwide, 8,251 cases in Portugal by the end of March. Previous studies related to the SARS pandemic showed a decrease up to 80% in the emergency care episodes. Hence, the objective of this study is to analyze the use of emergency services during the first pandemic month, compared to historical records. Methods: Data from emergency episodes in mainland Portugal, from January 2014 to March 2020, were downloaded from the National Health Service (NHS) Transparency Portal and the NHS monitoring website. The evolution of emergency services from March to September 2020 was forecasted based on historical data from January 2014 to February 2020. Information for March 2020 was forecasted globally, by the Regional Health Administration (RHA) and Manchester Triage System (MTS). Results: Compared with forecasted values, there was a 48% reduction in the number of emergency episodes in March 2020. In the analysis by the RHA, Alentejo had the smallest decrease in the number of episodes; interestingly, Alentejo is also the area with fewer COVID-19 cases in mainland Portugal. In the analysis by the MTS, the episodes classified as yellow showed the highest reduction (50%). For episodes classified as urgent, there is a difference of about 144,000 episodes during March 2020. Discussion: The results of this preliminary study are aligned with the evidence produced for previous pandemics. Data about the use of emergency services, demographic and clinical characteristics of the episodes would be relevant to analyze this reduction. Conclusion: There was a significant drop in the number of emergency service use in March 2020, and although the causes of this reduction are not determined, the association between the beginning of the pandemic and the reduction of demand is evident. Understanding this phenomenon is crucial to plan interventions to avoid unnecessary morbidities or deaths, caused by a delayed visit to the emergency department.","author":[{"dropping-particle":"","family":"Santana","given":"Rui","non-dropping-particle":"","parse-names":false,"suffix":""},{"dropping-particle":"","family":"Sousa","given":"Joana Santos","non-dropping-particle":"","parse-names":false,"suffix":""},{"dropping-particle":"","family":"Soares","given":"Patrícia","non-dropping-particle":"","parse-names":false,"suffix":""},{"dropping-particle":"","family":"Lopes","given":"Sílvia","non-dropping-particle":"","parse-names":false,"suffix":""},{"dropping-particle":"","family":"Boto","given":"Paulo","non-dropping-particle":"","parse-names":false,"suffix":""},{"dropping-particle":"","family":"Rocha","given":"João Victor","non-dropping-particle":"","parse-names":false,"suffix":""}],"container-title":"Portuguese Journal of Public Health","id":"ITEM-1","issued":{"date-parts":[["2020","4"]]},"page":"1-7","publisher":"S. Karger AG","title":"The Demand for Hospital Emergency Services: Trends during the First Month of COVID-19 Response","type":"article-journal"},"uris":["http://www.mendeley.com/documents/?uuid=383714ed-8679-407b-8695-c8a964428e99","http://www.mendeley.com/documents/?uuid=018c1fcc-36c4-3a39-870e-1a60216afc2f"]}],"mendeley":{"formattedCitation":"&lt;sup&gt;9&lt;/sup&gt;","plainTextFormattedCitation":"9","previouslyFormattedCitation":"&lt;sup&gt;9&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9</w:t>
      </w:r>
      <w:r w:rsidRPr="00A70D9A">
        <w:rPr>
          <w:rFonts w:ascii="Arial" w:hAnsi="Arial" w:cs="Arial"/>
          <w:lang w:val="en-US"/>
        </w:rPr>
        <w:fldChar w:fldCharType="end"/>
      </w:r>
      <w:r w:rsidRPr="00A70D9A">
        <w:rPr>
          <w:rFonts w:ascii="Arial" w:hAnsi="Arial" w:cs="Arial"/>
          <w:lang w:val="en-US"/>
        </w:rPr>
        <w:t>. Multiple factors seem to be involved in this alteration of the pattern of utilization of the ED. For one, children confined in the household tend to get less acute infections and traumas than when contacting with other children in school and extracurricular activities</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10.1016/S2352-4642(20)30108-5","ISSN":"23524642","PMID":"32278365","author":[{"dropping-particle":"","family":"Lazzerini","given":"Marzia","non-dropping-particle":"","parse-names":false,"suffix":""},{"dropping-particle":"","family":"Barbi","given":"Egidio","non-dropping-particle":"","parse-names":false,"suffix":""},{"dropping-particle":"","family":"Apicella","given":"Andrea","non-dropping-particle":"","parse-names":false,"suffix":""},{"dropping-particle":"","family":"Marchetti","given":"Federico","non-dropping-particle":"","parse-names":false,"suffix":""},{"dropping-particle":"","family":"Cardinale","given":"Fabio","non-dropping-particle":"","parse-names":false,"suffix":""},{"dropping-particle":"","family":"Trobia","given":"Gianluca","non-dropping-particle":"","parse-names":false,"suffix":""}],"container-title":"The Lancet Child and Adolescent Health","id":"ITEM-1","issue":"5","issued":{"date-parts":[["2020","5"]]},"page":"e10-e11","publisher":"Elsevier B.V.","title":"Delayed access or provision of care in Italy resulting from fear of COVID-19","type":"article","volume":"4"},"uris":["http://www.mendeley.com/documents/?uuid=20e0d5e6-b8a8-4158-86c1-2f787f443d6f","http://www.mendeley.com/documents/?uuid=218398d6-a241-39ee-9c53-a53343060d8b"]},{"id":"ITEM-2","itemData":{"DOI":"10.1159/000507764","ISSN":"2504-3137","abstract":"Introduction: Since December 2019, more than 925,000 cases of COVID-19 have been reported worldwide, 8,251 cases in Portugal by the end of March. Previous studies related to the SARS pandemic showed a decrease up to 80% in the emergency care episodes. Hence, the objective of this study is to analyze the use of emergency services during the first pandemic month, compared to historical records. Methods: Data from emergency episodes in mainland Portugal, from January 2014 to March 2020, were downloaded from the National Health Service (NHS) Transparency Portal and the NHS monitoring website. The evolution of emergency services from March to September 2020 was forecasted based on historical data from January 2014 to February 2020. Information for March 2020 was forecasted globally, by the Regional Health Administration (RHA) and Manchester Triage System (MTS). Results: Compared with forecasted values, there was a 48% reduction in the number of emergency episodes in March 2020. In the analysis by the RHA, Alentejo had the smallest decrease in the number of episodes; interestingly, Alentejo is also the area with fewer COVID-19 cases in mainland Portugal. In the analysis by the MTS, the episodes classified as yellow showed the highest reduction (50%). For episodes classified as urgent, there is a difference of about 144,000 episodes during March 2020. Discussion: The results of this preliminary study are aligned with the evidence produced for previous pandemics. Data about the use of emergency services, demographic and clinical characteristics of the episodes would be relevant to analyze this reduction. Conclusion: There was a significant drop in the number of emergency service use in March 2020, and although the causes of this reduction are not determined, the association between the beginning of the pandemic and the reduction of demand is evident. Understanding this phenomenon is crucial to plan interventions to avoid unnecessary morbidities or deaths, caused by a delayed visit to the emergency department.","author":[{"dropping-particle":"","family":"Santana","given":"Rui","non-dropping-particle":"","parse-names":false,"suffix":""},{"dropping-particle":"","family":"Sousa","given":"Joana Santos","non-dropping-particle":"","parse-names":false,"suffix":""},{"dropping-particle":"","family":"Soares","given":"Patrícia","non-dropping-particle":"","parse-names":false,"suffix":""},{"dropping-particle":"","family":"Lopes","given":"Sílvia","non-dropping-particle":"","parse-names":false,"suffix":""},{"dropping-particle":"","family":"Boto","given":"Paulo","non-dropping-particle":"","parse-names":false,"suffix":""},{"dropping-particle":"","family":"Rocha","given":"João Victor","non-dropping-particle":"","parse-names":false,"suffix":""}],"container-title":"Portuguese Journal of Public Health","id":"ITEM-2","issued":{"date-parts":[["2020","4"]]},"page":"1-7","publisher":"S. Karger AG","title":"The Demand for Hospital Emergency Services: Trends during the First Month of COVID-19 Response","type":"article-journal"},"uris":["http://www.mendeley.com/documents/?uuid=383714ed-8679-407b-8695-c8a964428e99","http://www.mendeley.com/documents/?uuid=018c1fcc-36c4-3a39-870e-1a60216afc2f","http://www.mendeley.com/documents/?uuid=bf036cb0-0020-4bad-a393-1f41afeb43e5"]}],"mendeley":{"formattedCitation":"&lt;sup&gt;9,12&lt;/sup&gt;","plainTextFormattedCitation":"9,12","previouslyFormattedCitation":"&lt;sup&gt;9,12&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9,12</w:t>
      </w:r>
      <w:r w:rsidRPr="00A70D9A">
        <w:rPr>
          <w:rFonts w:ascii="Arial" w:hAnsi="Arial" w:cs="Arial"/>
          <w:lang w:val="en-US"/>
        </w:rPr>
        <w:fldChar w:fldCharType="end"/>
      </w:r>
      <w:r w:rsidRPr="00A70D9A">
        <w:rPr>
          <w:rFonts w:ascii="Arial" w:hAnsi="Arial" w:cs="Arial"/>
          <w:lang w:val="en-US"/>
        </w:rPr>
        <w:t xml:space="preserve">. The </w:t>
      </w:r>
      <w:r w:rsidRPr="00A70D9A">
        <w:rPr>
          <w:rFonts w:ascii="Arial" w:hAnsi="Arial" w:cs="Arial"/>
          <w:bCs/>
          <w:lang w:val="en-US"/>
        </w:rPr>
        <w:t xml:space="preserve">natural reduction in the reasons that motivate visits to the ED is not outbalanced by children with Covid-19 seeking medical care, since most of them have </w:t>
      </w:r>
      <w:r w:rsidRPr="00A70D9A">
        <w:rPr>
          <w:rFonts w:ascii="Arial" w:hAnsi="Arial" w:cs="Arial"/>
          <w:lang w:val="en-US"/>
        </w:rPr>
        <w:t>mild symptoms and are treated at home, with no need for hospital admission</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10.15585/MMWR.MM6914E4","ISSN":"1545861X","PMID":"32271728","author":[{"dropping-particle":"","family":"Bialek","given":"Stephanie","non-dropping-particle":"","parse-names":false,"suffix":""},{"dropping-particle":"","family":"Gierke","given":"Ryan","non-dropping-particle":"","parse-names":false,"suffix":""},{"dropping-particle":"","family":"Hughes","given":"Michelle","non-dropping-particle":"","parse-names":false,"suffix":""},{"dropping-particle":"","family":"McNamara","given":"Lucy A.","non-dropping-particle":"","parse-names":false,"suffix":""},{"dropping-particle":"","family":"Pilishvili","given":"Tamara","non-dropping-particle":"","parse-names":false,"suffix":""},{"dropping-particle":"","family":"Skoff","given":"Tami","non-dropping-particle":"","parse-names":false,"suffix":""}],"container-title":"Morbidity and Mortality Weekly Report","id":"ITEM-1","issue":"14","issued":{"date-parts":[["2020","4"]]},"page":"422-426","publisher":"Department of Health and Human Services","title":"Coronavirus disease 2019 in children — United States, February 12–April 2, 2020","type":"article-journal","volume":"69"},"uris":["http://www.mendeley.com/documents/?uuid=6e823c32-db41-30dd-bc87-f5ee63b27bea","http://www.mendeley.com/documents/?uuid=9f2b62da-e451-4cad-ba60-64c676a1c049"]},{"id":"ITEM-2","itemData":{"DOI":"10.1542/peds.2020-0702","ISSN":"10984275","PMID":"32179660","abstract":"OBJECTIVE: To identify the epidemiological characteristics and transmission patterns of pediatric patients with the 2019 novel coronavirus disease (COVID-19) in China. METHODS: Nationwide case series of 2135 pediatric patients with COVID-19 reported to the Chinese Center for Disease Control and Prevention from January 16, 2020, to February 8, 2020, were included. The epidemic curves were constructed by key dates of disease onset and case diagnosis. Onset-to-diagnosis curves were constructed by fitting a log-normal distribution to data on both onset and diagnosis dates. RESULTS: There were 728 (34.1%) laboratory-confirmed cases and 1407 (65.9%) suspected cases. The median age of all patients was 7 years (interquartile range: 2-13 years), and 1208 case patients (56.6%) were boys. More than 90% of all patients had asymptomatic, mild, or moderate cases. The median time from illness onset to diagnoses was 2 days (range: 0-42 days). There was a rapid increase of disease at the early stage of the epidemic, and then there was a gradual and steady decrease. The disease rapidly spread from Hubei province to surrounding provinces over time. More children were infected in Hubei province than any other province. CONCLUSIONS: Children of all ages appeared susceptible to COVID-19, and there was no significant sex difference. Although clinical manifestations of children's COVID-19 cases were generally less severe than those of adult patients, young children, particularly infants, were vulnerable to infection. The distribution of children's COVID-19 cases varied with time and space, and most of the cases were concentrated in Hubei province and surrounding areas. Furthermore, this study provides strong evidence of human-to-human transmission.","author":[{"dropping-particle":"","family":"Dong","given":"Yuanyuan","non-dropping-particle":"","parse-names":false,"suffix":""},{"dropping-particle":"","family":"Mo","given":"Xi","non-dropping-particle":"","parse-names":false,"suffix":""},{"dropping-particle":"","family":"Hu","given":"Yabin","non-dropping-particle":"","parse-names":false,"suffix":""},{"dropping-particle":"","family":"Qi","given":"Xin","non-dropping-particle":"","parse-names":false,"suffix":""},{"dropping-particle":"","family":"Jiang","given":"Fan","non-dropping-particle":"","parse-names":false,"suffix":""},{"dropping-particle":"","family":"Jiang","given":"Zhongyi","non-dropping-particle":"","parse-names":false,"suffix":""},{"dropping-particle":"","family":"Tong","given":"Shilu","non-dropping-particle":"","parse-names":false,"suffix":""}],"container-title":"Pediatrics","id":"ITEM-2","issue":"6","issued":{"date-parts":[["2020","6"]]},"page":"20200702","publisher":"NLM (Medline)","title":"Epidemiology of COVID-19 Among Children in China","type":"article-journal","volume":"145"},"uris":["http://www.mendeley.com/documents/?uuid=4ae75b0b-4313-417d-8991-5796caeee409","http://www.mendeley.com/documents/?uuid=d519966e-d5a2-3df5-8fc0-bc6034042083"]}],"mendeley":{"formattedCitation":"&lt;sup&gt;5,27&lt;/sup&gt;","plainTextFormattedCitation":"5,27","previouslyFormattedCitation":"&lt;sup&gt;5,27&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5,27</w:t>
      </w:r>
      <w:r w:rsidRPr="00A70D9A">
        <w:rPr>
          <w:rFonts w:ascii="Arial" w:hAnsi="Arial" w:cs="Arial"/>
          <w:lang w:val="en-US"/>
        </w:rPr>
        <w:fldChar w:fldCharType="end"/>
      </w:r>
      <w:r w:rsidRPr="00A70D9A">
        <w:rPr>
          <w:rFonts w:ascii="Arial" w:hAnsi="Arial" w:cs="Arial"/>
          <w:lang w:val="en-US"/>
        </w:rPr>
        <w:t>. Nevertheless, socially isolated children continue to get ill with occasional acute infections, household traumas or exacerbations and acute presentations of chronic conditions, which might pose the need for medical observation. Parental concern about their children being exposed to Covid-19, reported to be extremely high in almost half of the parents in this study, might contribute to the reluctance of bringing their children to an ED, as has been suggest by other studies</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10.1016/S2352-4642(20)30108-5","ISSN":"23524642","PMID":"32278365","author":[{"dropping-particle":"","family":"Lazzerini","given":"Marzia","non-dropping-particle":"","parse-names":false,"suffix":""},{"dropping-particle":"","family":"Barbi","given":"Egidio","non-dropping-particle":"","parse-names":false,"suffix":""},{"dropping-particle":"","family":"Apicella","given":"Andrea","non-dropping-particle":"","parse-names":false,"suffix":""},{"dropping-particle":"","family":"Marchetti","given":"Federico","non-dropping-particle":"","parse-names":false,"suffix":""},{"dropping-particle":"","family":"Cardinale","given":"Fabio","non-dropping-particle":"","parse-names":false,"suffix":""},{"dropping-particle":"","family":"Trobia","given":"Gianluca","non-dropping-particle":"","parse-names":false,"suffix":""}],"container-title":"The Lancet Child and Adolescent Health","id":"ITEM-1","issue":"5","issued":{"date-parts":[["2020","5"]]},"page":"e10-e11","publisher":"Elsevier B.V.","title":"Delayed access or provision of care in Italy resulting from fear of COVID-19","type":"article","volume":"4"},"uris":["http://www.mendeley.com/documents/?uuid=20e0d5e6-b8a8-4158-86c1-2f787f443d6f","http://www.mendeley.com/documents/?uuid=218398d6-a241-39ee-9c53-a53343060d8b"]},{"id":"ITEM-2","itemData":{"DOI":"10.20344/amp.13928","ISSN":"16460758","PMID":"32343650","abstract":"INTRODUCTION: Portugal is experiencing the effects of the COVID-19 pandemic since March 2020. All-causes mortality in Portugal increased during March and April 2020 compared to previous years, but this increase is not explained by COVID-19 reported deaths. The aim of this study was to analyze and consider other criteria for estimating excessive all-cause mortality during the early COVID-19 pandemic period. MATERIAL AND METHODS: Public data was used to estimate excess mortality by age and region between March 1 and April 22, proposing baselines adjusted for the lockdown period. RESULTS: Despite the inherent uncertainty, it is safe to assume an observed excess mortality of 2400 to 4000 deaths. Excess mortality was associated with older age groups (over age 65). DISCUSSION: The data suggests a ternary explanation for early excess mortality: COVID-19, non-identified COVID-19 and decrease in access to healthcare. The estimates have implications in terms of communication of non-pharmaceutical actions, for research, and to healthcare professionals. CONCLUSION: The excess mortality occurred between March 1 and April 22 was 3 to 5 fold higher than what can be explained by the official COVID-19 deaths.","author":[{"dropping-particle":"","family":"Nogueira","given":"Paulo Jorge","non-dropping-particle":"","parse-names":false,"suffix":""},{"dropping-particle":"","family":"Nobre","given":"Miguel De Araújo","non-dropping-particle":"","parse-names":false,"suffix":""},{"dropping-particle":"","family":"Nicola","given":"Paulo Jorge","non-dropping-particle":"","parse-names":false,"suffix":""},{"dropping-particle":"","family":"Furtado","given":"Cristina","non-dropping-particle":"","parse-names":false,"suffix":""},{"dropping-particle":"","family":"Vaz Carneiro","given":"António","non-dropping-particle":"","parse-names":false,"suffix":""}],"container-title":"Acta medica portuguesa","id":"ITEM-2","issue":"6","issued":{"date-parts":[["2020","4"]]},"page":"376","publisher":"NLM (Medline)","title":"Excess Mortality Estimation During the COVID-19 Pandemic: Preliminary Data from Portugal","type":"article-journal","volume":"33"},"uris":["http://www.mendeley.com/documents/?uuid=2d433940-7c5b-4fe6-b2d6-79b4a808eaec","http://www.mendeley.com/documents/?uuid=bbb652bc-f1f4-3ff1-a4dc-ab727432e0a0","http://www.mendeley.com/documents/?uuid=4e62d930-6b7a-48d3-a775-4560b8369d61"]},{"id":"ITEM-3","itemData":{"DOI":"10.1159/000507764","ISSN":"2504-3137","abstract":"Introduction: Since December 2019, more than 925,000 cases of COVID-19 have been reported worldwide, 8,251 cases in Portugal by the end of March. Previous studies related to the SARS pandemic showed a decrease up to 80% in the emergency care episodes. Hence, the objective of this study is to analyze the use of emergency services during the first pandemic month, compared to historical records. Methods: Data from emergency episodes in mainland Portugal, from January 2014 to March 2020, were downloaded from the National Health Service (NHS) Transparency Portal and the NHS monitoring website. The evolution of emergency services from March to September 2020 was forecasted based on historical data from January 2014 to February 2020. Information for March 2020 was forecasted globally, by the Regional Health Administration (RHA) and Manchester Triage System (MTS). Results: Compared with forecasted values, there was a 48% reduction in the number of emergency episodes in March 2020. In the analysis by the RHA, Alentejo had the smallest decrease in the number of episodes; interestingly, Alentejo is also the area with fewer COVID-19 cases in mainland Portugal. In the analysis by the MTS, the episodes classified as yellow showed the highest reduction (50%). For episodes classified as urgent, there is a difference of about 144,000 episodes during March 2020. Discussion: The results of this preliminary study are aligned with the evidence produced for previous pandemics. Data about the use of emergency services, demographic and clinical characteristics of the episodes would be relevant to analyze this reduction. Conclusion: There was a significant drop in the number of emergency service use in March 2020, and although the causes of this reduction are not determined, the association between the beginning of the pandemic and the reduction of demand is evident. Understanding this phenomenon is crucial to plan interventions to avoid unnecessary morbidities or deaths, caused by a delayed visit to the emergency department.","author":[{"dropping-particle":"","family":"Santana","given":"Rui","non-dropping-particle":"","parse-names":false,"suffix":""},{"dropping-particle":"","family":"Sousa","given":"Joana Santos","non-dropping-particle":"","parse-names":false,"suffix":""},{"dropping-particle":"","family":"Soares","given":"Patrícia","non-dropping-particle":"","parse-names":false,"suffix":""},{"dropping-particle":"","family":"Lopes","given":"Sílvia","non-dropping-particle":"","parse-names":false,"suffix":""},{"dropping-particle":"","family":"Boto","given":"Paulo","non-dropping-particle":"","parse-names":false,"suffix":""},{"dropping-particle":"","family":"Rocha","given":"João Victor","non-dropping-particle":"","parse-names":false,"suffix":""}],"container-title":"Portuguese Journal of Public Health","id":"ITEM-3","issued":{"date-parts":[["2020","4"]]},"page":"1-7","publisher":"S. Karger AG","title":"The Demand for Hospital Emergency Services: Trends during the First Month of COVID-19 Response","type":"article-journal"},"uris":["http://www.mendeley.com/documents/?uuid=383714ed-8679-407b-8695-c8a964428e99","http://www.mendeley.com/documents/?uuid=018c1fcc-36c4-3a39-870e-1a60216afc2f","http://www.mendeley.com/documents/?uuid=26ef5821-e653-4e2c-a282-b274c70ba172"]}],"mendeley":{"formattedCitation":"&lt;sup&gt;9,12,15&lt;/sup&gt;","plainTextFormattedCitation":"9,12,15","previouslyFormattedCitation":"&lt;sup&gt;9,12,15&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9,12,15</w:t>
      </w:r>
      <w:r w:rsidRPr="00A70D9A">
        <w:rPr>
          <w:rFonts w:ascii="Arial" w:hAnsi="Arial" w:cs="Arial"/>
          <w:lang w:val="en-US"/>
        </w:rPr>
        <w:fldChar w:fldCharType="end"/>
      </w:r>
      <w:r w:rsidRPr="00A70D9A">
        <w:rPr>
          <w:rFonts w:ascii="Arial" w:hAnsi="Arial" w:cs="Arial"/>
          <w:lang w:val="en-US"/>
        </w:rPr>
        <w:t>. Some authors have pointed out the fear of “bothering the doctor” who is in the front line against Covid-19 as well as the fear of overburdening the healthcare system</w:t>
      </w:r>
      <w:r w:rsidRPr="00A70D9A">
        <w:rPr>
          <w:rFonts w:ascii="Arial" w:hAnsi="Arial" w:cs="Arial"/>
          <w:lang w:val="en-GB"/>
        </w:rPr>
        <w:t xml:space="preserve"> </w:t>
      </w:r>
      <w:r w:rsidRPr="00A70D9A">
        <w:rPr>
          <w:rFonts w:ascii="Arial" w:hAnsi="Arial" w:cs="Arial"/>
          <w:lang w:val="en-US"/>
        </w:rPr>
        <w:t>as an additional obstacle for seeking medical care</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{"citationItems":[{"id":"ITEM-1","itemData":{"DOI":"10.1056/nejmms2009984","ISSN":"0028-4793","PMID":"32302076","abstract":"The Untold Toll As the pandemic focuses medical attention on treating affected patients and protecting others from infection, how do we best care for people with non-Covid disease? Some physicians ...","author":[{"dropping-particle":"","family":"Rosenbaum","given":"Lisa","non-dropping-particle":"","parse-names":false,"suffix":""}],"container-title":"New England Journal of Medicine","id":"ITEM-1","issued":{"date-parts":[["2020","4"]]},"publisher":"Massachusetts Medical Society","title":"The Untold Toll — The Pandemic’s Effects on Patients without Covid-19","type":"article-journal"},"uris":["http://www.mendeley.com/documents/?uuid=b2dc1177-e2a8-4cec-ab7d-71d55b32fbf5","http://www.mendeley.com/documents/?uuid=cee526a4-018e-3629-a1fa-303be25c1345"]}],"mendeley":{"formattedCitation":"&lt;sup&gt;10&lt;/sup&gt;","plainTextFormattedCitation":"10","previouslyFormattedCitation":"&lt;sup&gt;10&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10</w:t>
      </w:r>
      <w:r w:rsidRPr="00A70D9A">
        <w:rPr>
          <w:rFonts w:ascii="Arial" w:hAnsi="Arial" w:cs="Arial"/>
          <w:lang w:val="en-US"/>
        </w:rPr>
        <w:fldChar w:fldCharType="end"/>
      </w:r>
      <w:r w:rsidRPr="00A70D9A">
        <w:rPr>
          <w:rFonts w:ascii="Arial" w:hAnsi="Arial" w:cs="Arial"/>
          <w:lang w:val="en-US"/>
        </w:rPr>
        <w:t>. Reports show that the delayed access to medical care has led to negative consequences in children’s health, including fatal outcomes</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10.1016/S2352-4642(20)30108-5","ISSN":"23524642","PMID":"32278365","author":[{"dropping-particle":"","family":"Lazzerini","given":"Marzia","non-dropping-particle":"","parse-names":false,"suffix":""},{"dropping-particle":"","family":"Barbi","given":"Egidio","non-dropping-particle":"","parse-names":false,"suffix":""},{"dropping-particle":"","family":"Apicella","given":"Andrea","non-dropping-particle":"","parse-names":false,"suffix":""},{"dropping-particle":"","family":"Marchetti","given":"Federico","non-dropping-particle":"","parse-names":false,"suffix":""},{"dropping-particle":"","family":"Cardinale","given":"Fabio","non-dropping-particle":"","parse-names":false,"suffix":""},{"dropping-particle":"","family":"Trobia","given":"Gianluca","non-dropping-particle":"","parse-names":false,"suffix":""}],"container-title":"The Lancet Child and Adolescent Health","id":"ITEM-1","issue":"5","issued":{"date-parts":[["2020","5"]]},"page":"e10-e11","publisher":"Elsevier B.V.","title":"Delayed access or provision of care in Italy resulting from fear of COVID-19","type":"article","volume":"4"},"uris":["http://www.mendeley.com/documents/?uuid=20e0d5e6-b8a8-4158-86c1-2f787f443d6f","http://www.mendeley.com/documents/?uuid=218398d6-a241-39ee-9c53-a53343060d8b"]},{"id":"ITEM-2","itemData":{"DOI":"10.1002/pbc.28427","ISSN":"1545-5009","author":[{"dropping-particle":"","family":"Ding","given":"Yang</w:instrText>
      </w:r>
      <w:r w:rsidRPr="00A70D9A">
        <w:rPr>
          <w:rFonts w:ascii="Cambria Math" w:hAnsi="Cambria Math" w:cs="Cambria Math"/>
          <w:lang w:val="en-US"/>
        </w:rPr>
        <w:instrText>‐</w:instrText>
      </w:r>
      <w:r w:rsidRPr="00A70D9A">
        <w:rPr>
          <w:rFonts w:ascii="Arial" w:hAnsi="Arial" w:cs="Arial"/>
          <w:lang w:val="en-US"/>
        </w:rPr>
        <w:instrText>Yang","non-dropping-particle":"","parse-names":false,"suffix":""},{"dropping-particle":"","family":"Ramakrishna","given":"Sneha","non-dropping-particle":"","parse-names":false,"suffix":""},{"dropping-particle":"","family":"Long","given":"Adrienne H.","non-dropping-particle":"","parse-names":false,"suffix":""},{"dropping-particle":"","family":"Phillips","given":"Charles A.","non-dropping-particle":"","parse-names":false,"suffix":""},{"dropping-particle":"","family":"Montiel</w:instrText>
      </w:r>
      <w:r w:rsidRPr="00A70D9A">
        <w:rPr>
          <w:rFonts w:ascii="Cambria Math" w:hAnsi="Cambria Math" w:cs="Cambria Math"/>
          <w:lang w:val="en-US"/>
        </w:rPr>
        <w:instrText>‐</w:instrText>
      </w:r>
      <w:r w:rsidRPr="00A70D9A">
        <w:rPr>
          <w:rFonts w:ascii="Arial" w:hAnsi="Arial" w:cs="Arial"/>
          <w:lang w:val="en-US"/>
        </w:rPr>
        <w:instrText>Esparza","given":"Raul","non-dropping-particle":"","parse-names":false,"suffix":""},{"dropping-particle":"","family":"Diorio","given":"Caroline J.","non-dropping-particle":"","parse-names":false,"suffix":""},{"dropping-particle":"","family":"Bailey","given":"L. Charles","non-dropping-particle":"","parse-names":false,"suffix":""},{"dropping-particle":"","family":"Maude","given":"Shannon L.","non-dropping-particle":"","parse-names":false,"suffix":""},{"dropping-particle":"","family":"Aplenc","given":"Richard","non-dropping-particle":"","parse-names":false,"suffix":""},{"dropping-particle":"","family":"Batra","given":"Vandana","non-dropping-particle":"","parse-names":false,"suffix":""},{"dropping-particle":"","family":"Reilly","given":"Anne F.","non-dropping-particle":"","parse-names":false,"suffix":""},{"dropping-particle":"","family":"Rheingold","given":"Susan R.","non-dropping-particle":"","parse-names":false,"suffix":""},{"dropping-particle":"","family":"Lacayo","given":"Norman J.","non-dropping-particle":"","parse-names":false,"suffix":""},{"dropping-particle":"","family":"Sakamoto","given":"Kathleen M.","non-dropping-particle":"","parse-names":false,"suffix":""},{"dropping-particle":"","family":"Hunger","given":"Stephen P.","non-dropping-particle":"","parse-names":false,"suffix":""}],"container-title":"Pediatric Blood &amp; Cancer","id":"ITEM-2","issued":{"date-parts":[["2020","6"]]},"title":"Delayed cancer diagnoses and high mortality in children during the COVID</w:instrText>
      </w:r>
      <w:r w:rsidRPr="00A70D9A">
        <w:rPr>
          <w:rFonts w:ascii="Cambria Math" w:hAnsi="Cambria Math" w:cs="Cambria Math"/>
          <w:lang w:val="en-US"/>
        </w:rPr>
        <w:instrText>‐</w:instrText>
      </w:r>
      <w:r w:rsidRPr="00A70D9A">
        <w:rPr>
          <w:rFonts w:ascii="Arial" w:hAnsi="Arial" w:cs="Arial"/>
          <w:lang w:val="en-US"/>
        </w:rPr>
        <w:instrText>19 pandemic","type":"article-journal"},"uris":["http://www.mendeley.com/documents/?uuid=cca944a2-56f3-485b-971f-8d53abdc8daf","http://www.mendeley.com/documents/?uuid=d6533ce4-36b8-30f6-a8f0-5660342cc66a","http://www.mendeley.com/documents/?uuid=5236333f-92d5-4b99-97eb-bfb296b459ec"]}],"mendeley":{"formattedCitation":"&lt;sup&gt;12,13&lt;/sup&gt;","plainTextFormattedCitation":"12,13","previouslyFormattedCitation":"&lt;sup&gt;12,13&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12,13</w:t>
      </w:r>
      <w:r w:rsidRPr="00A70D9A">
        <w:rPr>
          <w:rFonts w:ascii="Arial" w:hAnsi="Arial" w:cs="Arial"/>
          <w:lang w:val="en-US"/>
        </w:rPr>
        <w:fldChar w:fldCharType="end"/>
      </w:r>
      <w:r w:rsidRPr="00A70D9A">
        <w:rPr>
          <w:rFonts w:ascii="Arial" w:hAnsi="Arial" w:cs="Arial"/>
          <w:lang w:val="en-US"/>
        </w:rPr>
        <w:t xml:space="preserve">. A recently published study also evidenced that the diminished access to healthcare was one of the causing factors of the excess mortality rates reported in the Portuguese population since the beginning of the pandemic, though the group under 55 </w:t>
      </w:r>
      <w:r w:rsidRPr="00A70D9A">
        <w:rPr>
          <w:rFonts w:ascii="Arial" w:hAnsi="Arial" w:cs="Arial"/>
          <w:lang w:val="en-US"/>
        </w:rPr>
        <w:lastRenderedPageBreak/>
        <w:t>years did not contribute to the observed increase</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{"citationItems":[{"id":"ITEM-1","itemData":{"DOI":"10.20344/amp.13928","ISSN":"16460758","PMID":"32343650","abstract":"INTRODUCTION: Portugal is experiencing the effects of the COVID-19 pandemic since March 2020. All-causes mortality in Portugal increased during March and April 2020 compared to previous years, but this increase is not explained by COVID-19 reported deaths. The aim of this study was to analyze and consider other criteria for estimating excessive all-cause mortality during the early COVID-19 pandemic period. MATERIAL AND METHODS: Public data was used to estimate excess mortality by age and region between March 1 and April 22, proposing baselines adjusted for the lockdown period. RESULTS: Despite the inherent uncertainty, it is safe to assume an observed excess mortality of 2400 to 4000 deaths. Excess mortality was associated with older age groups (over age 65). DISCUSSION: The data suggests a ternary explanation for early excess mortality: COVID-19, non-identified COVID-19 and decrease in access to healthcare. The estimates have implications in terms of communication of non-pharmaceutical actions, for research, and to healthcare professionals. CONCLUSION: The excess mortality occurred between March 1 and April 22 was 3 to 5 fold higher than what can be explained by the official COVID-19 deaths.","author":[{"dropping-particle":"","family":"Nogueira","given":"Paulo Jorge","non-dropping-particle":"","parse-names":false,"suffix":""},{"dropping-particle":"","family":"Nobre","given":"Miguel De Araújo","non-dropping-particle":"","parse-names":false,"suffix":""},{"dropping-particle":"","family":"Nicola","given":"Paulo Jorge","non-dropping-particle":"","parse-names":false,"suffix":""},{"dropping-particle":"","family":"Furtado","given":"Cristina","non-dropping-particle":"","parse-names":false,"suffix":""},{"dropping-particle":"","family":"Vaz Carneiro","given":"António","non-dropping-particle":"","parse-names":false,"suffix":""}],"container-title":"Acta medica portuguesa","id":"ITEM-1","issue":"6","issued":{"date-parts":[["2020","4"]]},"page":"376","publisher":"NLM (Medline)","title":"Excess Mortality Estimation During the COVID-19 Pandemic: Preliminary Data from Portugal","type":"article-journal","volume":"33"},"uris":["http://www.mendeley.com/documents/?uuid=2d433940-7c5b-4fe6-b2d6-79b4a808eaec","http://www.mendeley.com/documents/?uuid=bbb652bc-f1f4-3ff1-a4dc-ab727432e0a0"]}],"mendeley":{"formattedCitation":"&lt;sup&gt;15&lt;/sup&gt;","plainTextFormattedCitation":"15","previouslyFormattedCitation":"&lt;sup&gt;15&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15</w:t>
      </w:r>
      <w:r w:rsidRPr="00A70D9A">
        <w:rPr>
          <w:rFonts w:ascii="Arial" w:hAnsi="Arial" w:cs="Arial"/>
          <w:lang w:val="en-US"/>
        </w:rPr>
        <w:fldChar w:fldCharType="end"/>
      </w:r>
      <w:r w:rsidRPr="00A70D9A">
        <w:rPr>
          <w:rFonts w:ascii="Arial" w:hAnsi="Arial" w:cs="Arial"/>
          <w:lang w:val="en-US"/>
        </w:rPr>
        <w:t xml:space="preserve">. Our study did not show significant association between parents who opted to postpone or not visit the ED and negative health consequences such as increased number of invasive interventions, hospital admissions, or fatal outcomes. This might suggest that, apart from all the explanations above, there is a baseline overuse of emergency care in non-pandemic times and that children’s symptoms could be handled by other healthcare services, namely the primary care setting. This is supported by the fact that Portugal is the country with the highest emergency services use </w:t>
      </w:r>
      <w:r w:rsidRPr="00A70D9A">
        <w:rPr>
          <w:rFonts w:ascii="Arial" w:hAnsi="Arial" w:cs="Arial"/>
          <w:i/>
          <w:iCs/>
          <w:lang w:val="en-US"/>
        </w:rPr>
        <w:t>per capita</w:t>
      </w:r>
      <w:r w:rsidRPr="00A70D9A">
        <w:rPr>
          <w:rFonts w:ascii="Arial" w:hAnsi="Arial" w:cs="Arial"/>
          <w:lang w:val="en-US"/>
        </w:rPr>
        <w:t xml:space="preserve"> in the Organization for Economic Cooperation and Development (OECD)</w:t>
      </w:r>
      <w:r w:rsidRPr="00A70D9A">
        <w:rPr>
          <w:rFonts w:ascii="Arial" w:hAnsi="Arial" w:cs="Arial"/>
          <w:lang w:val="en-US"/>
        </w:rPr>
        <w:fldChar w:fldCharType="begin" w:fldLock="1"/>
      </w:r>
      <w:r w:rsidRPr="00A70D9A">
        <w:rPr>
          <w:rFonts w:ascii="Arial" w:hAnsi="Arial" w:cs="Arial"/>
          <w:lang w:val="en-US"/>
        </w:rPr>
        <w:instrText>ADDIN CSL_CITATION {"citationItems":[{"id":"ITEM-1","itemData":{"author":[{"dropping-particle":"","family":"Berchet","given":"Caroline","non-dropping-particle":"","parse-names":false,"suffix":""}],"container-title":"OECD Working Paper n83","id":"ITEM-1","issued":{"date-parts":[["2015"]]},"title":"Emergency Care Services: Trends, Drivers and Interventions to Manage the Demand","type":"article-journal"},"uris":["http://www.mendeley.com/documents/?uuid=40130cd1-9d67-4403-bf39-b280c20653f9"]}],"mendeley":{"formattedCitation":"&lt;sup&gt;28&lt;/sup&gt;","plainTextFormattedCitation":"28","previouslyFormattedCitation":"&lt;sup&gt;28&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28</w:t>
      </w:r>
      <w:r w:rsidRPr="00A70D9A">
        <w:rPr>
          <w:rFonts w:ascii="Arial" w:hAnsi="Arial" w:cs="Arial"/>
          <w:lang w:val="en-US"/>
        </w:rPr>
        <w:fldChar w:fldCharType="end"/>
      </w:r>
      <w:r w:rsidRPr="00A70D9A">
        <w:rPr>
          <w:rFonts w:ascii="Arial" w:hAnsi="Arial" w:cs="Arial"/>
          <w:lang w:val="en-US"/>
        </w:rPr>
        <w:t>, representing significant numbers of inadequate utilization of this resource</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{"citationItems":[{"id":"ITEM-1","itemData":{"DOI":"10.1159/000507764","ISSN":"2504-3137","abstract":"Introduction: Since December 2019, more than 925,000 cases of COVID-19 have been reported worldwide, 8,251 cases in Portugal by the end of March. Previous studies related to the SARS pandemic showed a decrease up to 80% in the emergency care episodes. Hence, the objective of this study is to analyze the use of emergency services during the first pandemic month, compared to historical records. Methods: Data from emergency episodes in mainland Portugal, from January 2014 to March 2020, were downloaded from the National Health Service (NHS) Transparency Portal and the NHS monitoring website. The evolution of emergency services from March to September 2020 was forecasted based on historical data from January 2014 to February 2020. Information for March 2020 was forecasted globally, by the Regional Health Administration (RHA) and Manchester Triage System (MTS). Results: Compared with forecasted values, there was a 48% reduction in the number of emergency episodes in March 2020. In the analysis by the RHA, Alentejo had the smallest decrease in the number of episodes; interestingly, Alentejo is also the area with fewer COVID-19 cases in mainland Portugal. In the analysis by the MTS, the episodes classified as yellow showed the highest reduction (50%). For episodes classified as urgent, there is a difference of about 144,000 episodes during March 2020. Discussion: The results of this preliminary study are aligned with the evidence produced for previous pandemics. Data about the use of emergency services, demographic and clinical characteristics of the episodes would be relevant to analyze this reduction. Conclusion: There was a significant drop in the number of emergency service use in March 2020, and although the causes of this reduction are not determined, the association between the beginning of the pandemic and the reduction of demand is evident. Understanding this phenomenon is crucial to plan interventions to avoid unnecessary morbidities or deaths, caused by a delayed visit to the emergency department.","author":[{"dropping-particle":"","family":"Santana","given":"Rui","non-dropping-particle":"","parse-names":false,"suffix":""},{"dropping-particle":"","family":"Sousa","given":"Joana Santos","non-dropping-particle":"","parse-names":false,"suffix":""},{"dropping-particle":"","family":"Soares","given":"Patrícia","non-dropping-particle":"","parse-names":false,"suffix":""},{"dropping-particle":"","family":"Lopes","given":"Sílvia","non-dropping-particle":"","parse-names":false,"suffix":""},{"dropping-particle":"","family":"Boto","given":"Paulo","non-dropping-particle":"","parse-names":false,"suffix":""},{"dropping-particle":"","family":"Rocha","given":"João Victor","non-dropping-particle":"","parse-names":false,"suffix":""}],"container-title":"Portuguese Journal of Public Health","id":"ITEM-1","issued":{"date-parts":[["2020","4"]]},"page":"1-7","publisher":"S. Karger AG","title":"The Demand for Hospital Emergency Services: Trends during the First Month of COVID-19 Response","type":"article-journal"},"uris":["http://www.mendeley.com/documents/?uuid=383714ed-8679-407b-8695-c8a964428e99","http://www.mendeley.com/documents/?uuid=018c1fcc-36c4-3a39-870e-1a60216afc2f"]}],"mendeley":{"formattedCitation":"&lt;sup&gt;9&lt;/sup&gt;","plainTextFormattedCitation":"9","previouslyFormattedCitation":"&lt;sup&gt;9&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9</w:t>
      </w:r>
      <w:r w:rsidRPr="00A70D9A">
        <w:rPr>
          <w:rFonts w:ascii="Arial" w:hAnsi="Arial" w:cs="Arial"/>
          <w:lang w:val="en-US"/>
        </w:rPr>
        <w:fldChar w:fldCharType="end"/>
      </w:r>
      <w:r w:rsidRPr="00A70D9A">
        <w:rPr>
          <w:rFonts w:ascii="Arial" w:hAnsi="Arial" w:cs="Arial"/>
          <w:lang w:val="en-US"/>
        </w:rPr>
        <w:t>. Nevertheless, the potential danger of delayed access to medical care should not be overlooked and could impact the pediatric populations’ health in the short and long-term.</w:t>
      </w:r>
    </w:p>
    <w:p w14:paraId="312730BE" w14:textId="77777777"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lang w:val="en-US"/>
        </w:rPr>
        <w:t>Regarding the postponement or cancellation of non-urgent medical appointments, our study reveals that most scheduled consultations did not take place during the designated period, mainly by government-imposed measures or decisions from healthcare providers. A major concern is that the reduction of preventive medical care might be detrimental for non-Covid patients, especially those with chronic diseases or belonging to vulnerable groups</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{"citationItems":[{"id":"ITEM-1","itemData":{"DOI":"10.3399/bjgp20X710057","ISSN":"14785242","PMID":"32467204","abstract":"Recently the United Nations Secretary General António Guterres characterised the COVID-19 healthcare crisis as the most challenging the humanity has faced since World War Two.1 In line with primary care’s strategic role in responding to health disasters effectively,2 most of its human and material resources have been allocated in fighting this outbreak, postponing or even disregarding other patients’ needs, including the prevention and management of chronic non-communicable diseases. …","author":[{"dropping-particle":"","family":"Domeyer","given":"Philippe","non-dropping-particle":"","parse-names":false,"suffix":""},{"dropping-particle":"","family":"Katsari","given":"Vasiliki","non-dropping-particle":"","parse-names":false,"suffix":""},{"dropping-particle":"","family":"Mariolis","given":"Anargiros","non-dropping-particle":"","parse-names":false,"suffix":""}],"container-title":"The British journal of general practice : the journal of the Royal College of General Practitioners","id":"ITEM-1","issue":"695","issued":{"date-parts":[["2020","6"]]},"page":"281","publisher":"NLM (Medline)","title":"Chronic non-communicable diseases: a sacrifice on the altar of COVID-19?","type":"article","volume":"70"},"uris":["http://www.mendeley.com/documents/?uuid=1b7a43ca-3688-315f-b3fe-18d708b92bf9","http://www.mendeley.com/documents/?uuid=875ba2cb-466c-46c4-acfe-0c9604e6b103"]}],"mendeley":{"formattedCitation":"&lt;sup&gt;29&lt;/sup&gt;","plainTextFormattedCitation":"29","previouslyFormattedCitation":"&lt;sup&gt;29&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29</w:t>
      </w:r>
      <w:r w:rsidRPr="00A70D9A">
        <w:rPr>
          <w:rFonts w:ascii="Arial" w:hAnsi="Arial" w:cs="Arial"/>
          <w:lang w:val="en-US"/>
        </w:rPr>
        <w:fldChar w:fldCharType="end"/>
      </w:r>
      <w:r w:rsidRPr="00A70D9A">
        <w:rPr>
          <w:rFonts w:ascii="Arial" w:hAnsi="Arial" w:cs="Arial"/>
          <w:lang w:val="en-US"/>
        </w:rPr>
        <w:t>.  In the long term, this collateral effect of the pandemic may lead to a rise in hospital admissions, health-costs and contribute to the overburden of healthcare facilities already crowded with Covid-patients</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{"citationItems":[{"id":"ITEM-1","itemData":{"DOI":"10.3399/bjgp20X710057","ISSN":"14785242","PMID":"32467204","abstract":"Recently the United Nations Secretary General António Guterres characterised the COVID-19 healthcare crisis as the most challenging the humanity has faced since World War Two.1 In line with primary care’s strategic role in responding to health disasters effectively,2 most of its human and material resources have been allocated in fighting this outbreak, postponing or even disregarding other patients’ needs, including the prevention and management of chronic non-communicable diseases. …","author":[{"dropping-particle":"","family":"Domeyer","given":"Philippe","non-dropping-particle":"","parse-names":false,"suffix":""},{"dropping-particle":"","family":"Katsari","given":"Vasiliki","non-dropping-particle":"","parse-names":false,"suffix":""},{"dropping-particle":"","family":"Mariolis","given":"Anargiros","non-dropping-particle":"","parse-names":false,"suffix":""}],"container-title":"The British journal of general practice : the journal of the Royal College of General Practitioners","id":"ITEM-1","issue":"695","issued":{"date-parts":[["2020","6"]]},"page":"281","publisher":"NLM (Medline)","title":"Chronic non-communicable diseases: a sacrifice on the altar of COVID-19?","type":"article","volume":"70"},"uris":["http://www.mendeley.com/documents/?uuid=875ba2cb-466c-46c4-acfe-0c9604e6b103","http://www.mendeley.com/documents/?uuid=1b7a43ca-3688-315f-b3fe-18d708b92bf9"]}],"mendeley":{"formattedCitation":"&lt;sup&gt;29&lt;/sup&gt;","plainTextFormattedCitation":"29","previouslyFormattedCitation":"&lt;sup&gt;29&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29</w:t>
      </w:r>
      <w:r w:rsidRPr="00A70D9A">
        <w:rPr>
          <w:rFonts w:ascii="Arial" w:hAnsi="Arial" w:cs="Arial"/>
          <w:lang w:val="en-US"/>
        </w:rPr>
        <w:fldChar w:fldCharType="end"/>
      </w:r>
      <w:r w:rsidRPr="00A70D9A">
        <w:rPr>
          <w:rFonts w:ascii="Arial" w:hAnsi="Arial" w:cs="Arial"/>
          <w:lang w:val="en-US"/>
        </w:rPr>
        <w:t>. The significant association between medical appointments either carried out virtually or cancelled/postponed by healthcare services and parental perception of negative outcomes for their children underlines how the decision of how consultations are fulfilled could have a damaging impact on children’s health and furthermore contribute to parents’ fear of accessing to healthcare, thus aggravating the reluctance in seeking medical assistance.</w:t>
      </w:r>
    </w:p>
    <w:p w14:paraId="4785A44B" w14:textId="77777777"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lang w:val="en-US"/>
        </w:rPr>
        <w:t>The decline in vaccination coverage during the pandemic is particularly important, with 21.6% of the scheduled vaccinations in our study being missed. During the month of April 2020, the vaccine administrations of the Portuguese national vaccination program dropped to almost half the numbers of the previous year</w:t>
      </w:r>
      <w:r w:rsidRPr="00A70D9A">
        <w:rPr>
          <w:rFonts w:ascii="Arial" w:hAnsi="Arial" w:cs="Arial"/>
          <w:lang w:val="en-US"/>
        </w:rPr>
        <w:fldChar w:fldCharType="begin" w:fldLock="1"/>
      </w:r>
      <w:r w:rsidRPr="00A70D9A">
        <w:rPr>
          <w:rFonts w:ascii="Arial" w:hAnsi="Arial" w:cs="Arial"/>
          <w:lang w:val="en-US"/>
        </w:rPr>
        <w:instrText>ADDIN CSL_CITATION {"citationItems":[{"id":"ITEM-1","itemData":{"id":"ITEM-1","issued":{"date-parts":[["0"]]},"title":"Subdiretor-Geral da Saúde reforça o apelo à vacinação - COVID-19","type":"webpage"},"uris":["http://www.mendeley.com/documents/?uuid=e026c9e4-0488-4b69-b0e8-51e638367487","http://www.mendeley.com/documents/?uuid=2098a2f2-0af1-3d7c-84d6-26af3aae73b8"]}],"mendeley":{"formattedCitation":"&lt;sup&gt;20&lt;/sup&gt;","plainTextFormattedCitation":"20","previouslyFormattedCitation":"&lt;sup&gt;20&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20</w:t>
      </w:r>
      <w:r w:rsidRPr="00A70D9A">
        <w:rPr>
          <w:rFonts w:ascii="Arial" w:hAnsi="Arial" w:cs="Arial"/>
          <w:lang w:val="en-US"/>
        </w:rPr>
        <w:fldChar w:fldCharType="end"/>
      </w:r>
      <w:r w:rsidRPr="00A70D9A">
        <w:rPr>
          <w:rFonts w:ascii="Arial" w:hAnsi="Arial" w:cs="Arial"/>
          <w:lang w:val="en-US"/>
        </w:rPr>
        <w:t xml:space="preserve"> and data from several countries points to similar potentially harmful health behaviors</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{"citationItems":[{"id":"ITEM-1","itemData":{"DOI":"10.1136/bmjpo-2020-000701","abstract":"In the UK, paediatricians are increasingly concerned that parental worries over visiting healthcare centres are leading to a drop in vaccination rates and the late presentation of serious illness in children. This is likely to cause avoidable deaths and illness in the short and long term, a form of collateral damage from the COVID-19 emergency. In Italy, hospital statistics show a substantial decrease in paediatric emergency visits compared with the same time in 2018 and 2019 of between 73% and 78%.1 In April 2020, both the Clinical Commissioning Groups and the Royal College of Paediatrics and Child Health provided guidance for general practitioners and paediatricians in England that the threshold for face-to-face assessment hospital referrals in children should not change because of the COVID-19 pandemic.2 This intervention is welcome; however, we remain concerned about wider, perhaps less immediately visible collateral damage of strategies used against COVID-19 on vulnerable children. The Cambridge dictionary defines collateral damage as the ‘unintentional deaths and injuries of people who are not soldiers, and damage that is caused to their homes, hospitals, schools, etc’. In the fight against coronavirus, children are being put at risk, in order to reduce the spread of a disease that mainly causes direct harm to adults. One of the unique characteristics of the COVID-19 pandemic is the low hospitalisation and mortality rate (&lt;0.2% for teenagers).3 However, children are experiencing additional harm due to social isolation, lack of protective school placements, increased anxiety and a drop in service provision from both the National Health Service (NHS), education and social services. This is particularly true for the most vulnerable children (see Box 1). Box 1 ### Definitions of vulnerable children #### Definitions of vulnerability, taken from the children’s commissioner technical paper 2 which defines seven groups of children as vulnerable.19","author":[{"dropping-particle":"","family":"Crawley","given":"Esther","non-dropping-particle":"","parse-names":false,"suffix":""},{"dropping-particle":"","family":"Loades","given":"Maria","non-dropping-particle":"","parse-names":false,"suffix":""},{"dropping-particle":"","family":"Feder","given":"Gene","non-dropping-particle":"","parse-names":false,"suffix":""},{"dropping-particle":"","family":"Logan","given":"Stuart","non-dropping-particle":"","parse-names":false,"suffix":""},{"dropping-particle":"","family":"Redwood","given":"Sabi","non-dropping-particle":"","parse-names":false,"suffix":""},{"dropping-particle":"","family":"Macleod","given":"John","non-dropping-particle":"","parse-names":false,"suffix":""}],"container-title":"BMJ Paediatrics Open","id":"ITEM-1","issue":"1","issued":{"date-parts":[["2020","5"]]},"page":"e000701","publisher":"BMJ","title":"Wider collateral damage to children in the UK because of the social distancing measures designed to reduce the impact of COVID-19 in adults","type":"article-journal","volume":"4"},"uris":["http://www.mendeley.com/documents/?uuid=b0fbc7f8-c758-4e59-8ecb-3fb3d1e47f90","http://www.mendeley.com/documents/?uuid=73014e85-1105-323c-ae5a-76d62746f0b1"]},{"id":"ITEM-2","itemData":{"DOI":"10.15585/mmwr.mm6919e2","ISSN":"0149-2195","abstract":"On March 13, 2020, the president of the United States declared a national emergency in response to the coronavirus disease 2019 (COVID-19) pandemic (1). With reports of laboratory-confirmed cases in all 50 states by that time (2), disruptions were anticipated in the U.S. health care system's ability to continue providing routine preventive and other nonemergency care. In addition, many states and localities issued shelter-in-place or stay-at-home orders to reduce the spread of COVID-19, limiting movement outside the home to essential activities (3). On March 24, CDC posted guidance emphasizing the importance of routine well child care and immunization, particularly for children aged ≤24 months, when many childhood vaccines are recommended.","author":[{"dropping-particle":"","family":"Santoli","given":"Jeanne M.","non-dropping-particle":"","parse-names":false,"suffix":""},{"dropping-particle":"","family":"Lindley","given":"Megan C.","non-dropping-particle":"","parse-names":false,"suffix":""},{"dropping-particle":"","family":"DeSilva","given":"Malini B.","non-dropping-particle":"","parse-names":false,"suffix":""},{"dropping-particle":"","family":"Kharbanda","given":"Elyse O.","non-dropping-particle":"","parse-names":false,"suffix":""},{"dropping-particle":"","family":"Daley","given":"Matthew F.","non-dropping-particle":"","parse-names":false,"suffix":""},{"dropping-particle":"","family":"Galloway","given":"Lisa","non-dropping-particle":"","parse-names":false,"suffix":""},{"dropping-particle":"","family":"Gee","given":"Julianne","non-dropping-particle":"","parse-names":false,"suffix":""},{"dropping-particle":"","family":"Glover","given":"Mick","non-dropping-particle":"","parse-names":false,"suffix":""},{"dropping-particle":"","family":"Herring","given":"Ben","non-dropping-particle":"","parse-names":false,"suffix":""},{"dropping-particle":"","family":"Kang","given":"Yoonjae","non-dropping-particle":"","parse-names":false,"suffix":""},{"dropping-particle":"","family":"Lucas","given":"Paul","non-dropping-particle":"","parse-names":false,"suffix":""},{"dropping-particle":"","family":"Noblit","given":"Cameron","non-dropping-particle":"","parse-names":false,"suffix":""},{"dropping-particle":"","family":"Tropper","given":"Jeanne","non-dropping-particle":"","parse-names":false,"suffix":""},{"dropping-particle":"","family":"Vogt","given":"Tara","non-dropping-particle":"","parse-names":false,"suffix":""},{"dropping-particle":"","family":"Weintraub","given":"Eric","non-dropping-particle":"","parse-names":false,"suffix":""}],"container-title":"MMWR. Morbidity and Mortality Weekly Report","id":"ITEM-2","issue":"19","issued":{"date-parts":[["2020","5"]]},"page":"591-593","publisher":"NLM (Medline)","title":"Effects of the COVID-19 Pandemic on Routine Pediatric Vaccine Ordering and Administration — United States, 2020","type":"article-journal","volume":"69"},"uris":["http://www.mendeley.com/documents/?uuid=b50e8203-92f8-4e23-8180-ce3ed4e5ce0c","http://www.mendeley.com/documents/?uuid=c7649215-39bd-3462-ab7e-aa52185b8f7c","http://www.mendeley.com/documents/?uuid=e8d7a8ae-c423-481a-bcc6-79388cbbb7ab"]}],"mendeley":{"formattedCitation":"&lt;sup&gt;21,23&lt;/sup&gt;","plainTextFormattedCitation":"21,23","previouslyFormattedCitation":"&lt;sup&gt;21,23&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21,23</w:t>
      </w:r>
      <w:r w:rsidRPr="00A70D9A">
        <w:rPr>
          <w:rFonts w:ascii="Arial" w:hAnsi="Arial" w:cs="Arial"/>
          <w:lang w:val="en-US"/>
        </w:rPr>
        <w:fldChar w:fldCharType="end"/>
      </w:r>
      <w:r w:rsidRPr="00A70D9A">
        <w:rPr>
          <w:rFonts w:ascii="Arial" w:hAnsi="Arial" w:cs="Arial"/>
          <w:lang w:val="en-US"/>
        </w:rPr>
        <w:t>, posing an increased risk of outbreaks of vaccine-preventable diseases. Considering neonatal metabolic screening, which intends to diagnose genetic diseases that benefit from early treatment, five tests in our study were missed, representing 1.4% of newborns in the study. According to the national data available, neonatal screening coverage in Portugal reaches 99.5%</w:t>
      </w:r>
      <w:r w:rsidRPr="00A70D9A">
        <w:rPr>
          <w:rFonts w:ascii="Arial" w:hAnsi="Arial" w:cs="Arial"/>
          <w:lang w:val="en-US"/>
        </w:rPr>
        <w:fldChar w:fldCharType="begin" w:fldLock="1"/>
      </w:r>
      <w:r w:rsidRPr="00A70D9A">
        <w:rPr>
          <w:rFonts w:ascii="Arial" w:hAnsi="Arial" w:cs="Arial"/>
          <w:lang w:val="en-US"/>
        </w:rPr>
        <w:instrText>ADDIN CSL_CITATION {"citationItems":[{"id":"ITEM-1","itemData":{"id":"ITEM-1","issued":{"date-parts":[["0"]]},"title":"Lusa - Dados do \"teste do pezinho\" apontam para mais cerca de 500 nascimentos em 2019","type":"webpage"},"uris":["http://www.mendeley.com/documents/?uuid=ea503e62-010e-337b-9c0f-edb28dd30243","http://www.mendeley.com/documents/?uuid=b9eeddb2-1e26-414e-af1a-1cfc63e46445"]}],"mendeley":{"formattedCitation":"&lt;sup&gt;30&lt;/sup&gt;","plainTextFormattedCitation":"30","previouslyFormattedCitation":"&lt;sup&gt;30&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30</w:t>
      </w:r>
      <w:r w:rsidRPr="00A70D9A">
        <w:rPr>
          <w:rFonts w:ascii="Arial" w:hAnsi="Arial" w:cs="Arial"/>
          <w:lang w:val="en-US"/>
        </w:rPr>
        <w:fldChar w:fldCharType="end"/>
      </w:r>
      <w:r w:rsidRPr="00A70D9A">
        <w:rPr>
          <w:rFonts w:ascii="Arial" w:hAnsi="Arial" w:cs="Arial"/>
          <w:lang w:val="en-US"/>
        </w:rPr>
        <w:t>, meaning the rate in our study poses a 2.8-fold increase in missed screenings.</w:t>
      </w:r>
    </w:p>
    <w:p w14:paraId="6CFC9EB8" w14:textId="77777777"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lang w:val="en-US"/>
        </w:rPr>
        <w:lastRenderedPageBreak/>
        <w:t>Looking at the consequences of the Covid-19 pandemic on children and adolescents’ health and wellbeing, it becomes clear that a major threat for this population might lie beyond the clinical aspects of the pandemic</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{"citationItems":[{"id":"ITEM-1","itemData":{"DOI":"10.1016/S2352-4642(20)30105-X","ISSN":"23524642","PMID":"32277875","author":[{"dropping-particle":"","family":"The Lancet Child &amp; Adolescent Health","given":"","non-dropping-particle":"","parse-names":false,"suffix":""}],"container-title":"The Lancet Child and Adolescent Health","id":"ITEM-1","issue":"5","issued":{"date-parts":[["2020","5"]]},"page":"341","publisher":"Elsevier B.V.","title":"Pandemic school closures: risks and opportunities","type":"article","volume":"4"},"uris":["http://www.mendeley.com/documents/?uuid=341b7bbb-e19a-327e-8e50-19ef509d2a7f","http://www.mendeley.com/documents/?uuid=8530bcb5-6fde-4d53-b4db-fb302f8fb7e7"]}],"mendeley":{"formattedCitation":"&lt;sup&gt;31&lt;/sup&gt;","plainTextFormattedCitation":"31","previouslyFormattedCitation":"&lt;sup&gt;31&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31</w:t>
      </w:r>
      <w:r w:rsidRPr="00A70D9A">
        <w:rPr>
          <w:rFonts w:ascii="Arial" w:hAnsi="Arial" w:cs="Arial"/>
          <w:lang w:val="en-US"/>
        </w:rPr>
        <w:fldChar w:fldCharType="end"/>
      </w:r>
      <w:r w:rsidRPr="00A70D9A">
        <w:rPr>
          <w:rFonts w:ascii="Arial" w:hAnsi="Arial" w:cs="Arial"/>
          <w:lang w:val="en-US"/>
        </w:rPr>
        <w:t>. Parents in our study expressed several apprehensions in different areas of development of their children.</w:t>
      </w:r>
    </w:p>
    <w:p w14:paraId="3261F201" w14:textId="77777777"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lang w:val="en-US"/>
        </w:rPr>
        <w:t>Countries worldwide have opted for school closure in order to reduce the transmission of the virus, although the effectiveness of this measure is not entirely clear</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{"citationItems":[{"id":"ITEM-1","itemData":{"DOI":"10.1016/S2352-4642(20)30095-X","abstract":"In response to the coronavirus disease 2019 (COVID-19) pandemic, 107 countries had implemented national school closures by March 18, 2020. It is unknown whether school measures are effective in coronavirus outbreaks (eg, due to severe acute respiratory syndrome [SARS], Middle East respiratory syndrome, or COVID-19). We undertook a systematic review by searching three electronic databases to identify what is known about the effectiveness of school closures and other school social distancing practices during coronavirus outbreaks. We included 16 of 616 identified articles. School closures were deployed rapidly across mainland China and Hong Kong for COVID-19. However, there are no data on the relative contribution of school closures to transmission control. Data from the SARS outbreak in mainland China, Hong Kong, and Singapore suggest that school closures did not contribute to the control of the epidemic. Modelling studies of SARS produced conflicting results. Recent modelling studies of COVID-19 predict that school closures alone would prevent only 2-4% of deaths, much less than other social distancing interventions. Policy makers need to be aware of the equivocal evidence when considering school closures for COVID-19, and that combinations of social distancing measures should be considered. Other less disruptive social distancing interventions in schools require further consideration if restrictive social distancing policies are implemented for long periods.","author":[{"dropping-particle":"","family":"Viner","given":"Russell M","non-dropping-particle":"","parse-names":false,"suffix":""},{"dropping-particle":"","family":"Russell","given":"Simon J","non-dropping-particle":"","parse-names":false,"suffix":""},{"dropping-particle":"","family":"Croker","given":"Helen","non-dropping-particle":"","parse-names":false,"suffix":""},{"dropping-particle":"","family":"Packer","given":"Jessica","non-dropping-particle":"","parse-names":false,"suffix":""},{"dropping-particle":"","family":"Ward","given":"Joseph","non-dropping-particle":"","parse-names":false,"suffix":""},{"dropping-particle":"","family":"Stansfield","given":"Claire","non-dropping-particle":"","parse-names":false,"suffix":""},{"dropping-particle":"","family":"Mytton","given":"Oliver","non-dropping-particle":"","parse-names":false,"suffix":""},{"dropping-particle":"","family":"Bonell","given":"Chris","non-dropping-particle":"","parse-names":false,"suffix":""},{"dropping-particle":"","family":"Booy","given":"Robert","non-dropping-particle":"","parse-names":false,"suffix":""},{"dropping-particle":"","family":"Russell","given":"S J","non-dropping-particle":"","parse-names":false,"suffix":""},{"dropping-particle":"","family":"Packer Mepi","given":"J","non-dropping-particle":"","parse-names":false,"suffix":""},{"dropping-particle":"","family":"Mbbs","given":"J Ward","non-dropping-particle":"","parse-names":false,"suffix":""}],"container-title":"The Lancet child and Adolescent Health","id":"ITEM-1","issued":{"date-parts":[["2020"]]},"page":"397-404","title":"School closure and management practices during coronavirus outbreaks including COVID-19: a rapid systematic review","type":"article-journal","volume":"4"},"uris":["http://www.mendeley.com/documents/?uuid=d04011b4-524d-3816-b10e-53d9f67ad077","http://www.mendeley.com/documents/?uuid=b8f6c589-4b16-4963-aef8-46457b356483"]}],"mendeley":{"formattedCitation":"&lt;sup&gt;32&lt;/sup&gt;","plainTextFormattedCitation":"32","previouslyFormattedCitation":"&lt;sup&gt;32&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32</w:t>
      </w:r>
      <w:r w:rsidRPr="00A70D9A">
        <w:rPr>
          <w:rFonts w:ascii="Arial" w:hAnsi="Arial" w:cs="Arial"/>
          <w:lang w:val="en-US"/>
        </w:rPr>
        <w:fldChar w:fldCharType="end"/>
      </w:r>
      <w:r w:rsidRPr="00A70D9A">
        <w:rPr>
          <w:rFonts w:ascii="Arial" w:hAnsi="Arial" w:cs="Arial"/>
          <w:lang w:val="en-US"/>
        </w:rPr>
        <w:t>. The closure of schools creates enormous challenges, starting with restrictions to the learning process for children all over the world. It also seems to pose a risk of aggravating the widening gap between children of high and low-income families, since poorer households might have limited resources such as computers or internet access to maintain online learning provided by some schools</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{"citationItems":[{"id":"ITEM-1","itemData":{"DOI":"10.1136/bmjpo-2020-000701","abstract":"In the UK, paediatricians are increasingly concerned that parental worries over visiting healthcare centres are leading to a drop in vaccination rates and the late presentation of serious illness in children. This is likely to cause avoidable deaths and illness in the short and long term, a form of collateral damage from the COVID-19 emergency. In Italy, hospital statistics show a substantial decrease in paediatric emergency visits compared with the same time in 2018 and 2019 of between 73% and 78%.1 In April 2020, both the Clinical Commissioning Groups and the Royal College of Paediatrics and Child Health provided guidance for general practitioners and paediatricians in England that the threshold for face-to-face assessment hospital referrals in children should not change because of the COVID-19 pandemic.2 This intervention is welcome; however, we remain concerned about wider, perhaps less immediately visible collateral damage of strategies used against COVID-19 on vulnerable children. The Cambridge dictionary defines collateral damage as the ‘unintentional deaths and injuries of people who are not soldiers, and damage that is caused to their homes, hospitals, schools, etc’. In the fight against coronavirus, children are being put at risk, in order to reduce the spread of a disease that mainly causes direct harm to adults. One of the unique characteristics of the COVID-19 pandemic is the low hospitalisation and mortality rate (&lt;0.2% for teenagers).3 However, children are experiencing additional harm due to social isolation, lack of protective school placements, increased anxiety and a drop in service provision from both the National Health Service (NHS), education and social services. This is particularly true for the most vulnerable children (see Box 1). Box 1 ### Definitions of vulnerable children #### Definitions of vulnerability, taken from the children’s commissioner technical paper 2 which defines seven groups of children as vulnerable.19","author":[{"dropping-particle":"","family":"Crawley","given":"Esther","non-dropping-particle":"","parse-names":false,"suffix":""},{"dropping-particle":"","family":"Loades","given":"Maria","non-dropping-particle":"","parse-names":false,"suffix":""},{"dropping-particle":"","family":"Feder","given":"Gene","non-dropping-particle":"","parse-names":false,"suffix":""},{"dropping-particle":"","family":"Logan","given":"Stuart","non-dropping-particle":"","parse-names":false,"suffix":""},{"dropping-particle":"","family":"Redwood","given":"Sabi","non-dropping-particle":"","parse-names":false,"suffix":""},{"dropping-particle":"","family":"Macleod","given":"John","non-dropping-particle":"","parse-names":false,"suffix":""}],"container-title":"BMJ Paediatrics Open","id":"ITEM-1","issue":"1","issued":{"date-parts":[["2020","5"]]},"page":"e000701","publisher":"BMJ","title":"Wider collateral damage to children in the UK because of the social distancing measures designed to reduce the impact of COVID-19 in adults","type":"article-journal","volume":"4"},"uris":["http://www.mendeley.com/documents/?uuid=b0fbc7f8-c758-4e59-8ecb-3fb3d1e47f90","http://www.mendeley.com/documents/?uuid=73014e85-1105-323c-ae5a-76d62746f0b1"]}],"mendeley":{"formattedCitation":"&lt;sup&gt;23&lt;/sup&gt;","plainTextFormattedCitation":"23","previouslyFormattedCitation":"&lt;sup&gt;23&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23</w:t>
      </w:r>
      <w:r w:rsidRPr="00A70D9A">
        <w:rPr>
          <w:rFonts w:ascii="Arial" w:hAnsi="Arial" w:cs="Arial"/>
          <w:lang w:val="en-US"/>
        </w:rPr>
        <w:fldChar w:fldCharType="end"/>
      </w:r>
      <w:r w:rsidRPr="00A70D9A">
        <w:rPr>
          <w:rFonts w:ascii="Arial" w:hAnsi="Arial" w:cs="Arial"/>
          <w:lang w:val="en-US"/>
        </w:rPr>
        <w:t>. Furthermore, some of these children rely on school meals for adequate nutrition or washing facilities for adequate hygiene</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{"citationItems":[{"id":"ITEM-1","itemData":{"DOI":"10.1016/S2352-4642(20)30105-X","ISSN":"23524642","PMID":"32277875","author":[{"dropping-particle":"","family":"The Lancet Child &amp; Adolescent Health","given":"","non-dropping-particle":"","parse-names":false,"suffix":""}],"container-title":"The Lancet Child and Adolescent Health","id":"ITEM-1","issue":"5","issued":{"date-parts":[["2020","5"]]},"page":"341","publisher":"Elsevier B.V.","title":"Pandemic school closures: risks and opportunities","type":"article","volume":"4"},"uris":["http://www.mendeley.com/documents/?uuid=8530bcb5-6fde-4d53-b4db-fb302f8fb7e7","http://www.mendeley.com/documents/?uuid=341b7bbb-e19a-327e-8e50-19ef509d2a7f"]}],"mendeley":{"formattedCitation":"&lt;sup&gt;31&lt;/sup&gt;","plainTextFormattedCitation":"31","previouslyFormattedCitation":"&lt;sup&gt;31&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31</w:t>
      </w:r>
      <w:r w:rsidRPr="00A70D9A">
        <w:rPr>
          <w:rFonts w:ascii="Arial" w:hAnsi="Arial" w:cs="Arial"/>
          <w:lang w:val="en-US"/>
        </w:rPr>
        <w:fldChar w:fldCharType="end"/>
      </w:r>
      <w:r w:rsidRPr="00A70D9A">
        <w:rPr>
          <w:rFonts w:ascii="Arial" w:hAnsi="Arial" w:cs="Arial"/>
          <w:lang w:val="en-US"/>
        </w:rPr>
        <w:t>. Other vulnerable groups especially affected by school closure include children with special educational needs and disabilities, to whom the lack of daily routines and appropriate stimuli can cause an important wellbeing disruption. The fact that these children are missing their medical appointments and therapy sessions constitutes a risk for setbacks in their development and progression of essential skills</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{"citationItems":[{"id":"ITEM-1","itemData":{"DOI":"10.1016/S2352-4642(20)30109-7","ISSN":"23524642","PMID":"32302537","author":[{"dropping-particle":"","family":"Lee","given":"Joyce","non-dropping-particle":"","parse-names":false,"suffix":""}],"container-title":"The Lancet Child and Adolescent Health","id":"ITEM-1","issue":"6","issued":{"date-parts":[["2020","6"]]},"page":"421","publisher":"Elsevier B.V.","title":"Mental health effects of school closures during COVID-19","type":"article-journal","volume":"4"},"uris":["http://www.mendeley.com/documents/?uuid=1b7bd04e-a595-4bc0-ad95-9826ce1bc158","http://www.mendeley.com/documents/?uuid=e50a9db4-b9bb-383e-a977-80521c056b99"]}],"mendeley":{"formattedCitation":"&lt;sup&gt;22&lt;/sup&gt;","plainTextFormattedCitation":"22","previouslyFormattedCitation":"&lt;sup&gt;22&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22</w:t>
      </w:r>
      <w:r w:rsidRPr="00A70D9A">
        <w:rPr>
          <w:rFonts w:ascii="Arial" w:hAnsi="Arial" w:cs="Arial"/>
          <w:lang w:val="en-US"/>
        </w:rPr>
        <w:fldChar w:fldCharType="end"/>
      </w:r>
      <w:r w:rsidRPr="00A70D9A">
        <w:rPr>
          <w:rFonts w:ascii="Arial" w:hAnsi="Arial" w:cs="Arial"/>
          <w:lang w:val="en-US"/>
        </w:rPr>
        <w:t>, and is a worry expressed by parents in our study.</w:t>
      </w:r>
    </w:p>
    <w:p w14:paraId="728DDF43" w14:textId="77777777"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lang w:val="en-US"/>
        </w:rPr>
        <w:t>Other outcomes reported by parents in our study concern the reduction of physical activity, augmented weight, alteration of eat and sleep habits as well as increased sedentary activities and screen-time, as has been described by other authors</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{"citationItems":[{"id":"ITEM-1","itemData":{"DOI":"10.1111/apa.15347","ISSN":"0803-5253","abstract":"Italy has been one of the European countries that has been most affected by the COVID-19 pandemic. By 16 April 2020, 159,107 Italian residents had tested positive for COVID-19 and these included 1,123 children, up to nine years of age (0.7%) and 1,804 adolescents, aged between 10 and 19 years old (1.1%) (1). These data were in line with the case studies reported for the Chinese population, where the respective percentage (proportion) was 0.9% and 1.2% respectively (2). A five-year-old Italian child, who had been affected by many previous and unspecified pathologies, died after testing positive for COVID-19 infection (1). The lower vulnerability of the paediatric population to COVID-19 seems evident.","author":[{"dropping-particle":"","family":"Pecoraro","given":"Luca","non-dropping-particle":"","parse-names":false,"suffix":""},{"dropping-particle":"","family":"Dalle Carbonare","given":"Luca","non-dropping-particle":"","parse-names":false,"suffix":""},{"dropping-particle":"","family":"Franceschi","given":"Lucia","non-dropping-particle":"De","parse-names":false,"suffix":""},{"dropping-particle":"","family":"Piacentini","given":"Giorgio","non-dropping-particle":"","parse-names":false,"suffix":""},{"dropping-particle":"","family":"Pietrobelli","given":"Angelo","non-dropping-particle":"","parse-names":false,"suffix":""}],"container-title":"Acta Paediatrica","id":"ITEM-1","issued":{"date-parts":[["2020","6"]]},"page":"apa.15347","publisher":"Wiley","title":"The psychophysical impact that COVID</w:instrText>
      </w:r>
      <w:r w:rsidRPr="00A70D9A">
        <w:rPr>
          <w:rFonts w:ascii="Cambria Math" w:hAnsi="Cambria Math" w:cs="Cambria Math"/>
          <w:lang w:val="en-US"/>
        </w:rPr>
        <w:instrText>‐</w:instrText>
      </w:r>
      <w:r w:rsidRPr="00A70D9A">
        <w:rPr>
          <w:rFonts w:ascii="Arial" w:hAnsi="Arial" w:cs="Arial"/>
          <w:lang w:val="en-US"/>
        </w:rPr>
        <w:instrText>19 has on children must not be underestimated","type":"article-journal"},"uris":["http://www.mendeley.com/documents/?uuid=f7b07cb9-079c-499f-9b54-95a3b00fc1ec","http://www.mendeley.com/documents/?uuid=7886edd4-ce87-3cb2-8858-6c847fd11bd5"]},{"id":"ITEM-2","itemData":{"DOI":"10.1016/S2352-4642(20)30105-X","ISSN":"23524642","PMID":"32277875","author":[{"dropping-particle":"","family":"The Lancet Child &amp; Adolescent Health","given":"","non-dropping-particle":"","parse-names":false,"suffix":""}],"container-title":"The Lancet Child and Adolescent Health","id":"ITEM-2","issue":"5","issued":{"date-parts":[["2020","5"]]},"page":"341","publisher":"Elsevier B.V.","title":"Pandemic school closures: risks and opportunities","type":"article","volume":"4"},"uris":["http://www.mendeley.com/documents/?uuid=8530bcb5-6fde-4d53-b4db-fb302f8fb7e7","http://www.mendeley.com/documents/?uuid=341b7bbb-e19a-327e-8e50-19ef509d2a7f","http://www.mendeley.com/documents/?uuid=5f5c147c-25fa-424d-8a8f-122591862181"]}],"mendeley":{"formattedCitation":"&lt;sup&gt;24,31&lt;/sup&gt;","plainTextFormattedCitation":"24,31","previouslyFormattedCitation":"&lt;sup&gt;24,31&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24,31</w:t>
      </w:r>
      <w:r w:rsidRPr="00A70D9A">
        <w:rPr>
          <w:rFonts w:ascii="Arial" w:hAnsi="Arial" w:cs="Arial"/>
          <w:lang w:val="en-US"/>
        </w:rPr>
        <w:fldChar w:fldCharType="end"/>
      </w:r>
      <w:r w:rsidRPr="00A70D9A">
        <w:rPr>
          <w:rFonts w:ascii="Arial" w:hAnsi="Arial" w:cs="Arial"/>
          <w:lang w:val="en-US"/>
        </w:rPr>
        <w:t>. The disruption of daily routines and the acquired sedentary behaviors might exacerbate childhood obesity</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{"citationItems":[{"id":"ITEM-1","itemData":{"DOI":"10.1002/oby.22813","ISSN":"1930-7381","author":[{"dropping-particle":"","family":"Rundle","given":"Andrew G.","non-dropping-particle":"","parse-names":false,"suffix":""},{"dropping-particle":"","family":"Park","given":"Yoosun","non-dropping-particle":"","parse-names":false,"suffix":""},{"dropping-particle":"","family":"Herbstman","given":"Julie B.","non-dropping-particle":"","parse-names":false,"suffix":""},{"dropping-particle":"","family":"Kinsey","given":"Eliza W.","non-dropping-particle":"","parse-names":false,"suffix":""},{"dropping-particle":"","family":"Wang","given":"Y. Claire","non-dropping-particle":"","parse-names":false,"suffix":""}],"container-title":"Obesity","id":"ITEM-1","issue":"6","issued":{"date-parts":[["2020","6"]]},"page":"1008-1009","publisher":"Blackwell Publishing Inc.","title":"COVID</w:instrText>
      </w:r>
      <w:r w:rsidRPr="00A70D9A">
        <w:rPr>
          <w:rFonts w:ascii="Cambria Math" w:hAnsi="Cambria Math" w:cs="Cambria Math"/>
          <w:lang w:val="en-US"/>
        </w:rPr>
        <w:instrText>‐</w:instrText>
      </w:r>
      <w:r w:rsidRPr="00A70D9A">
        <w:rPr>
          <w:rFonts w:ascii="Arial" w:hAnsi="Arial" w:cs="Arial"/>
          <w:lang w:val="en-US"/>
        </w:rPr>
        <w:instrText>19–Related School Closings and Risk of Weight Gain Among Children","type":"article-journal","volume":"28"},"uris":["http://www.mendeley.com/documents/?uuid=f23bbbf0-c3f0-3bae-90c5-8e363624fb5f","http://www.mendeley.com/documents/?uuid=061325b5-8113-40ab-bf2a-5300eae21444"]},{"id":"ITEM-2","itemData":{"DOI":"10.1186/s13690-020-00432-z","abstract":"Faced with the spread of the SARS-CoV-2 virus, regulatory measures aiming to prevent interpersonal contaminations have been undertaken and among these, lockdown. Due to strong restrictions out-of-home movements, we hypothesize that overall physical activity will decrease and sedentary behavior increase. This could result in highest exposure to the well-known risk related to insufficient physical activity. To mitigate physical inactivity and sedentary behaviors health-related risks related to children and adolescents lockdown and school closure, Anses (French Agency for Food, Environmental and Occupational Health &amp; Safety) has adapted, within the first days of the public authorities' prescription, its former benchmarks. This paper supports and comments Anses' Opinion by raising the questions of whether, why, and how to deal with short- or medium-term lockdown-related physical inactivity and sedentary behavior increases. Short-term and unknown long term-impacts on mental health and well-being, physical fitness and eating behaviors clearly appearing for children and adolescents as being the main issues of concern are highlighted. Targeting the compensations of the physical inactivity increase, the types, frequencies and durations of physical activity, are adapted to restricted environment. Sedentary behavior limitation and frequent interruptions becomes a priority. Overall, considering children and adolescents, the emerging risk justifies proposing specific adaptations and type of activities in order to ensure maintaining health underpinned, at least partly, by physiological equilibrium and physical fitness and avoid the installation of new unhealthy habits or routines that young people could keep after lockdown.","author":[{"dropping-particle":"","family":"Margaritis","given":"Irène","non-dropping-particle":"","parse-names":false,"suffix":""},{"dropping-particle":"","family":"Houdart","given":"Sabine","non-dropping-particle":"","parse-names":false,"suffix":""},{"dropping-particle":"","family":"Ouadrhiri","given":"Youssef","non-dropping-particle":"El","parse-names":false,"suffix":""},{"dropping-particle":"","family":"Bigard","given":"Xavier","non-dropping-particle":"","parse-names":false,"suffix":""},{"dropping-particle":"","family":"Vuillemin","given":"Anne","non-dropping-particle":"","parse-names":false,"suffix":""},{"dropping-particle":"","family":"Duché","given":"Pascale","non-dropping-particle":"","parse-names":false,"suffix":""}],"container-title":"Archives of Public Health","id":"ITEM-2","issue":"1","issued":{"date-parts":[["2020","12"]]},"publisher":"Springer Science and Business Media LLC","title":"How to deal with COVID-19 epidemic-related lockdown physical inactivity and sedentary increase in youth? Adaptation of Anses’ benchmarks","type":"article-journal","volume":"78"},"uris":["http://www.mendeley.com/documents/?uuid=c906acdb-f866-38f6-824b-8a1e52ad14b8","http://www.mendeley.com/documents/?uuid=5554af0d-ea43-4c92-8735-1bee7d9e9017"]}],"mendeley":{"formattedCitation":"&lt;sup&gt;33,34&lt;/sup&gt;","plainTextFormattedCitation":"33,34","previouslyFormattedCitation":"&lt;sup&gt;33,34&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33,34</w:t>
      </w:r>
      <w:r w:rsidRPr="00A70D9A">
        <w:rPr>
          <w:rFonts w:ascii="Arial" w:hAnsi="Arial" w:cs="Arial"/>
          <w:lang w:val="en-US"/>
        </w:rPr>
        <w:fldChar w:fldCharType="end"/>
      </w:r>
      <w:r w:rsidRPr="00A70D9A">
        <w:rPr>
          <w:rFonts w:ascii="Arial" w:hAnsi="Arial" w:cs="Arial"/>
          <w:lang w:val="en-US"/>
        </w:rPr>
        <w:t>, and the establishment of unhealthy habits in the long-term can compromise future cardiovascular and musculoskeletal health</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{"citationItems":[{"id":"ITEM-1","itemData":{"DOI":"10.1016/S2352-4642(20)30105-X","ISSN":"23524642","PMID":"32277875","author":[{"dropping-particle":"","family":"The Lancet Child &amp; Adolescent Health","given":"","non-dropping-particle":"","parse-names":false,"suffix":""}],"container-title":"The Lancet Child and Adolescent Health","id":"ITEM-1","issue":"5","issued":{"date-parts":[["2020","5"]]},"page":"341","publisher":"Elsevier B.V.","title":"Pandemic school closures: risks and opportunities","type":"article","volume":"4"},"uris":["http://www.mendeley.com/documents/?uuid=8530bcb5-6fde-4d53-b4db-fb302f8fb7e7","http://www.mendeley.com/documents/?uuid=341b7bbb-e19a-327e-8e50-19ef509d2a7f"]}],"mendeley":{"formattedCitation":"&lt;sup&gt;31&lt;/sup&gt;","plainTextFormattedCitation":"31","previouslyFormattedCitation":"&lt;sup&gt;31&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31</w:t>
      </w:r>
      <w:r w:rsidRPr="00A70D9A">
        <w:rPr>
          <w:rFonts w:ascii="Arial" w:hAnsi="Arial" w:cs="Arial"/>
          <w:lang w:val="en-US"/>
        </w:rPr>
        <w:fldChar w:fldCharType="end"/>
      </w:r>
      <w:r w:rsidRPr="00A70D9A">
        <w:rPr>
          <w:rFonts w:ascii="Arial" w:hAnsi="Arial" w:cs="Arial"/>
          <w:lang w:val="en-US"/>
        </w:rPr>
        <w:t>. Furthermore, physical activity contributes positively to mental health, and can be used as a coping mechanism when facing challenges such as pandemics, leading to reduction of anxiety and depression levels</w:t>
      </w:r>
      <w:r w:rsidRPr="00A70D9A">
        <w:rPr>
          <w:rFonts w:ascii="Arial" w:hAnsi="Arial" w:cs="Arial"/>
          <w:lang w:val="en-US"/>
        </w:rPr>
        <w:fldChar w:fldCharType="begin" w:fldLock="1"/>
      </w:r>
      <w:r w:rsidRPr="00A70D9A">
        <w:rPr>
          <w:rFonts w:ascii="Arial" w:hAnsi="Arial" w:cs="Arial"/>
          <w:lang w:val="en-US"/>
        </w:rPr>
        <w:instrText>ADDIN CSL_CITATION {"citationItems":[{"id":"ITEM-1","itemData":{"container-title":"WHO","id":"ITEM-1","issued":{"date-parts":[["2010"]]},"publisher":"World Health Organization","title":"WHO | Global recommendations on physical activity for health","type":"webpage"},"uris":["http://www.mendeley.com/documents/?uuid=eb2beaeb-b18c-3ce7-92ce-8aab41672b31","http://www.mendeley.com/documents/?uuid=adfde4bb-c35c-4a9d-b087-786f46cedb6d"]},{"id":"ITEM-2","itemData":{"DOI":"10.1111/apa.15420","ISSN":"0803-5253","abstract":"Abstract The World Health Organization recommends that children and adolescents aged 5-17 should engage in at least 60 minutes of moderate to vigorous intensity physical activity a day. Physical activity is defined as bodily movement performed by skeletal muscles that demand energy expenditure. The physical benefits of this include musculoskeletal and cardiovascular health, a healthy body weight and neuromuscular awareness, for coordination and controlling movement. The psychological benefits include managing anxiety and building self-esteem, which are both important for children?s psycho-social development (1).","author":[{"dropping-particle":"","family":"Shahidi","given":"Seyed Houtan","non-dropping-particle":"","parse-names":false,"suffix":""},{"dropping-particle":"","family":"Stewart Williams","given":"Jennifer","non-dropping-particle":"","parse-names":false,"suffix":""},{"dropping-particle":"","family":"Hassani","given":"Fahimeh","non-dropping-particle":"","parse-names":false,"suffix":""}],"container-title":"Acta Paediatrica","id":"ITEM-2","issue":"n/a","issued":{"date-parts":[["2020","6"]]},"page":"apa.15420","publisher":"John Wiley &amp; Sons, Ltd","title":"Physical activity during COVID</w:instrText>
      </w:r>
      <w:r w:rsidRPr="00A70D9A">
        <w:rPr>
          <w:rFonts w:ascii="Cambria Math" w:hAnsi="Cambria Math" w:cs="Cambria Math"/>
          <w:lang w:val="en-US"/>
        </w:rPr>
        <w:instrText>‐</w:instrText>
      </w:r>
      <w:r w:rsidRPr="00A70D9A">
        <w:rPr>
          <w:rFonts w:ascii="Arial" w:hAnsi="Arial" w:cs="Arial"/>
          <w:lang w:val="en-US"/>
        </w:rPr>
        <w:instrText>19 quarantine","type":"article-journal","volume":"n/a"},"uris":["http://www.mendeley.com/documents/?uuid=93d58cc6-1ee6-31d0-bdf8-899a03736469","http://www.mendeley.com/documents/?uuid=78757e5f-9bd5-4a3b-845b-486d22fa0280"]},{"id":"ITEM-3","itemData":{"DOI":"10.1186/s13690-020-00432-z","abstract":"Faced with the spread of the SARS-CoV-2 virus, regulatory measures aiming to prevent interpersonal contaminations have been undertaken and among these, lockdown. Due to strong restrictions out-of-home movements, we hypothesize that overall physical activity will decrease and sedentary behavior increase. This could result in highest exposure to the well-known risk related to insufficient physical activity. To mitigate physical inactivity and sedentary behaviors health-related risks related to children and adolescents lockdown and school closure, Anses (French Agency for Food, Environmental and Occupational Health &amp; Safety) has adapted, within the first days of the public authorities' prescription, its former benchmarks. This paper supports and comments Anses' Opinion by raising the questions of whether, why, and how to deal with short- or medium-term lockdown-related physical inactivity and sedentary behavior increases. Short-term and unknown long term-impacts on mental health and well-being, physical fitness and eating behaviors clearly appearing for children and adolescents as being the main issues of concern are highlighted. Targeting the compensations of the physical inactivity increase, the types, frequencies and durations of physical activity, are adapted to restricted environment. Sedentary behavior limitation and frequent interruptions becomes a priority. Overall, considering children and adolescents, the emerging risk justifies proposing specific adaptations and type of activities in order to ensure maintaining health underpinned, at least partly, by physiological equilibrium and physical fitness and avoid the installation of new unhealthy habits or routines that young people could keep after lockdown.","author":[{"dropping-particle":"","family":"Margaritis","given":"Irène","non-dropping-particle":"","parse-names":false,"suffix":""},{"dropping-particle":"","family":"Houdart","given":"Sabine","non-dropping-particle":"","parse-names":false,"suffix":""},{"dropping-particle":"","family":"Ouadrhiri","given":"Youssef","non-dropping-particle":"El","parse-names":false,"suffix":""},{"dropping-particle":"","family":"Bigard","given":"Xavier","non-dropping-particle":"","parse-names":false,"suffix":""},{"dropping-particle":"","family":"Vuillemin","given":"Anne","non-dropping-particle":"","parse-names":false,"suffix":""},{"dropping-particle":"","family":"Duché","given":"Pascale","non-dropping-particle":"","parse-names":false,"suffix":""}],"container-title":"Archives of Public Health","id":"ITEM-3","issue":"1","issued":{"date-parts":[["2020","12"]]},"publisher":"Springer Science and Business Media LLC","title":"How to deal with COVID-19 epidemic-related lockdown physical inactivity and sedentary increase in youth? Adaptation of Anses’ benchmarks","type":"article-journal","volume":"78"},"uris":["http://www.mendeley.com/documents/?uuid=5554af0d-ea43-4c92-8735-1bee7d9e9017","http://www.mendeley.com/documents/?uuid=c906acdb-f866-38f6-824b-8a1e52ad14b8"]}],"mendeley":{"formattedCitation":"&lt;sup&gt;34–36&lt;/sup&gt;","plainTextFormattedCitation":"34–36","previouslyFormattedCitation":"&lt;sup&gt;34–36&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34–36</w:t>
      </w:r>
      <w:r w:rsidRPr="00A70D9A">
        <w:rPr>
          <w:rFonts w:ascii="Arial" w:hAnsi="Arial" w:cs="Arial"/>
          <w:lang w:val="en-US"/>
        </w:rPr>
        <w:fldChar w:fldCharType="end"/>
      </w:r>
      <w:r w:rsidRPr="00A70D9A">
        <w:rPr>
          <w:rFonts w:ascii="Arial" w:hAnsi="Arial" w:cs="Arial"/>
          <w:lang w:val="en-US"/>
        </w:rPr>
        <w:t>.</w:t>
      </w:r>
    </w:p>
    <w:p w14:paraId="47BAF172" w14:textId="77777777"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lang w:val="en-US"/>
        </w:rPr>
        <w:t>Mental health seems to be a major concern for parents in our study, with anxiety being the most frequently expressed preoccupation. Reasons for anxiety during pandemics include the fear of infection, frustration, boredom, lack of interaction with family members and friends, increased incidence and severity of domestic violence, abuse, and child neglect</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{"citationItems":[{"id":"ITEM-1","itemData":{"DOI":"10.1016/S2352-4642(20)30109-7","ISSN":"23524642","PMID":"32302537","author":[{"dropping-particle":"","family":"Lee","given":"Joyce","non-dropping-particle":"","parse-names":false,"suffix":""}],"container-title":"The Lancet Child and Adolescent Health","id":"ITEM-1","issue":"6","issued":{"date-parts":[["2020","6"]]},"page":"421","publisher":"Elsevier B.V.","title":"Mental health effects of school closures during COVID-19","type":"article-journal","volume":"4"},"uris":["http://www.mendeley.com/documents/?uuid=1b7bd04e-a595-4bc0-ad95-9826ce1bc158","http://www.mendeley.com/documents/?uuid=e50a9db4-b9bb-383e-a977-80521c056b99"]},{"id":"ITEM-2","itemData":{"DOI":"10.1136/bmjpo-2020-000701","abstract":"In the UK, paediatricians are increasingly concerned that parental worries over visiting healthcare centres are leading to a drop in vaccination rates and the late presentation of serious illness in children. This is likely to cause avoidable deaths and illness in the short and long term, a form of collateral damage from the COVID-19 emergency. In Italy, hospital statistics show a substantial decrease in paediatric emergency visits compared with the same time in 2018 and 2019 of between 73% and 78%.1 In April 2020, both the Clinical Commissioning Groups and the Royal College of Paediatrics and Child Health provided guidance for general practitioners and paediatricians in England that the threshold for face-to-face assessment hospital referrals in children should not change because of the COVID-19 pandemic.2 This intervention is welcome; however, we remain concerned about wider, perhaps less immediately visible collateral damage of strategies used against COVID-19 on vulnerable children. The Cambridge dictionary defines collateral damage as the ‘unintentional deaths and injuries of people who are not soldiers, and damage that is caused to their homes, hospitals, schools, etc’. In the fight against coronavirus, children are being put at risk, in order to reduce the spread of a disease that mainly causes direct harm to adults. One of the unique characteristics of the COVID-19 pandemic is the low hospitalisation and mortality rate (&lt;0.2% for teenagers).3 However, children are experiencing additional harm due to social isolation, lack of protective school placements, increased anxiety and a drop in service provision from both the National Health Service (NHS), education and social services. This is particularly true for the most vulnerable children (see Box 1). Box 1 ### Definitions of vulnerable children #### Definitions of vulnerability, taken from the children’s commissioner technical paper 2 which defines seven groups of children as vulnerable.19","author":[{"dropping-particle":"","family":"Crawley","given":"Esther","non-dropping-particle":"","parse-names":false,"suffix":""},{"dropping-particle":"","family":"Loades","given":"Maria","non-dropping-particle":"","parse-names":false,"suffix":""},{"dropping-particle":"","family":"Feder","given":"Gene","non-dropping-particle":"","parse-names":false,"suffix":""},{"dropping-particle":"","family":"Logan","given":"Stuart","non-dropping-particle":"","parse-names":false,"suffix":""},{"dropping-particle":"","family":"Redwood","given":"Sabi","non-dropping-particle":"","parse-names":false,"suffix":""},{"dropping-particle":"","family":"Macleod","given":"John","non-dropping-particle":"","parse-names":false,"suffix":""}],"container-title":"BMJ Paediatrics Open","id":"ITEM-2","issue":"1","issued":{"date-parts":[["2020","5"]]},"page":"e000701","publisher":"BMJ","title":"Wider collateral damage to children in the UK because of the social distancing measures designed to reduce the impact of COVID-19 in adults","type":"article-journal","volume":"4"},"uris":["http://www.mendeley.com/documents/?uuid=b0fbc7f8-c758-4e59-8ecb-3fb3d1e47f90","http://www.mendeley.com/documents/?uuid=73014e85-1105-323c-ae5a-76d62746f0b1","http://www.mendeley.com/documents/?uuid=c33f95bb-c291-4188-8d29-5bbe4c9980fe"]}],"mendeley":{"formattedCitation":"&lt;sup&gt;22,23&lt;/sup&gt;","plainTextFormattedCitation":"22,23","previouslyFormattedCitation":"&lt;sup&gt;22,23&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22,23</w:t>
      </w:r>
      <w:r w:rsidRPr="00A70D9A">
        <w:rPr>
          <w:rFonts w:ascii="Arial" w:hAnsi="Arial" w:cs="Arial"/>
          <w:lang w:val="en-US"/>
        </w:rPr>
        <w:fldChar w:fldCharType="end"/>
      </w:r>
      <w:r w:rsidRPr="00A70D9A">
        <w:rPr>
          <w:rFonts w:ascii="Arial" w:hAnsi="Arial" w:cs="Arial"/>
          <w:lang w:val="en-US"/>
        </w:rPr>
        <w:t>, and the above mentioned school closure and reduction of physical activity</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{"citationItems":[{"id":"ITEM-1","itemData":{"DOI":"10.1016/S0140-6736(20)30460-8","abstract":"The December, 2019 coronavirus disease outbreak has seen many countries ask people who have potentially come into contact with the infection to isolate themselves at home or in a dedicated quarantine facility. Decisions on how to apply quarantine should be based on the best available evidence. We did a Review of the psychological impact of quarantine using three electronic databases. Of 3166 papers found, 24 are included in this Review. Most reviewed studies reported negative psychological effects including post-traumatic stress symptoms, confusion, and anger. Stressors included longer quarantine duration, infection fears, frustration, boredom, inadequate supplies, inadequate information, financial loss, and stigma. Some researchers have suggested long-lasting effects. In situations where quarantine is deemed necessary, officials should quarantine individuals for no longer than required, provide clear rationale for quarantine and information about protocols, and ensure sufficient supplies are provided. Appeals to altruism by reminding the public about the benefits of quarantine to wider society can be favourable.","author":[{"dropping-particle":"","family":"Brooks","given":"Samantha K","non-dropping-particle":"","parse-names":false,"suffix":""},{"dropping-particle":"","family":"Webster","given":"Rebecca K","non-dropping-particle":"","parse-names":false,"suffix":""},{"dropping-particle":"","family":"Smith","given":"Louise E","non-dropping-particle":"","parse-names":false,"suffix":""},{"dropping-particle":"","family":"Woodland","given":"Lisa","non-dropping-particle":"","parse-names":false,"suffix":""},{"dropping-particle":"","family":"Wessely","given":"Simon","non-dropping-particle":"","parse-names":false,"suffix":""},{"dropping-particle":"","family":"Greenberg","given":"Neil","non-dropping-particle":"","parse-names":false,"suffix":""},{"dropping-particle":"","family":"Rubin","given":"Gideon James","non-dropping-particle":"","parse-names":false,"suffix":""}],"container-title":"The Lancet","id":"ITEM-1","issued":{"date-parts":[["2020"]]},"page":"912-920","title":"Rapid Review The psychological impact of quarantine and how to reduce it: rapid review of the evidence","type":"article-journal","volume":"395"},"uris":["http://www.mendeley.com/documents/?uuid=f4b6475b-1492-3598-97b5-af83048e2f0c","http://www.mendeley.com/documents/?uuid=20393fc9-9b3c-4d04-a9e7-410fcc21db97"]}],"mendeley":{"formattedCitation":"&lt;sup&gt;37&lt;/sup&gt;","plainTextFormattedCitation":"37","previouslyFormattedCitation":"&lt;sup&gt;37&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37</w:t>
      </w:r>
      <w:r w:rsidRPr="00A70D9A">
        <w:rPr>
          <w:rFonts w:ascii="Arial" w:hAnsi="Arial" w:cs="Arial"/>
          <w:lang w:val="en-US"/>
        </w:rPr>
        <w:fldChar w:fldCharType="end"/>
      </w:r>
      <w:r w:rsidRPr="00A70D9A">
        <w:rPr>
          <w:rFonts w:ascii="Arial" w:hAnsi="Arial" w:cs="Arial"/>
          <w:lang w:val="en-US"/>
        </w:rPr>
        <w:t>. Facing a worldwide pandemic with extraordinary and sudden routine disruptions poses a challenge for children’s resilience and coping mechanisms, and yet mental health seems to be at risk of being overlooked and not prioritized</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{"citationItems":[{"id":"ITEM-1","itemData":{"DOI":"10.1192/bjp.2019.244","ISSN":"14721465","PMID":"31718718","abstract":"The mental health of children and young people can be disproportionally affected and easily overlooked in the context of emergencies and disasters. Child and adolescent mental health services can contribute greatly to emergency preparedness, resilience and response and, ultimately, mitigate harmful effects on the most vulnerable members of society.","author":[{"dropping-particle":"","family":"Danese","given":"Andrea","non-dropping-particle":"","parse-names":false,"suffix":""},{"dropping-particle":"","family":"Smith","given":"Patrick","non-dropping-particle":"","parse-names":false,"suffix":""},{"dropping-particle":"","family":"Chitsabesan","given":"Prathiba","non-dropping-particle":"","parse-names":false,"suffix":""},{"dropping-particle":"","family":"Dubicka","given":"Bernadka","non-dropping-particle":"","parse-names":false,"suffix":""}],"container-title":"British Journal of Psychiatry","id":"ITEM-1","issue":"3","issued":{"date-parts":[["2020"]]},"page":"159-162","title":"Child and adolescent mental health amidst emergencies and disasters","type":"article-journal","volume":"216"},"uris":["http://www.mendeley.com/documents/?uuid=25bd0deb-597b-34e5-a701-e94081b101ef","http://www.mendeley.com/documents/?uuid=c26513ca-bfa0-4abf-9f25-dd5aa0f53c6b"]}],"mendeley":{"formattedCitation":"&lt;sup&gt;38&lt;/sup&gt;","plainTextFormattedCitation":"38","previouslyFormattedCitation":"&lt;sup&gt;38&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38</w:t>
      </w:r>
      <w:r w:rsidRPr="00A70D9A">
        <w:rPr>
          <w:rFonts w:ascii="Arial" w:hAnsi="Arial" w:cs="Arial"/>
          <w:lang w:val="en-US"/>
        </w:rPr>
        <w:fldChar w:fldCharType="end"/>
      </w:r>
      <w:r w:rsidRPr="00A70D9A">
        <w:rPr>
          <w:rFonts w:ascii="Arial" w:hAnsi="Arial" w:cs="Arial"/>
          <w:lang w:val="en-US"/>
        </w:rPr>
        <w:t xml:space="preserve">. When comparing post-traumatic stress responses in children who were quarantined during pandemics and others who were not, the mean scores for post-traumatic stress disorders </w:t>
      </w:r>
      <w:r w:rsidRPr="00A70D9A">
        <w:rPr>
          <w:rFonts w:ascii="Arial" w:hAnsi="Arial" w:cs="Arial"/>
          <w:lang w:val="en-US"/>
        </w:rPr>
        <w:lastRenderedPageBreak/>
        <w:t>were found to be four times higher in children who were quarantined</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{"citationItems":[{"id":"ITEM-1","itemData":{"DOI":"10.1017/dmp.2013.22","ISSN":"19357893","PMID":"24618142","abstract":"Objectives: This study investigated the psychosocial responses of children and their parents to pandemic disasters, specifically measuring traumatic stress responses in children and parents with varying disease-containment experiences. Methods: A mixed-method approach using survey, focus groups, and interviews produced data from 398 parents. Adult respondents completed the University of California at Los Angeles Posttraumatic Stress Disorder Reaction Index (PTSD-RI) Parent Version and the PTSD Check List Civilian Version (PCL-C). Results: Disease-containment measures such as quarantine and isolation can be traumatizing to a significant portion of children and parents. Criteria for PTSD was met in 30% of isolated or quarantined children based on parental reports, and 25% of quarantined or isolated parents (based on self-reports). Conclusions: These findings indicate that pandemic disasters and subsequent disease-containment responses may create a condition that families and children find traumatic. Because pandemic disasters are unique and do not include congregate sites for prolonged support and recovery, they require specific response strategies to ensure the behavioral health needs of children and families. Pandemic planning must address these needs and disease-containment measures. (Disaster Med Public Health Preparedness. 2013;7:105-110) Copyright © Society for Disaster Medicine and Public Health, Inc. 2013.","author":[{"dropping-particle":"","family":"Sprang","given":"Ginny","non-dropping-particle":"","parse-names":false,"suffix":""},{"dropping-particle":"","family":"Silman","given":"Miriam","non-dropping-particle":"","parse-names":false,"suffix":""}],"container-title":"Disaster Medicine and Public Health Preparedness","id":"ITEM-1","issue":"1","issued":{"date-parts":[["2013","2"]]},"page":"105-110","publisher":"Cambridge University Press","title":"Posttraumatic stress disorder in parents and youth after health-related disasters","type":"article-journal","volume":"7"},"uris":["http://www.mendeley.com/documents/?uuid=f6cae5e1-4c9d-3f2a-8ebd-512b546919f4","http://www.mendeley.com/documents/?uuid=55636625-9f2e-4f28-9513-6416856d343d"]}],"mendeley":{"formattedCitation":"&lt;sup&gt;39&lt;/sup&gt;","plainTextFormattedCitation":"39","previouslyFormattedCitation":"&lt;sup&gt;39&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39</w:t>
      </w:r>
      <w:r w:rsidRPr="00A70D9A">
        <w:rPr>
          <w:rFonts w:ascii="Arial" w:hAnsi="Arial" w:cs="Arial"/>
          <w:lang w:val="en-US"/>
        </w:rPr>
        <w:fldChar w:fldCharType="end"/>
      </w:r>
      <w:r w:rsidRPr="00A70D9A">
        <w:rPr>
          <w:rFonts w:ascii="Arial" w:hAnsi="Arial" w:cs="Arial"/>
          <w:lang w:val="en-US"/>
        </w:rPr>
        <w:t>. The long-term effects of these unprecedented social distancing measures on children’s mental health is yet to be determined, and the possible psychological costs should be taken into consideration when imposing these measures</w:t>
      </w:r>
      <w:r w:rsidRPr="00A70D9A">
        <w:rPr>
          <w:rFonts w:ascii="Arial" w:hAnsi="Arial" w:cs="Arial"/>
          <w:lang w:val="en-US"/>
        </w:rPr>
        <w:fldChar w:fldCharType="begin" w:fldLock="1"/>
      </w:r>
      <w:r w:rsidRPr="00A70D9A">
        <w:rPr>
          <w:rFonts w:ascii="Arial" w:hAnsi="Arial" w:cs="Arial"/>
          <w:lang w:val="en-US"/>
        </w:rPr>
        <w:instrText>ADDIN CSL_CITATION {"citationItems":[{"id":"ITEM-1","itemData":{"DOI":"10.1016/S2352-4642(20)30109-7","ISSN":"23524642","PMID":"32302537","author":[{"dropping-particle":"","family":"Lee","given":"Joyce","non-dropping-particle":"","parse-names":false,"suffix":""}],"container-title":"The Lancet Child and Adolescent Health","id":"ITEM-1","issue":"6","issued":{"date-parts":[["2020","6"]]},"page":"421","publisher":"Elsevier B.V.","title":"Mental health effects of school closures during COVID-19","type":"article-journal","volume":"4"},"uris":["http://www.mendeley.com/documents/?uuid=1b7bd04e-a595-4bc0-ad95-9826ce1bc158","http://www.mendeley.com/documents/?uuid=e50a9db4-b9bb-383e-a977-80521c056b99"]},{"id":"ITEM-2","itemData":{"DOI":"10.1016/S0140-6736(20)30460-8","abstract":"The December, 2019 coronavirus disease outbreak has seen many countries ask people who have potentially come into contact with the infection to isolate themselves at home or in a dedicated quarantine facility. Decisions on how to apply quarantine should be based on the best available evidence. We did a Review of the psychological impact of quarantine using three electronic databases. Of 3166 papers found, 24 are included in this Review. Most reviewed studies reported negative psychological effects including post-traumatic stress symptoms, confusion, and anger. Stressors included longer quarantine duration, infection fears, frustration, boredom, inadequate supplies, inadequate information, financial loss, and stigma. Some researchers have suggested long-lasting effects. In situations where quarantine is deemed necessary, officials should quarantine individuals for no longer than required, provide clear rationale for quarantine and information about protocols, and ensure sufficient supplies are provided. Appeals to altruism by reminding the public about the benefits of quarantine to wider society can be favourable.","author":[{"dropping-particle":"","family":"Brooks","given":"Samantha K","non-dropping-particle":"","parse-names":false,"suffix":""},{"dropping-particle":"","family":"Webster","given":"Rebecca K","non-dropping-particle":"","parse-names":false,"suffix":""},{"dropping-particle":"","family":"Smith","given":"Louise E","non-dropping-particle":"","parse-names":false,"suffix":""},{"dropping-particle":"","family":"Woodland","given":"Lisa","non-dropping-particle":"","parse-names":false,"suffix":""},{"dropping-particle":"","family":"Wessely","given":"Simon","non-dropping-particle":"","parse-names":false,"suffix":""},{"dropping-particle":"","family":"Greenberg","given":"Neil","non-dropping-particle":"","parse-names":false,"suffix":""},{"dropping-particle":"","family":"Rubin","given":"Gideon James","non-dropping-particle":"","parse-names":false,"suffix":""}],"container-title":"The Lancet","id":"ITEM-2","issued":{"date-parts":[["2020"]]},"page":"912-920","title":"Rapid Review The psychological impact of quarantine and how to reduce it: rapid review of the evidence","type":"article-journal","volume":"395"},"uris":["http://www.mendeley.com/documents/?uuid=20393fc9-9b3c-4d04-a9e7-410fcc21db97","http://www.mendeley.com/documents/?uuid=f4b6475b-1492-3598-97b5-af83048e2f0c","http://www.mendeley.com/documents/?uuid=8cb84624-e9af-4ba8-b2d6-3b5a203e7de8"]}],"mendeley":{"formattedCitation":"&lt;sup&gt;22,37&lt;/sup&gt;","plainTextFormattedCitation":"22,37","previouslyFormattedCitation":"&lt;sup&gt;22,37&lt;/sup&gt;"},"properties":{"noteIndex":0},"schema":"https://github.com/citation-style-language/schema/raw/master/csl-citation.json"}</w:instrText>
      </w:r>
      <w:r w:rsidRPr="00A70D9A">
        <w:rPr>
          <w:rFonts w:ascii="Arial" w:hAnsi="Arial" w:cs="Arial"/>
          <w:lang w:val="en-US"/>
        </w:rPr>
        <w:fldChar w:fldCharType="separate"/>
      </w:r>
      <w:r w:rsidRPr="00A70D9A">
        <w:rPr>
          <w:rFonts w:ascii="Arial" w:hAnsi="Arial" w:cs="Arial"/>
          <w:noProof/>
          <w:vertAlign w:val="superscript"/>
          <w:lang w:val="en-US"/>
        </w:rPr>
        <w:t>22,37</w:t>
      </w:r>
      <w:r w:rsidRPr="00A70D9A">
        <w:rPr>
          <w:rFonts w:ascii="Arial" w:hAnsi="Arial" w:cs="Arial"/>
          <w:lang w:val="en-US"/>
        </w:rPr>
        <w:fldChar w:fldCharType="end"/>
      </w:r>
      <w:r w:rsidRPr="00A70D9A">
        <w:rPr>
          <w:rFonts w:ascii="Arial" w:hAnsi="Arial" w:cs="Arial"/>
          <w:lang w:val="en-US"/>
        </w:rPr>
        <w:t>.</w:t>
      </w:r>
    </w:p>
    <w:p w14:paraId="69CD6FAA" w14:textId="77777777"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lang w:val="en-US"/>
        </w:rPr>
        <w:t xml:space="preserve">There are some limitations to our study. Information was gathered via parental recall, which might introduce bias for various reasons, including subjective perception and accuracy of memory. The fact that parents with more than one child submitted a single questionnaire for all their children might hinder the analysis of data, especially when concerning vaccination coverage. By collecting data through an online survey, our inquiry might not have reached the social fringes, since internet access is not transversal to all social strata. Additionally, the dissemination of the survey through social networks poses a risk of biased selection of participants, excluding non-users of those networks. Moreover, Portuguese districts were not portrayed in a representative proportion, with over-representation of major cities. The fact that the study was conducted for a brief </w:t>
      </w:r>
      <w:proofErr w:type="gramStart"/>
      <w:r w:rsidRPr="00A70D9A">
        <w:rPr>
          <w:rFonts w:ascii="Arial" w:hAnsi="Arial" w:cs="Arial"/>
          <w:lang w:val="en-US"/>
        </w:rPr>
        <w:t>period of time</w:t>
      </w:r>
      <w:proofErr w:type="gramEnd"/>
      <w:r w:rsidRPr="00A70D9A">
        <w:rPr>
          <w:rFonts w:ascii="Arial" w:hAnsi="Arial" w:cs="Arial"/>
          <w:lang w:val="en-US"/>
        </w:rPr>
        <w:t xml:space="preserve"> potentially biased the responses according to the pandemic-related events during the designated period. </w:t>
      </w:r>
    </w:p>
    <w:p w14:paraId="0941B104" w14:textId="77777777" w:rsidR="005145BB" w:rsidRPr="00A70D9A" w:rsidRDefault="005145BB" w:rsidP="005145BB">
      <w:pPr>
        <w:spacing w:after="0" w:line="360" w:lineRule="auto"/>
        <w:ind w:firstLine="708"/>
        <w:jc w:val="both"/>
        <w:rPr>
          <w:rFonts w:ascii="Arial" w:hAnsi="Arial" w:cs="Arial"/>
          <w:lang w:val="en-US"/>
        </w:rPr>
      </w:pPr>
    </w:p>
    <w:p w14:paraId="38309B47" w14:textId="77777777" w:rsidR="005145BB" w:rsidRPr="00A70D9A" w:rsidRDefault="005145BB" w:rsidP="005145BB">
      <w:pPr>
        <w:spacing w:after="0" w:line="360" w:lineRule="auto"/>
        <w:rPr>
          <w:rFonts w:ascii="Arial" w:hAnsi="Arial" w:cs="Arial"/>
          <w:b/>
          <w:lang w:val="en-US"/>
        </w:rPr>
      </w:pPr>
      <w:r w:rsidRPr="00A70D9A">
        <w:rPr>
          <w:rFonts w:ascii="Arial" w:hAnsi="Arial" w:cs="Arial"/>
          <w:b/>
          <w:lang w:val="en-US"/>
        </w:rPr>
        <w:t>CONCLUSION</w:t>
      </w:r>
    </w:p>
    <w:p w14:paraId="3BC1CECE" w14:textId="5C53E4D6" w:rsidR="005145BB" w:rsidRPr="00A70D9A" w:rsidRDefault="005145BB" w:rsidP="005145BB">
      <w:pPr>
        <w:spacing w:after="0" w:line="360" w:lineRule="auto"/>
        <w:ind w:firstLine="708"/>
        <w:jc w:val="both"/>
        <w:rPr>
          <w:rFonts w:ascii="Arial" w:hAnsi="Arial" w:cs="Arial"/>
          <w:lang w:val="en-US"/>
        </w:rPr>
      </w:pPr>
      <w:r w:rsidRPr="00A70D9A">
        <w:rPr>
          <w:rFonts w:ascii="Arial" w:hAnsi="Arial" w:cs="Arial"/>
          <w:lang w:val="en-US"/>
        </w:rPr>
        <w:t xml:space="preserve">In summary, the impact of the Covid-19 pandemic on children’s health includes a change in the use of healthcare services as well as psychological, </w:t>
      </w:r>
      <w:proofErr w:type="gramStart"/>
      <w:r w:rsidRPr="00A70D9A">
        <w:rPr>
          <w:rFonts w:ascii="Arial" w:hAnsi="Arial" w:cs="Arial"/>
          <w:lang w:val="en-US"/>
        </w:rPr>
        <w:t>social</w:t>
      </w:r>
      <w:proofErr w:type="gramEnd"/>
      <w:r w:rsidRPr="00A70D9A">
        <w:rPr>
          <w:rFonts w:ascii="Arial" w:hAnsi="Arial" w:cs="Arial"/>
          <w:lang w:val="en-US"/>
        </w:rPr>
        <w:t xml:space="preserve"> and physical consequences pointed out by parents that should not be overlooked. The future course of the pandemic is uncertain, as is the reorganization of medical services to face this challenge. Studies to be carried out hereafter will be </w:t>
      </w:r>
      <w:r w:rsidR="006D1F21" w:rsidRPr="006D1F21">
        <w:rPr>
          <w:rFonts w:ascii="Arial" w:hAnsi="Arial" w:cs="Arial"/>
          <w:color w:val="4F81BD" w:themeColor="accent1"/>
          <w:lang w:val="en-US"/>
        </w:rPr>
        <w:t>necessary</w:t>
      </w:r>
      <w:r w:rsidRPr="006D1F21">
        <w:rPr>
          <w:rFonts w:ascii="Arial" w:hAnsi="Arial" w:cs="Arial"/>
          <w:color w:val="4F81BD" w:themeColor="accent1"/>
          <w:lang w:val="en-US"/>
        </w:rPr>
        <w:t xml:space="preserve"> </w:t>
      </w:r>
      <w:r w:rsidRPr="00A70D9A">
        <w:rPr>
          <w:rFonts w:ascii="Arial" w:hAnsi="Arial" w:cs="Arial"/>
          <w:lang w:val="en-US"/>
        </w:rPr>
        <w:t xml:space="preserve">to better understand the consequences of decreased ED visits, allowing for interventions to avoid potentially negative health outcomes. Efforts should be made to clearly communicate to patients the recommendation of not postponing urgent medical evaluations. Simultaneously, safety conditions must be ensured in healthcare facilities to minimize the risk of exposure to the novel coronavirus to a minimum, protecting patients and healthcare workers and restoring confidence in seeking medical care. It should be a public health priority to compel parents to vaccinate their children and create pathways to allow vaccination without risk of Covid-19 exposure. Psychological, social, and physical consequences for children and adolescents are at risk of being overlooked during the pandemic and should be assessed in further depth </w:t>
      </w:r>
      <w:proofErr w:type="gramStart"/>
      <w:r w:rsidRPr="00A70D9A">
        <w:rPr>
          <w:rFonts w:ascii="Arial" w:hAnsi="Arial" w:cs="Arial"/>
          <w:lang w:val="en-US"/>
        </w:rPr>
        <w:t>in order to</w:t>
      </w:r>
      <w:proofErr w:type="gramEnd"/>
      <w:r w:rsidRPr="00A70D9A">
        <w:rPr>
          <w:rFonts w:ascii="Arial" w:hAnsi="Arial" w:cs="Arial"/>
          <w:lang w:val="en-US"/>
        </w:rPr>
        <w:t xml:space="preserve"> set strategies to minimize potentially negative outcomes, especially in the most vulnerable populations. </w:t>
      </w:r>
    </w:p>
    <w:p w14:paraId="152790C7" w14:textId="77777777" w:rsidR="005145BB" w:rsidRPr="00A70D9A" w:rsidRDefault="005145BB" w:rsidP="005145BB">
      <w:pPr>
        <w:spacing w:after="0" w:line="360" w:lineRule="auto"/>
        <w:jc w:val="both"/>
        <w:rPr>
          <w:rFonts w:ascii="Arial" w:hAnsi="Arial" w:cs="Arial"/>
          <w:b/>
          <w:sz w:val="24"/>
          <w:lang w:val="en-US"/>
        </w:rPr>
      </w:pPr>
    </w:p>
    <w:p w14:paraId="29E9D0E6" w14:textId="77777777" w:rsidR="005145BB" w:rsidRPr="00A70D9A" w:rsidRDefault="005145BB" w:rsidP="005145BB">
      <w:pPr>
        <w:spacing w:after="0" w:line="360" w:lineRule="auto"/>
        <w:jc w:val="both"/>
        <w:rPr>
          <w:rFonts w:ascii="Arial" w:hAnsi="Arial" w:cs="Arial"/>
          <w:b/>
          <w:sz w:val="24"/>
          <w:lang w:val="en-GB"/>
        </w:rPr>
      </w:pPr>
      <w:r w:rsidRPr="00A70D9A">
        <w:rPr>
          <w:rFonts w:ascii="Arial" w:hAnsi="Arial" w:cs="Arial"/>
          <w:b/>
          <w:sz w:val="24"/>
          <w:lang w:val="en-GB"/>
        </w:rPr>
        <w:t>PROTECTION OF HUMANS AND ANIMALS</w:t>
      </w:r>
    </w:p>
    <w:p w14:paraId="09FFE0A6" w14:textId="77777777" w:rsidR="005145BB" w:rsidRPr="00A70D9A" w:rsidRDefault="005145BB" w:rsidP="005145BB">
      <w:pPr>
        <w:spacing w:after="0" w:line="360" w:lineRule="auto"/>
        <w:jc w:val="both"/>
        <w:rPr>
          <w:rFonts w:ascii="Arial" w:hAnsi="Arial" w:cs="Arial"/>
          <w:lang w:val="en-US"/>
        </w:rPr>
      </w:pPr>
      <w:r w:rsidRPr="00A70D9A">
        <w:rPr>
          <w:rFonts w:ascii="Arial" w:hAnsi="Arial" w:cs="Arial"/>
          <w:lang w:val="en-US"/>
        </w:rPr>
        <w:lastRenderedPageBreak/>
        <w:t>The authors declare that the procedures were followed according to the regulations established by the Clinical Research and Ethics Committee of Hospital Beatriz Ângelo and to the Helsinki Declaration of the World Medical Association.</w:t>
      </w:r>
    </w:p>
    <w:p w14:paraId="3859F2A8" w14:textId="77777777" w:rsidR="005145BB" w:rsidRPr="00A70D9A" w:rsidRDefault="005145BB" w:rsidP="005145BB">
      <w:pPr>
        <w:spacing w:after="0" w:line="360" w:lineRule="auto"/>
        <w:jc w:val="both"/>
        <w:rPr>
          <w:rFonts w:ascii="Arial" w:hAnsi="Arial" w:cs="Arial"/>
          <w:lang w:val="en-GB"/>
        </w:rPr>
      </w:pPr>
    </w:p>
    <w:p w14:paraId="6DBEF344" w14:textId="77777777" w:rsidR="005145BB" w:rsidRPr="00A70D9A" w:rsidRDefault="005145BB" w:rsidP="005145BB">
      <w:pPr>
        <w:spacing w:after="0" w:line="360" w:lineRule="auto"/>
        <w:jc w:val="both"/>
        <w:rPr>
          <w:rFonts w:ascii="Arial" w:hAnsi="Arial" w:cs="Arial"/>
          <w:b/>
          <w:sz w:val="24"/>
          <w:lang w:val="en-GB"/>
        </w:rPr>
      </w:pPr>
      <w:r w:rsidRPr="00A70D9A">
        <w:rPr>
          <w:rFonts w:ascii="Arial" w:hAnsi="Arial" w:cs="Arial"/>
          <w:b/>
          <w:sz w:val="24"/>
          <w:lang w:val="en-GB"/>
        </w:rPr>
        <w:t>DATA CONFIDENCIALITY</w:t>
      </w:r>
    </w:p>
    <w:p w14:paraId="5187688B" w14:textId="77777777" w:rsidR="005145BB" w:rsidRPr="00A70D9A" w:rsidRDefault="005145BB" w:rsidP="005145BB">
      <w:pPr>
        <w:spacing w:after="0" w:line="360" w:lineRule="auto"/>
        <w:jc w:val="both"/>
        <w:rPr>
          <w:rFonts w:ascii="Arial" w:hAnsi="Arial" w:cs="Arial"/>
          <w:lang w:val="en-GB"/>
        </w:rPr>
      </w:pPr>
      <w:r w:rsidRPr="00A70D9A">
        <w:rPr>
          <w:rFonts w:ascii="Arial" w:hAnsi="Arial" w:cs="Arial"/>
          <w:lang w:val="en-GB"/>
        </w:rPr>
        <w:t>The authors declare having followed the protocols in use at their working centre regarding patients’ data publication.</w:t>
      </w:r>
    </w:p>
    <w:p w14:paraId="52C28B9D" w14:textId="77777777" w:rsidR="005145BB" w:rsidRPr="00A70D9A" w:rsidRDefault="005145BB" w:rsidP="005145BB">
      <w:pPr>
        <w:spacing w:after="0" w:line="360" w:lineRule="auto"/>
        <w:jc w:val="both"/>
        <w:rPr>
          <w:rFonts w:ascii="Arial" w:hAnsi="Arial" w:cs="Arial"/>
          <w:lang w:val="en-GB"/>
        </w:rPr>
      </w:pPr>
    </w:p>
    <w:p w14:paraId="0C72EE30" w14:textId="77777777" w:rsidR="005145BB" w:rsidRPr="00A70D9A" w:rsidRDefault="005145BB" w:rsidP="005145BB">
      <w:pPr>
        <w:spacing w:after="0" w:line="360" w:lineRule="auto"/>
        <w:jc w:val="both"/>
        <w:rPr>
          <w:rFonts w:ascii="Arial" w:hAnsi="Arial" w:cs="Arial"/>
          <w:b/>
          <w:sz w:val="24"/>
          <w:lang w:val="en-GB"/>
        </w:rPr>
      </w:pPr>
      <w:r w:rsidRPr="00A70D9A">
        <w:rPr>
          <w:rFonts w:ascii="Arial" w:hAnsi="Arial" w:cs="Arial"/>
          <w:b/>
          <w:sz w:val="24"/>
          <w:lang w:val="en-GB"/>
        </w:rPr>
        <w:t>CONFLICTS OF INTEREST</w:t>
      </w:r>
    </w:p>
    <w:p w14:paraId="30286D59" w14:textId="77777777" w:rsidR="005145BB" w:rsidRPr="00A70D9A" w:rsidRDefault="005145BB" w:rsidP="005145BB">
      <w:pPr>
        <w:spacing w:after="0" w:line="360" w:lineRule="auto"/>
        <w:jc w:val="both"/>
        <w:rPr>
          <w:rFonts w:ascii="Arial" w:hAnsi="Arial" w:cs="Arial"/>
          <w:lang w:val="en-GB"/>
        </w:rPr>
      </w:pPr>
      <w:r w:rsidRPr="00A70D9A">
        <w:rPr>
          <w:rFonts w:ascii="Arial" w:hAnsi="Arial" w:cs="Arial"/>
          <w:lang w:val="en-GB"/>
        </w:rPr>
        <w:t>The authors have no conflicts of interest to declare.</w:t>
      </w:r>
    </w:p>
    <w:p w14:paraId="19F7B4DE" w14:textId="77777777" w:rsidR="005145BB" w:rsidRPr="00A70D9A" w:rsidRDefault="005145BB" w:rsidP="005145BB">
      <w:pPr>
        <w:spacing w:after="0" w:line="360" w:lineRule="auto"/>
        <w:jc w:val="both"/>
        <w:rPr>
          <w:rFonts w:ascii="Arial" w:hAnsi="Arial" w:cs="Arial"/>
          <w:b/>
          <w:sz w:val="24"/>
          <w:lang w:val="en-GB"/>
        </w:rPr>
      </w:pPr>
    </w:p>
    <w:p w14:paraId="4EE271B4" w14:textId="77777777" w:rsidR="005145BB" w:rsidRPr="00A70D9A" w:rsidRDefault="005145BB" w:rsidP="005145BB">
      <w:pPr>
        <w:spacing w:after="0" w:line="360" w:lineRule="auto"/>
        <w:jc w:val="both"/>
        <w:rPr>
          <w:rFonts w:ascii="Arial" w:hAnsi="Arial" w:cs="Arial"/>
          <w:b/>
          <w:sz w:val="24"/>
          <w:lang w:val="en-GB"/>
        </w:rPr>
      </w:pPr>
      <w:r w:rsidRPr="00A70D9A">
        <w:rPr>
          <w:rFonts w:ascii="Arial" w:hAnsi="Arial" w:cs="Arial"/>
          <w:b/>
          <w:sz w:val="24"/>
          <w:lang w:val="en-GB"/>
        </w:rPr>
        <w:t>FUNDING SOURCES</w:t>
      </w:r>
    </w:p>
    <w:p w14:paraId="6030E40D" w14:textId="77777777" w:rsidR="005145BB" w:rsidRPr="00A70D9A" w:rsidRDefault="005145BB" w:rsidP="005145BB">
      <w:pPr>
        <w:spacing w:after="0" w:line="360" w:lineRule="auto"/>
        <w:jc w:val="both"/>
        <w:rPr>
          <w:rFonts w:ascii="Arial" w:hAnsi="Arial" w:cs="Arial"/>
          <w:lang w:val="en-GB"/>
        </w:rPr>
      </w:pPr>
      <w:r w:rsidRPr="00A70D9A">
        <w:rPr>
          <w:rFonts w:ascii="Arial" w:hAnsi="Arial" w:cs="Arial"/>
          <w:lang w:val="en-GB"/>
        </w:rPr>
        <w:t>This research received no specific grant from any funding agency in the public, commercial, or not-for-profit sectors.</w:t>
      </w:r>
    </w:p>
    <w:p w14:paraId="32A00CFA" w14:textId="77777777" w:rsidR="004D0196" w:rsidRPr="00A70D9A" w:rsidRDefault="004D0196" w:rsidP="004D0196">
      <w:pPr>
        <w:spacing w:after="0" w:line="360" w:lineRule="auto"/>
        <w:jc w:val="both"/>
        <w:rPr>
          <w:rFonts w:ascii="Arial" w:hAnsi="Arial" w:cs="Arial"/>
          <w:b/>
          <w:sz w:val="24"/>
          <w:lang w:val="en-GB"/>
        </w:rPr>
      </w:pPr>
    </w:p>
    <w:p w14:paraId="411E98BB" w14:textId="77777777" w:rsidR="006576BB" w:rsidRPr="00A70D9A" w:rsidRDefault="006576BB" w:rsidP="000263B6">
      <w:pPr>
        <w:spacing w:after="0" w:line="360" w:lineRule="auto"/>
        <w:jc w:val="both"/>
        <w:rPr>
          <w:rFonts w:ascii="Arial" w:hAnsi="Arial" w:cs="Arial"/>
          <w:lang w:val="en-US"/>
        </w:rPr>
      </w:pPr>
    </w:p>
    <w:p w14:paraId="4DD60377" w14:textId="77777777" w:rsidR="006576BB" w:rsidRPr="00A70D9A" w:rsidRDefault="006576BB" w:rsidP="000263B6">
      <w:pPr>
        <w:widowControl w:val="0"/>
        <w:autoSpaceDE w:val="0"/>
        <w:autoSpaceDN w:val="0"/>
        <w:adjustRightInd w:val="0"/>
        <w:spacing w:after="0" w:line="360" w:lineRule="auto"/>
        <w:ind w:left="640" w:hanging="640"/>
        <w:rPr>
          <w:rFonts w:ascii="Arial" w:hAnsi="Arial" w:cs="Arial"/>
          <w:lang w:val="en-US"/>
        </w:rPr>
      </w:pPr>
    </w:p>
    <w:p w14:paraId="264FDBA7" w14:textId="77777777" w:rsidR="006576BB" w:rsidRPr="00A70D9A" w:rsidRDefault="006576BB" w:rsidP="000263B6">
      <w:pPr>
        <w:spacing w:line="360" w:lineRule="auto"/>
        <w:rPr>
          <w:rFonts w:ascii="Arial" w:hAnsi="Arial" w:cs="Arial"/>
          <w:b/>
          <w:bCs/>
          <w:lang w:val="en-US"/>
        </w:rPr>
      </w:pPr>
      <w:r w:rsidRPr="00A70D9A">
        <w:rPr>
          <w:rFonts w:ascii="Arial" w:hAnsi="Arial" w:cs="Arial"/>
          <w:b/>
          <w:bCs/>
          <w:lang w:val="en-US"/>
        </w:rPr>
        <w:br w:type="page"/>
      </w:r>
    </w:p>
    <w:p w14:paraId="60AA4CF7" w14:textId="77777777" w:rsidR="006576BB" w:rsidRPr="00A70D9A" w:rsidRDefault="006576BB" w:rsidP="000263B6">
      <w:pPr>
        <w:widowControl w:val="0"/>
        <w:autoSpaceDE w:val="0"/>
        <w:autoSpaceDN w:val="0"/>
        <w:adjustRightInd w:val="0"/>
        <w:spacing w:after="0" w:line="360" w:lineRule="auto"/>
        <w:ind w:left="640" w:hanging="640"/>
        <w:rPr>
          <w:rFonts w:ascii="Arial" w:hAnsi="Arial" w:cs="Arial"/>
          <w:b/>
          <w:bCs/>
          <w:lang w:val="en-US"/>
        </w:rPr>
      </w:pPr>
      <w:bookmarkStart w:id="1" w:name="_Hlk58082892"/>
      <w:r w:rsidRPr="00A70D9A">
        <w:rPr>
          <w:rFonts w:ascii="Arial" w:hAnsi="Arial" w:cs="Arial"/>
          <w:b/>
          <w:bCs/>
          <w:lang w:val="en-US"/>
        </w:rPr>
        <w:lastRenderedPageBreak/>
        <w:t>REFERENCES</w:t>
      </w:r>
    </w:p>
    <w:p w14:paraId="50180AC5" w14:textId="7777777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1. </w:t>
      </w:r>
      <w:r w:rsidRPr="00A70D9A">
        <w:rPr>
          <w:rFonts w:ascii="Arial" w:hAnsi="Arial" w:cs="Arial"/>
          <w:noProof/>
          <w:szCs w:val="24"/>
          <w:lang w:val="en-GB"/>
        </w:rPr>
        <w:tab/>
        <w:t>World Health Organization. WHO Director-General’s opening remarks at the media briefing on COVID-19 - 11 March 2020; [accessed 2020 May 13]. Available from: https://www.who.int/dg/speeches/detail/who-director-general-s-opening-remarks-at-the-media-briefing-on-covid-19---11-march-2020.</w:t>
      </w:r>
    </w:p>
    <w:p w14:paraId="45620C1F" w14:textId="7777777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rPr>
        <w:t xml:space="preserve">2. </w:t>
      </w:r>
      <w:r w:rsidRPr="00A70D9A">
        <w:rPr>
          <w:rFonts w:ascii="Arial" w:hAnsi="Arial" w:cs="Arial"/>
          <w:noProof/>
          <w:szCs w:val="24"/>
        </w:rPr>
        <w:tab/>
        <w:t xml:space="preserve">Direcção Geral da Saúde. Relatório de situação caracterização demográfica dos casos confirmados; [accessed 2020 June 2]. </w:t>
      </w:r>
      <w:r w:rsidRPr="00A70D9A">
        <w:rPr>
          <w:rFonts w:ascii="Arial" w:hAnsi="Arial" w:cs="Arial"/>
          <w:noProof/>
          <w:szCs w:val="24"/>
          <w:lang w:val="en-GB"/>
        </w:rPr>
        <w:t>Available from: https://covid19.min-saude.pt/.</w:t>
      </w:r>
    </w:p>
    <w:p w14:paraId="5D77D1F5" w14:textId="7777777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3. </w:t>
      </w:r>
      <w:r w:rsidRPr="00A70D9A">
        <w:rPr>
          <w:rFonts w:ascii="Arial" w:hAnsi="Arial" w:cs="Arial"/>
          <w:noProof/>
          <w:szCs w:val="24"/>
          <w:lang w:val="en-GB"/>
        </w:rPr>
        <w:tab/>
        <w:t>Zimmermann P, Curtis N. Coronavirus infections in children including COVID-19: An overview of the epidemiology, clinical features, diagnosis, treatment and prevention options in children. Pediatr Infect Dis J. 2020;39:355-368.</w:t>
      </w:r>
    </w:p>
    <w:p w14:paraId="58BE95E5" w14:textId="7777777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s-ES"/>
        </w:rPr>
      </w:pPr>
      <w:r w:rsidRPr="00A70D9A">
        <w:rPr>
          <w:rFonts w:ascii="Arial" w:hAnsi="Arial" w:cs="Arial"/>
          <w:noProof/>
          <w:szCs w:val="24"/>
          <w:lang w:val="en-GB"/>
        </w:rPr>
        <w:t xml:space="preserve">4. </w:t>
      </w:r>
      <w:r w:rsidRPr="00A70D9A">
        <w:rPr>
          <w:rFonts w:ascii="Arial" w:hAnsi="Arial" w:cs="Arial"/>
          <w:noProof/>
          <w:szCs w:val="24"/>
          <w:lang w:val="en-GB"/>
        </w:rPr>
        <w:tab/>
        <w:t>Brodin P. Why is COVID</w:t>
      </w:r>
      <w:r w:rsidRPr="00A70D9A">
        <w:rPr>
          <w:rFonts w:ascii="Cambria Math" w:hAnsi="Cambria Math" w:cs="Cambria Math"/>
          <w:noProof/>
          <w:szCs w:val="24"/>
          <w:lang w:val="en-GB"/>
        </w:rPr>
        <w:t>‐</w:t>
      </w:r>
      <w:r w:rsidRPr="00A70D9A">
        <w:rPr>
          <w:rFonts w:ascii="Arial" w:hAnsi="Arial" w:cs="Arial"/>
          <w:noProof/>
          <w:szCs w:val="24"/>
          <w:lang w:val="en-GB"/>
        </w:rPr>
        <w:t xml:space="preserve">19 so mild in children? </w:t>
      </w:r>
      <w:r w:rsidRPr="00A70D9A">
        <w:rPr>
          <w:rFonts w:ascii="Arial" w:hAnsi="Arial" w:cs="Arial"/>
          <w:noProof/>
          <w:szCs w:val="24"/>
          <w:lang w:val="es-ES"/>
        </w:rPr>
        <w:t>Acta Paediatr. 2020;109:1082-1083.</w:t>
      </w:r>
    </w:p>
    <w:p w14:paraId="22894FA1" w14:textId="7777777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it-IT"/>
        </w:rPr>
      </w:pPr>
      <w:r w:rsidRPr="00A70D9A">
        <w:rPr>
          <w:rFonts w:ascii="Arial" w:hAnsi="Arial" w:cs="Arial"/>
          <w:noProof/>
          <w:szCs w:val="24"/>
          <w:lang w:val="es-ES"/>
        </w:rPr>
        <w:t xml:space="preserve">5. </w:t>
      </w:r>
      <w:r w:rsidRPr="00A70D9A">
        <w:rPr>
          <w:rFonts w:ascii="Arial" w:hAnsi="Arial" w:cs="Arial"/>
          <w:noProof/>
          <w:szCs w:val="24"/>
          <w:lang w:val="es-ES"/>
        </w:rPr>
        <w:tab/>
        <w:t xml:space="preserve">Dong Y, Mo X, Hu Y, Qi X, Jiang F, Jiang Z, et al. </w:t>
      </w:r>
      <w:r w:rsidRPr="00A70D9A">
        <w:rPr>
          <w:rFonts w:ascii="Arial" w:hAnsi="Arial" w:cs="Arial"/>
          <w:noProof/>
          <w:szCs w:val="24"/>
          <w:lang w:val="en-GB"/>
        </w:rPr>
        <w:t xml:space="preserve">Epidemiology of COVID-19 Among Children in China. </w:t>
      </w:r>
      <w:r w:rsidRPr="00A70D9A">
        <w:rPr>
          <w:rFonts w:ascii="Arial" w:hAnsi="Arial" w:cs="Arial"/>
          <w:noProof/>
          <w:szCs w:val="24"/>
          <w:lang w:val="it-IT"/>
        </w:rPr>
        <w:t>Pediatrics. 2020;145:20200702.</w:t>
      </w:r>
    </w:p>
    <w:p w14:paraId="08C09A60" w14:textId="444EC463"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it-IT"/>
        </w:rPr>
        <w:t xml:space="preserve">6. </w:t>
      </w:r>
      <w:r w:rsidRPr="00A70D9A">
        <w:rPr>
          <w:rFonts w:ascii="Arial" w:hAnsi="Arial" w:cs="Arial"/>
          <w:noProof/>
          <w:szCs w:val="24"/>
          <w:lang w:val="it-IT"/>
        </w:rPr>
        <w:tab/>
        <w:t xml:space="preserve">Castagnoli R, Votto M, Licari A, Brambilla I, Bruno R, Perlini S, et al. </w:t>
      </w:r>
      <w:r w:rsidRPr="00A70D9A">
        <w:rPr>
          <w:rFonts w:ascii="Arial" w:hAnsi="Arial" w:cs="Arial"/>
          <w:noProof/>
          <w:szCs w:val="24"/>
          <w:lang w:val="en-GB"/>
        </w:rPr>
        <w:t>Severe Acute Respiratory Syndrome Coronavirus 2 (SARS-CoV-2) Infection in Children and Adolescents: A Systematic Review. JAMA Pediatr.</w:t>
      </w:r>
      <w:r w:rsidR="003D5499" w:rsidRPr="00A70D9A">
        <w:rPr>
          <w:rFonts w:ascii="Arial" w:hAnsi="Arial" w:cs="Arial"/>
          <w:noProof/>
          <w:szCs w:val="24"/>
          <w:lang w:val="en-GB"/>
        </w:rPr>
        <w:t xml:space="preserve"> 2020;174(9):882-889</w:t>
      </w:r>
      <w:r w:rsidRPr="00A70D9A">
        <w:rPr>
          <w:rFonts w:ascii="Arial" w:hAnsi="Arial" w:cs="Arial"/>
          <w:noProof/>
          <w:szCs w:val="24"/>
          <w:lang w:val="en-GB"/>
        </w:rPr>
        <w:t>.</w:t>
      </w:r>
    </w:p>
    <w:p w14:paraId="5FEF01E8" w14:textId="7777777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7. </w:t>
      </w:r>
      <w:r w:rsidRPr="00A70D9A">
        <w:rPr>
          <w:rFonts w:ascii="Arial" w:hAnsi="Arial" w:cs="Arial"/>
          <w:noProof/>
          <w:szCs w:val="24"/>
          <w:lang w:val="en-GB"/>
        </w:rPr>
        <w:tab/>
        <w:t>Lu X, Zhang L, Du H, Zhang J, Li Y, Qu J, et al. SARS-CoV-2 Infection in Children. N Engl J Med. 2020;382:1663-1665.</w:t>
      </w:r>
    </w:p>
    <w:p w14:paraId="6F29017D" w14:textId="77EA6E5C"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rPr>
      </w:pPr>
      <w:r w:rsidRPr="00A70D9A">
        <w:rPr>
          <w:rFonts w:ascii="Arial" w:hAnsi="Arial" w:cs="Arial"/>
          <w:noProof/>
          <w:szCs w:val="24"/>
          <w:lang w:val="en-GB"/>
        </w:rPr>
        <w:t xml:space="preserve">8. </w:t>
      </w:r>
      <w:r w:rsidRPr="00A70D9A">
        <w:rPr>
          <w:rFonts w:ascii="Arial" w:hAnsi="Arial" w:cs="Arial"/>
          <w:noProof/>
          <w:szCs w:val="24"/>
          <w:lang w:val="en-GB"/>
        </w:rPr>
        <w:tab/>
        <w:t xml:space="preserve">Zachariah P, Johnson CL, Halabi KC, Ahn D, Sen AI, Fischer A, et al. Epidemiology, Clinical Features, and Disease Severity in Patients With Coronavirus Disease 2019 (COVID-19) in a Children’s Hospital in New York City, New York. </w:t>
      </w:r>
      <w:r w:rsidRPr="00A70D9A">
        <w:rPr>
          <w:rFonts w:ascii="Arial" w:hAnsi="Arial" w:cs="Arial"/>
          <w:noProof/>
          <w:szCs w:val="24"/>
        </w:rPr>
        <w:t>JAMA Pediatr. Published online June 3, 2020:e202430.</w:t>
      </w:r>
      <w:r w:rsidR="0092526D" w:rsidRPr="00A70D9A">
        <w:rPr>
          <w:rFonts w:ascii="Arial" w:hAnsi="Arial" w:cs="Arial"/>
          <w:noProof/>
          <w:szCs w:val="24"/>
        </w:rPr>
        <w:t xml:space="preserve"> </w:t>
      </w:r>
      <w:r w:rsidR="00296C39" w:rsidRPr="00A70D9A">
        <w:rPr>
          <w:rFonts w:ascii="Arial" w:hAnsi="Arial" w:cs="Arial"/>
          <w:noProof/>
          <w:szCs w:val="24"/>
        </w:rPr>
        <w:t>doi</w:t>
      </w:r>
      <w:r w:rsidR="0092526D" w:rsidRPr="00A70D9A">
        <w:rPr>
          <w:rFonts w:ascii="Arial" w:hAnsi="Arial" w:cs="Arial"/>
          <w:noProof/>
          <w:szCs w:val="24"/>
        </w:rPr>
        <w:t>: 10.1001/jamapediatrics.2020.2430</w:t>
      </w:r>
    </w:p>
    <w:p w14:paraId="132AFAF2" w14:textId="72DC71D5"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rPr>
        <w:t xml:space="preserve">9. </w:t>
      </w:r>
      <w:r w:rsidRPr="00A70D9A">
        <w:rPr>
          <w:rFonts w:ascii="Arial" w:hAnsi="Arial" w:cs="Arial"/>
          <w:noProof/>
          <w:szCs w:val="24"/>
        </w:rPr>
        <w:tab/>
        <w:t xml:space="preserve">Santana R, Sousa JS, Soares P, Lopes S, Boto P, Rocha JV. </w:t>
      </w:r>
      <w:r w:rsidRPr="00A70D9A">
        <w:rPr>
          <w:rFonts w:ascii="Arial" w:hAnsi="Arial" w:cs="Arial"/>
          <w:noProof/>
          <w:szCs w:val="24"/>
          <w:lang w:val="en-GB"/>
        </w:rPr>
        <w:t>The Demand for Hospital Emergency Services: Trends during the First Month of COVID-19 Response. Port J Public Heal.</w:t>
      </w:r>
      <w:r w:rsidR="003D5499" w:rsidRPr="00A70D9A">
        <w:rPr>
          <w:rFonts w:asciiTheme="majorHAnsi" w:hAnsiTheme="majorHAnsi" w:cstheme="majorHAnsi"/>
          <w:lang w:val="en-GB"/>
        </w:rPr>
        <w:t xml:space="preserve"> </w:t>
      </w:r>
      <w:r w:rsidR="003D5499" w:rsidRPr="00A70D9A">
        <w:rPr>
          <w:rFonts w:ascii="Arial" w:hAnsi="Arial" w:cs="Arial"/>
          <w:noProof/>
          <w:szCs w:val="24"/>
          <w:lang w:val="en-GB"/>
        </w:rPr>
        <w:t>2020;38:30–36</w:t>
      </w:r>
      <w:r w:rsidRPr="00A70D9A">
        <w:rPr>
          <w:rFonts w:ascii="Arial" w:hAnsi="Arial" w:cs="Arial"/>
          <w:noProof/>
          <w:szCs w:val="24"/>
          <w:lang w:val="en-GB"/>
        </w:rPr>
        <w:t>.</w:t>
      </w:r>
    </w:p>
    <w:p w14:paraId="72E9C3FE" w14:textId="7E608018"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10. </w:t>
      </w:r>
      <w:r w:rsidRPr="00A70D9A">
        <w:rPr>
          <w:rFonts w:ascii="Arial" w:hAnsi="Arial" w:cs="Arial"/>
          <w:noProof/>
          <w:szCs w:val="24"/>
          <w:lang w:val="en-GB"/>
        </w:rPr>
        <w:tab/>
        <w:t xml:space="preserve">Rosenbaum L. The Untold Toll — The Pandemic’s Effects on Patients without Covid-19. N Engl J Med. </w:t>
      </w:r>
      <w:r w:rsidR="003D5499" w:rsidRPr="00A70D9A">
        <w:rPr>
          <w:rFonts w:ascii="Arial" w:hAnsi="Arial" w:cs="Arial"/>
          <w:noProof/>
          <w:szCs w:val="24"/>
          <w:lang w:val="en-GB"/>
        </w:rPr>
        <w:t>2020; 382:2368-2371</w:t>
      </w:r>
      <w:r w:rsidRPr="00A70D9A">
        <w:rPr>
          <w:rFonts w:ascii="Arial" w:hAnsi="Arial" w:cs="Arial"/>
          <w:noProof/>
          <w:szCs w:val="24"/>
          <w:lang w:val="en-GB"/>
        </w:rPr>
        <w:t>.</w:t>
      </w:r>
    </w:p>
    <w:p w14:paraId="0D10DC51" w14:textId="4B51503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11. </w:t>
      </w:r>
      <w:r w:rsidRPr="00A70D9A">
        <w:rPr>
          <w:rFonts w:ascii="Arial" w:hAnsi="Arial" w:cs="Arial"/>
          <w:noProof/>
          <w:szCs w:val="24"/>
          <w:lang w:val="en-GB"/>
        </w:rPr>
        <w:tab/>
        <w:t>Garcia S, Albaghdadi MS, Meraj PM, Schmidt C, Garberich R, Jaffer FA, et al. Reduction in ST-Segment Elevation Cardiac Catheterization Laboratory Activations in the United States During COVID-19 Pandemic. J Am Coll Cardiol. 2020;75(22):2871-2872.</w:t>
      </w:r>
    </w:p>
    <w:p w14:paraId="5AE0B869" w14:textId="7777777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12. </w:t>
      </w:r>
      <w:r w:rsidRPr="00A70D9A">
        <w:rPr>
          <w:rFonts w:ascii="Arial" w:hAnsi="Arial" w:cs="Arial"/>
          <w:noProof/>
          <w:szCs w:val="24"/>
          <w:lang w:val="en-GB"/>
        </w:rPr>
        <w:tab/>
        <w:t>Lazzerini M, Barbi E, Apicella A, Marchetti F, Cardinale F, Trobia G. Delayed access or provision of care in Italy resulting from fear of COVID-19. Lancet Child Adolesc Heal. 2020;4:e10-e11.</w:t>
      </w:r>
    </w:p>
    <w:p w14:paraId="7A0F7BB1" w14:textId="7F591215"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lastRenderedPageBreak/>
        <w:t xml:space="preserve">13. </w:t>
      </w:r>
      <w:r w:rsidRPr="00A70D9A">
        <w:rPr>
          <w:rFonts w:ascii="Arial" w:hAnsi="Arial" w:cs="Arial"/>
          <w:noProof/>
          <w:szCs w:val="24"/>
          <w:lang w:val="en-GB"/>
        </w:rPr>
        <w:tab/>
        <w:t>Ding YY, Ramakrishna S, Long AH, Phillips CA, Montiel-Esparza R, Diorio CJ, et al. Delayed cancer diagnoses and high mortality in children during the COVID-19 pandemic. Pediatr Blood Cancer. Published online June 26, 2020;e28427.</w:t>
      </w:r>
      <w:r w:rsidR="00296C39" w:rsidRPr="00A70D9A">
        <w:rPr>
          <w:rFonts w:ascii="Arial" w:hAnsi="Arial" w:cs="Arial"/>
          <w:noProof/>
          <w:szCs w:val="24"/>
          <w:lang w:val="en-GB"/>
        </w:rPr>
        <w:t xml:space="preserve"> doi: </w:t>
      </w:r>
      <w:hyperlink r:id="rId9" w:tgtFrame="_blank" w:history="1">
        <w:r w:rsidR="00296C39" w:rsidRPr="00A70D9A">
          <w:rPr>
            <w:rFonts w:ascii="Arial" w:hAnsi="Arial" w:cs="Arial"/>
            <w:noProof/>
            <w:szCs w:val="24"/>
            <w:lang w:val="en-GB"/>
          </w:rPr>
          <w:t>10.1002/pbc.28427</w:t>
        </w:r>
      </w:hyperlink>
    </w:p>
    <w:p w14:paraId="3F09368D" w14:textId="417EEB7B"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14. </w:t>
      </w:r>
      <w:r w:rsidRPr="00A70D9A">
        <w:rPr>
          <w:rFonts w:ascii="Arial" w:hAnsi="Arial" w:cs="Arial"/>
          <w:noProof/>
          <w:szCs w:val="24"/>
          <w:lang w:val="en-GB"/>
        </w:rPr>
        <w:tab/>
        <w:t>Snapiri O, Danziger CR, Krause I, Kravarusic D, Yulevich A, Balla U, et al. Delayed diagnosis of paediatric appendicitis during the COVID</w:t>
      </w:r>
      <w:r w:rsidRPr="00A70D9A">
        <w:rPr>
          <w:rFonts w:ascii="Cambria Math" w:hAnsi="Cambria Math" w:cs="Cambria Math"/>
          <w:noProof/>
          <w:szCs w:val="24"/>
          <w:lang w:val="en-GB"/>
        </w:rPr>
        <w:t>‐</w:t>
      </w:r>
      <w:r w:rsidRPr="00A70D9A">
        <w:rPr>
          <w:rFonts w:ascii="Arial" w:hAnsi="Arial" w:cs="Arial"/>
          <w:noProof/>
          <w:szCs w:val="24"/>
          <w:lang w:val="en-GB"/>
        </w:rPr>
        <w:t>19 pandemic. Acta Paediatr. Published online 2020;10.1111/apa.15376.</w:t>
      </w:r>
      <w:r w:rsidR="00296C39" w:rsidRPr="00A70D9A">
        <w:rPr>
          <w:rFonts w:ascii="Arial" w:hAnsi="Arial" w:cs="Arial"/>
          <w:noProof/>
          <w:szCs w:val="24"/>
          <w:lang w:val="en-GB"/>
        </w:rPr>
        <w:t xml:space="preserve"> </w:t>
      </w:r>
      <w:hyperlink r:id="rId10" w:history="1">
        <w:r w:rsidR="00296C39" w:rsidRPr="00A70D9A">
          <w:rPr>
            <w:rFonts w:ascii="Arial" w:hAnsi="Arial" w:cs="Arial"/>
            <w:noProof/>
            <w:szCs w:val="24"/>
            <w:lang w:val="en-GB"/>
          </w:rPr>
          <w:t>doi: 10.1111/apa.15376</w:t>
        </w:r>
      </w:hyperlink>
    </w:p>
    <w:p w14:paraId="5F7EA5CC" w14:textId="1E298AB2"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de-DE"/>
        </w:rPr>
      </w:pPr>
      <w:r w:rsidRPr="00A70D9A">
        <w:rPr>
          <w:rFonts w:ascii="Arial" w:hAnsi="Arial" w:cs="Arial"/>
          <w:noProof/>
          <w:szCs w:val="24"/>
          <w:lang w:val="en-GB"/>
        </w:rPr>
        <w:t xml:space="preserve">15. </w:t>
      </w:r>
      <w:r w:rsidRPr="00A70D9A">
        <w:rPr>
          <w:rFonts w:ascii="Arial" w:hAnsi="Arial" w:cs="Arial"/>
          <w:noProof/>
          <w:szCs w:val="24"/>
          <w:lang w:val="en-GB"/>
        </w:rPr>
        <w:tab/>
        <w:t xml:space="preserve">Nogueira PJ, Nobre MDA, Nicola PJ, Furtado C, Vaz Carneiro A. Excess Mortality Estimation During the COVID-19 Pandemic: Preliminary Data from Portugal. </w:t>
      </w:r>
      <w:r w:rsidRPr="00A70D9A">
        <w:rPr>
          <w:rFonts w:ascii="Arial" w:hAnsi="Arial" w:cs="Arial"/>
          <w:noProof/>
          <w:szCs w:val="24"/>
          <w:lang w:val="de-DE"/>
        </w:rPr>
        <w:t>Acta Med Port. 2020;33:376</w:t>
      </w:r>
      <w:r w:rsidR="003D5499" w:rsidRPr="00A70D9A">
        <w:rPr>
          <w:rFonts w:ascii="Arial" w:hAnsi="Arial" w:cs="Arial"/>
          <w:noProof/>
          <w:szCs w:val="24"/>
          <w:lang w:val="de-DE"/>
        </w:rPr>
        <w:t>-383</w:t>
      </w:r>
      <w:r w:rsidRPr="00A70D9A">
        <w:rPr>
          <w:rFonts w:ascii="Arial" w:hAnsi="Arial" w:cs="Arial"/>
          <w:noProof/>
          <w:szCs w:val="24"/>
          <w:lang w:val="de-DE"/>
        </w:rPr>
        <w:t>.</w:t>
      </w:r>
    </w:p>
    <w:p w14:paraId="18AB7680" w14:textId="7777777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de-DE"/>
        </w:rPr>
        <w:t xml:space="preserve">16. </w:t>
      </w:r>
      <w:r w:rsidRPr="00A70D9A">
        <w:rPr>
          <w:rFonts w:ascii="Arial" w:hAnsi="Arial" w:cs="Arial"/>
          <w:noProof/>
          <w:szCs w:val="24"/>
          <w:lang w:val="de-DE"/>
        </w:rPr>
        <w:tab/>
        <w:t xml:space="preserve">Metzler B, Siostrzonek P, Binder RK, Bauer A, Reinstadler SJ. </w:t>
      </w:r>
      <w:r w:rsidRPr="00A70D9A">
        <w:rPr>
          <w:rFonts w:ascii="Arial" w:hAnsi="Arial" w:cs="Arial"/>
          <w:noProof/>
          <w:szCs w:val="24"/>
          <w:lang w:val="en-GB"/>
        </w:rPr>
        <w:t>Decline of acute coronary syndrome admissions in Austria since the outbreak of COVID-19: the pandemic response causes cardiac collateral damage. Eur Heart J. 2020;41:1852-1853.</w:t>
      </w:r>
    </w:p>
    <w:p w14:paraId="04EDDBDA" w14:textId="727CB58D"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17. </w:t>
      </w:r>
      <w:r w:rsidRPr="00A70D9A">
        <w:rPr>
          <w:rFonts w:ascii="Arial" w:hAnsi="Arial" w:cs="Arial"/>
          <w:noProof/>
          <w:szCs w:val="24"/>
          <w:lang w:val="en-GB"/>
        </w:rPr>
        <w:tab/>
        <w:t>Wong LE, Hawkins JE, Langness S, Murrell KL, Iris P, Sammann A. Where Are All the Patients? Addressing Covid-19 Fear to Encourage Sick Patients to Seek Emergency Care. NEJM Catal. Published online 2020:1-12.</w:t>
      </w:r>
      <w:r w:rsidR="00296C39" w:rsidRPr="00A70D9A">
        <w:rPr>
          <w:rFonts w:ascii="Arial" w:hAnsi="Arial" w:cs="Arial"/>
          <w:noProof/>
          <w:szCs w:val="24"/>
          <w:lang w:val="en-GB"/>
        </w:rPr>
        <w:t xml:space="preserve"> doi: 10.1056/CAT.20.0193</w:t>
      </w:r>
    </w:p>
    <w:p w14:paraId="3417FB62" w14:textId="3ABA7E9E"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18. </w:t>
      </w:r>
      <w:r w:rsidRPr="00A70D9A">
        <w:rPr>
          <w:rFonts w:ascii="Arial" w:hAnsi="Arial" w:cs="Arial"/>
          <w:noProof/>
          <w:szCs w:val="24"/>
          <w:lang w:val="en-GB"/>
        </w:rPr>
        <w:tab/>
        <w:t>Thornton J. Covid-19: A&amp;E visits in England fall by 25% in week after lockdown. BMJ. 2020;369:</w:t>
      </w:r>
      <w:r w:rsidR="003D5499" w:rsidRPr="00A70D9A">
        <w:rPr>
          <w:rFonts w:ascii="Arial" w:hAnsi="Arial" w:cs="Arial"/>
          <w:noProof/>
          <w:szCs w:val="24"/>
          <w:lang w:val="en-GB"/>
        </w:rPr>
        <w:t>m</w:t>
      </w:r>
      <w:r w:rsidRPr="00A70D9A">
        <w:rPr>
          <w:rFonts w:ascii="Arial" w:hAnsi="Arial" w:cs="Arial"/>
          <w:noProof/>
          <w:szCs w:val="24"/>
          <w:lang w:val="en-GB"/>
        </w:rPr>
        <w:t>1401.</w:t>
      </w:r>
    </w:p>
    <w:p w14:paraId="1713B97E" w14:textId="7777777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19. </w:t>
      </w:r>
      <w:r w:rsidRPr="00A70D9A">
        <w:rPr>
          <w:rFonts w:ascii="Arial" w:hAnsi="Arial" w:cs="Arial"/>
          <w:noProof/>
          <w:szCs w:val="24"/>
          <w:lang w:val="en-GB"/>
        </w:rPr>
        <w:tab/>
        <w:t>Hartnett KP, Kite-Powell A, DeVies J, Coletta MA, Boehmer TK, Adjemian J, et al. Impact of the COVID-19 Pandemic on Emergency Department Visits — United States, January 1, 2019–May 30, 2020. MMWR Morb Mortal Wkly Rep. 2020;69:699-704.</w:t>
      </w:r>
    </w:p>
    <w:p w14:paraId="6ABFD6E9" w14:textId="7777777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20. </w:t>
      </w:r>
      <w:r w:rsidRPr="00A70D9A">
        <w:rPr>
          <w:rFonts w:ascii="Arial" w:hAnsi="Arial" w:cs="Arial"/>
          <w:noProof/>
          <w:szCs w:val="24"/>
          <w:lang w:val="en-GB"/>
        </w:rPr>
        <w:tab/>
        <w:t xml:space="preserve">Covid19.min-saude.pt [homepage in the internet]. </w:t>
      </w:r>
      <w:r w:rsidRPr="00A70D9A">
        <w:rPr>
          <w:rFonts w:ascii="Arial" w:hAnsi="Arial" w:cs="Arial"/>
          <w:noProof/>
          <w:szCs w:val="24"/>
        </w:rPr>
        <w:t xml:space="preserve">Subdiretor-Geral da Saúde reforça o apelo à vacinação - COVID-19; [accessed 2020 May 8]. </w:t>
      </w:r>
      <w:r w:rsidRPr="00A70D9A">
        <w:rPr>
          <w:rFonts w:ascii="Arial" w:hAnsi="Arial" w:cs="Arial"/>
          <w:noProof/>
          <w:szCs w:val="24"/>
          <w:lang w:val="en-GB"/>
        </w:rPr>
        <w:t>Available from: https://covid19.min-saude.pt/subdiretor-geral-da-saude-reforca-o-apelo-a-vacinacao/.</w:t>
      </w:r>
    </w:p>
    <w:p w14:paraId="5CA49510" w14:textId="1F9856D5"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21. </w:t>
      </w:r>
      <w:r w:rsidRPr="00A70D9A">
        <w:rPr>
          <w:rFonts w:ascii="Arial" w:hAnsi="Arial" w:cs="Arial"/>
          <w:noProof/>
          <w:szCs w:val="24"/>
          <w:lang w:val="en-GB"/>
        </w:rPr>
        <w:tab/>
        <w:t xml:space="preserve">Santoli JM, Lindley MC, DeSilva MB, </w:t>
      </w:r>
      <w:r w:rsidR="003D5499" w:rsidRPr="00A70D9A">
        <w:rPr>
          <w:rFonts w:ascii="Arial" w:hAnsi="Arial" w:cs="Arial"/>
          <w:noProof/>
          <w:szCs w:val="24"/>
          <w:lang w:val="en-GB"/>
        </w:rPr>
        <w:t>K</w:t>
      </w:r>
      <w:r w:rsidRPr="00A70D9A">
        <w:rPr>
          <w:rFonts w:ascii="Arial" w:hAnsi="Arial" w:cs="Arial"/>
          <w:noProof/>
          <w:szCs w:val="24"/>
          <w:lang w:val="en-GB"/>
        </w:rPr>
        <w:t>harbanda EO, Daley MF, Galloway L, et al. Effects of the COVID-19 Pandemic on Routine Pediatric Vaccine Ordering and Administration — United States, 2020. MMWR Morb Mortal Wkly Rep. 2020;69:591-593.</w:t>
      </w:r>
    </w:p>
    <w:p w14:paraId="30F780A6" w14:textId="7777777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22. </w:t>
      </w:r>
      <w:r w:rsidRPr="00A70D9A">
        <w:rPr>
          <w:rFonts w:ascii="Arial" w:hAnsi="Arial" w:cs="Arial"/>
          <w:noProof/>
          <w:szCs w:val="24"/>
          <w:lang w:val="en-GB"/>
        </w:rPr>
        <w:tab/>
        <w:t>Lee J. Mental health effects of school closures during COVID-19. Lancet Child Adolesc Heal. 2020;4:421.</w:t>
      </w:r>
    </w:p>
    <w:p w14:paraId="220F211F" w14:textId="7777777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23. </w:t>
      </w:r>
      <w:r w:rsidRPr="00A70D9A">
        <w:rPr>
          <w:rFonts w:ascii="Arial" w:hAnsi="Arial" w:cs="Arial"/>
          <w:noProof/>
          <w:szCs w:val="24"/>
          <w:lang w:val="en-GB"/>
        </w:rPr>
        <w:tab/>
        <w:t>Crawley E, Loades M, Feder G, Logan S, Redwood S, Macleod J. Wider collateral damage to children in the UK because of the social distancing measures designed to reduce the impact of COVID-19 in adults. BMJ Paediatr Open. 2020;4:e000701.</w:t>
      </w:r>
    </w:p>
    <w:p w14:paraId="39765A4F" w14:textId="25ABB681"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rPr>
      </w:pPr>
      <w:r w:rsidRPr="00A70D9A">
        <w:rPr>
          <w:rFonts w:ascii="Arial" w:hAnsi="Arial" w:cs="Arial"/>
          <w:noProof/>
          <w:szCs w:val="24"/>
          <w:lang w:val="en-GB"/>
        </w:rPr>
        <w:lastRenderedPageBreak/>
        <w:t xml:space="preserve">24. </w:t>
      </w:r>
      <w:r w:rsidRPr="00A70D9A">
        <w:rPr>
          <w:rFonts w:ascii="Arial" w:hAnsi="Arial" w:cs="Arial"/>
          <w:noProof/>
          <w:szCs w:val="24"/>
          <w:lang w:val="en-GB"/>
        </w:rPr>
        <w:tab/>
        <w:t>Pecoraro L, Dalle Carbonare L, De Franceschi L, Piacentini G, Pietrobelli A. The psychophysical impact that COVID</w:t>
      </w:r>
      <w:r w:rsidRPr="00A70D9A">
        <w:rPr>
          <w:rFonts w:ascii="Cambria Math" w:hAnsi="Cambria Math" w:cs="Cambria Math"/>
          <w:noProof/>
          <w:szCs w:val="24"/>
          <w:lang w:val="en-GB"/>
        </w:rPr>
        <w:t>‐</w:t>
      </w:r>
      <w:r w:rsidRPr="00A70D9A">
        <w:rPr>
          <w:rFonts w:ascii="Arial" w:hAnsi="Arial" w:cs="Arial"/>
          <w:noProof/>
          <w:szCs w:val="24"/>
          <w:lang w:val="en-GB"/>
        </w:rPr>
        <w:t xml:space="preserve">19 has on children must not be underestimated. </w:t>
      </w:r>
      <w:r w:rsidRPr="00A70D9A">
        <w:rPr>
          <w:rFonts w:ascii="Arial" w:hAnsi="Arial" w:cs="Arial"/>
          <w:noProof/>
          <w:szCs w:val="24"/>
        </w:rPr>
        <w:t>Acta Paediatr.</w:t>
      </w:r>
      <w:r w:rsidR="003D5499" w:rsidRPr="00A70D9A">
        <w:rPr>
          <w:rFonts w:ascii="Arial" w:hAnsi="Arial" w:cs="Arial"/>
          <w:noProof/>
          <w:szCs w:val="24"/>
        </w:rPr>
        <w:t xml:space="preserve"> 2020; 109(8):1679-1680</w:t>
      </w:r>
      <w:r w:rsidRPr="00A70D9A">
        <w:rPr>
          <w:rFonts w:ascii="Arial" w:hAnsi="Arial" w:cs="Arial"/>
          <w:noProof/>
          <w:szCs w:val="24"/>
        </w:rPr>
        <w:t>.</w:t>
      </w:r>
    </w:p>
    <w:p w14:paraId="6E968239" w14:textId="16A2EDCF" w:rsidR="00441950" w:rsidRPr="00A70D9A" w:rsidRDefault="00A31223" w:rsidP="00441950">
      <w:pPr>
        <w:widowControl w:val="0"/>
        <w:autoSpaceDE w:val="0"/>
        <w:autoSpaceDN w:val="0"/>
        <w:adjustRightInd w:val="0"/>
        <w:spacing w:after="0" w:line="360" w:lineRule="auto"/>
        <w:ind w:left="640" w:hanging="640"/>
        <w:rPr>
          <w:rFonts w:ascii="Arial" w:hAnsi="Arial" w:cs="Arial"/>
          <w:noProof/>
          <w:szCs w:val="24"/>
          <w:lang w:val="en-GB"/>
        </w:rPr>
      </w:pPr>
      <w:r w:rsidRPr="00A70D9A">
        <w:rPr>
          <w:rFonts w:ascii="Arial" w:hAnsi="Arial" w:cs="Arial"/>
          <w:noProof/>
          <w:szCs w:val="24"/>
        </w:rPr>
        <w:t xml:space="preserve">25. </w:t>
      </w:r>
      <w:r w:rsidRPr="00A70D9A">
        <w:rPr>
          <w:rFonts w:ascii="Arial" w:hAnsi="Arial" w:cs="Arial"/>
          <w:noProof/>
          <w:szCs w:val="24"/>
        </w:rPr>
        <w:tab/>
      </w:r>
      <w:r w:rsidR="00441950" w:rsidRPr="00A70D9A">
        <w:rPr>
          <w:rFonts w:ascii="Arial" w:hAnsi="Arial" w:cs="Arial"/>
          <w:noProof/>
          <w:szCs w:val="24"/>
        </w:rPr>
        <w:t>Direcção Geral da Saúde.</w:t>
      </w:r>
      <w:r w:rsidR="00217C38" w:rsidRPr="00A70D9A">
        <w:rPr>
          <w:rFonts w:ascii="Arial" w:hAnsi="Arial" w:cs="Arial"/>
          <w:noProof/>
          <w:szCs w:val="24"/>
        </w:rPr>
        <w:t xml:space="preserve"> </w:t>
      </w:r>
      <w:r w:rsidR="00441950" w:rsidRPr="00A70D9A">
        <w:rPr>
          <w:rFonts w:ascii="Arial" w:hAnsi="Arial" w:cs="Arial"/>
          <w:noProof/>
          <w:szCs w:val="24"/>
        </w:rPr>
        <w:t xml:space="preserve">Quem está em risco?; [accessed 2020 May 2]. </w:t>
      </w:r>
      <w:r w:rsidR="00441950" w:rsidRPr="00A70D9A">
        <w:rPr>
          <w:rFonts w:ascii="Arial" w:hAnsi="Arial" w:cs="Arial"/>
          <w:noProof/>
          <w:szCs w:val="24"/>
          <w:lang w:val="en-GB"/>
        </w:rPr>
        <w:t xml:space="preserve">Available from: </w:t>
      </w:r>
      <w:r w:rsidR="00217C38" w:rsidRPr="00A70D9A">
        <w:rPr>
          <w:rFonts w:ascii="Arial" w:hAnsi="Arial" w:cs="Arial"/>
          <w:noProof/>
          <w:szCs w:val="24"/>
          <w:lang w:val="en-GB"/>
        </w:rPr>
        <w:t>https://</w:t>
      </w:r>
      <w:r w:rsidR="00441950" w:rsidRPr="00A70D9A">
        <w:rPr>
          <w:rFonts w:ascii="Arial" w:hAnsi="Arial" w:cs="Arial"/>
          <w:noProof/>
          <w:szCs w:val="24"/>
          <w:lang w:val="en-GB"/>
        </w:rPr>
        <w:t>covid19.min-saude.pt/quem-esta-em-risco/.</w:t>
      </w:r>
    </w:p>
    <w:p w14:paraId="0C735D72" w14:textId="6EE12480" w:rsidR="00A31223" w:rsidRPr="00A70D9A" w:rsidRDefault="00441950"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 xml:space="preserve">26.     </w:t>
      </w:r>
      <w:r w:rsidR="00A31223" w:rsidRPr="00A70D9A">
        <w:rPr>
          <w:rFonts w:ascii="Arial" w:hAnsi="Arial" w:cs="Arial"/>
          <w:noProof/>
          <w:szCs w:val="24"/>
          <w:lang w:val="en-GB"/>
        </w:rPr>
        <w:t xml:space="preserve">Pordata.pt [homepage in the internet]. </w:t>
      </w:r>
      <w:r w:rsidR="00A31223" w:rsidRPr="00A70D9A">
        <w:rPr>
          <w:rFonts w:ascii="Arial" w:hAnsi="Arial" w:cs="Arial"/>
          <w:noProof/>
          <w:szCs w:val="24"/>
        </w:rPr>
        <w:t xml:space="preserve">População residente, média anual: total e por grupo etário; [accessed 2020 Abril 28]. </w:t>
      </w:r>
      <w:r w:rsidR="00A31223" w:rsidRPr="00A70D9A">
        <w:rPr>
          <w:rFonts w:ascii="Arial" w:hAnsi="Arial" w:cs="Arial"/>
          <w:noProof/>
          <w:szCs w:val="24"/>
          <w:lang w:val="en-GB"/>
        </w:rPr>
        <w:t>Available from:  https://www.pordata.pt/Portugal/População+residente++média+anual+total+e+por+grupo+etário-10.</w:t>
      </w:r>
    </w:p>
    <w:p w14:paraId="40D4A299" w14:textId="5D1D1B1F"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2</w:t>
      </w:r>
      <w:r w:rsidR="00441950" w:rsidRPr="00A70D9A">
        <w:rPr>
          <w:rFonts w:ascii="Arial" w:hAnsi="Arial" w:cs="Arial"/>
          <w:noProof/>
          <w:szCs w:val="24"/>
          <w:lang w:val="en-GB"/>
        </w:rPr>
        <w:t>7</w:t>
      </w:r>
      <w:r w:rsidRPr="00A70D9A">
        <w:rPr>
          <w:rFonts w:ascii="Arial" w:hAnsi="Arial" w:cs="Arial"/>
          <w:noProof/>
          <w:szCs w:val="24"/>
          <w:lang w:val="en-GB"/>
        </w:rPr>
        <w:t xml:space="preserve">. </w:t>
      </w:r>
      <w:r w:rsidRPr="00A70D9A">
        <w:rPr>
          <w:rFonts w:ascii="Arial" w:hAnsi="Arial" w:cs="Arial"/>
          <w:noProof/>
          <w:szCs w:val="24"/>
          <w:lang w:val="en-GB"/>
        </w:rPr>
        <w:tab/>
        <w:t>Bialek S, Gierke R, Hughes M, McNamara LA, Pilishvili T, Skoff T. Coronavirus disease 2019 in children — United States, February 12–April 2, 2020. Morb Mortal Wkly Rep. 2020;69:422-426.</w:t>
      </w:r>
    </w:p>
    <w:p w14:paraId="386EACA9" w14:textId="498A5089"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2</w:t>
      </w:r>
      <w:r w:rsidR="00441950" w:rsidRPr="00A70D9A">
        <w:rPr>
          <w:rFonts w:ascii="Arial" w:hAnsi="Arial" w:cs="Arial"/>
          <w:noProof/>
          <w:szCs w:val="24"/>
          <w:lang w:val="en-GB"/>
        </w:rPr>
        <w:t>8</w:t>
      </w:r>
      <w:r w:rsidRPr="00A70D9A">
        <w:rPr>
          <w:rFonts w:ascii="Arial" w:hAnsi="Arial" w:cs="Arial"/>
          <w:noProof/>
          <w:szCs w:val="24"/>
          <w:lang w:val="en-GB"/>
        </w:rPr>
        <w:t xml:space="preserve">. </w:t>
      </w:r>
      <w:r w:rsidRPr="00A70D9A">
        <w:rPr>
          <w:rFonts w:ascii="Arial" w:hAnsi="Arial" w:cs="Arial"/>
          <w:noProof/>
          <w:szCs w:val="24"/>
          <w:lang w:val="en-GB"/>
        </w:rPr>
        <w:tab/>
        <w:t>Berchet C. Emergency Care Services: Trends, Drivers and Interventions to Manage the Demand. OECD Heal Work Pap. 2015;83.</w:t>
      </w:r>
    </w:p>
    <w:p w14:paraId="08E2AA83" w14:textId="76C04EEB"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rPr>
      </w:pPr>
      <w:r w:rsidRPr="00A70D9A">
        <w:rPr>
          <w:rFonts w:ascii="Arial" w:hAnsi="Arial" w:cs="Arial"/>
          <w:noProof/>
          <w:szCs w:val="24"/>
          <w:lang w:val="en-GB"/>
        </w:rPr>
        <w:t>2</w:t>
      </w:r>
      <w:r w:rsidR="00441950" w:rsidRPr="00A70D9A">
        <w:rPr>
          <w:rFonts w:ascii="Arial" w:hAnsi="Arial" w:cs="Arial"/>
          <w:noProof/>
          <w:szCs w:val="24"/>
          <w:lang w:val="en-GB"/>
        </w:rPr>
        <w:t>9</w:t>
      </w:r>
      <w:r w:rsidRPr="00A70D9A">
        <w:rPr>
          <w:rFonts w:ascii="Arial" w:hAnsi="Arial" w:cs="Arial"/>
          <w:noProof/>
          <w:szCs w:val="24"/>
          <w:lang w:val="en-GB"/>
        </w:rPr>
        <w:t xml:space="preserve">. </w:t>
      </w:r>
      <w:r w:rsidRPr="00A70D9A">
        <w:rPr>
          <w:rFonts w:ascii="Arial" w:hAnsi="Arial" w:cs="Arial"/>
          <w:noProof/>
          <w:szCs w:val="24"/>
          <w:lang w:val="en-GB"/>
        </w:rPr>
        <w:tab/>
        <w:t xml:space="preserve">Domeyer P, Katsari V, Mariolis A. Chronic non-communicable diseases: a sacrifice on the altar of COVID-19? </w:t>
      </w:r>
      <w:r w:rsidRPr="00A70D9A">
        <w:rPr>
          <w:rFonts w:ascii="Arial" w:hAnsi="Arial" w:cs="Arial"/>
          <w:noProof/>
          <w:szCs w:val="24"/>
        </w:rPr>
        <w:t>Br J Gen Pract. 2020;70:281.</w:t>
      </w:r>
    </w:p>
    <w:p w14:paraId="7AB41244" w14:textId="7D36E38B" w:rsidR="00A31223" w:rsidRPr="00A70D9A" w:rsidRDefault="00441950"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rPr>
        <w:t>30</w:t>
      </w:r>
      <w:r w:rsidR="00A31223" w:rsidRPr="00A70D9A">
        <w:rPr>
          <w:rFonts w:ascii="Arial" w:hAnsi="Arial" w:cs="Arial"/>
          <w:noProof/>
          <w:szCs w:val="24"/>
        </w:rPr>
        <w:t xml:space="preserve">. </w:t>
      </w:r>
      <w:r w:rsidR="00A31223" w:rsidRPr="00A70D9A">
        <w:rPr>
          <w:rFonts w:ascii="Arial" w:hAnsi="Arial" w:cs="Arial"/>
          <w:noProof/>
          <w:szCs w:val="24"/>
        </w:rPr>
        <w:tab/>
        <w:t xml:space="preserve">Lusa.pt [homepage in the internet]. Dados do “teste do pezinho” apontam para mais cerca de 500 nascimentos em 2019; [accessed 2020 May 27]. </w:t>
      </w:r>
      <w:r w:rsidR="00A31223" w:rsidRPr="00A70D9A">
        <w:rPr>
          <w:rFonts w:ascii="Arial" w:hAnsi="Arial" w:cs="Arial"/>
          <w:noProof/>
          <w:szCs w:val="24"/>
          <w:lang w:val="en-GB"/>
        </w:rPr>
        <w:t>Available from: https://www.lusa.pt/article/NaV_PENgKAkWbL9aaWp06zMSZM5iuSI1/dados-do-teste-do-pezinho-apontam-para-mais-cerca-de-500-nascimentos-em-2019.</w:t>
      </w:r>
    </w:p>
    <w:p w14:paraId="692DC11F" w14:textId="2B0F6C70"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3</w:t>
      </w:r>
      <w:r w:rsidR="00441950" w:rsidRPr="00A70D9A">
        <w:rPr>
          <w:rFonts w:ascii="Arial" w:hAnsi="Arial" w:cs="Arial"/>
          <w:noProof/>
          <w:szCs w:val="24"/>
          <w:lang w:val="en-GB"/>
        </w:rPr>
        <w:t>1</w:t>
      </w:r>
      <w:r w:rsidRPr="00A70D9A">
        <w:rPr>
          <w:rFonts w:ascii="Arial" w:hAnsi="Arial" w:cs="Arial"/>
          <w:noProof/>
          <w:szCs w:val="24"/>
          <w:lang w:val="en-GB"/>
        </w:rPr>
        <w:t xml:space="preserve">. </w:t>
      </w:r>
      <w:r w:rsidRPr="00A70D9A">
        <w:rPr>
          <w:rFonts w:ascii="Arial" w:hAnsi="Arial" w:cs="Arial"/>
          <w:noProof/>
          <w:szCs w:val="24"/>
          <w:lang w:val="en-GB"/>
        </w:rPr>
        <w:tab/>
        <w:t>Lancet Child &amp; Adolescent Health. Pandemic school closures: risks and opportunities. Lancet Child Adolesc Heal. 2020;4:341.</w:t>
      </w:r>
    </w:p>
    <w:p w14:paraId="1B56BD5F" w14:textId="1FC8DE3A"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3</w:t>
      </w:r>
      <w:r w:rsidR="00441950" w:rsidRPr="00A70D9A">
        <w:rPr>
          <w:rFonts w:ascii="Arial" w:hAnsi="Arial" w:cs="Arial"/>
          <w:noProof/>
          <w:szCs w:val="24"/>
          <w:lang w:val="en-GB"/>
        </w:rPr>
        <w:t>2</w:t>
      </w:r>
      <w:r w:rsidRPr="00A70D9A">
        <w:rPr>
          <w:rFonts w:ascii="Arial" w:hAnsi="Arial" w:cs="Arial"/>
          <w:noProof/>
          <w:szCs w:val="24"/>
          <w:lang w:val="en-GB"/>
        </w:rPr>
        <w:t xml:space="preserve">. </w:t>
      </w:r>
      <w:r w:rsidRPr="00A70D9A">
        <w:rPr>
          <w:rFonts w:ascii="Arial" w:hAnsi="Arial" w:cs="Arial"/>
          <w:noProof/>
          <w:szCs w:val="24"/>
          <w:lang w:val="en-GB"/>
        </w:rPr>
        <w:tab/>
        <w:t>Viner RM, Russell SJ, Croker H, Packer J, Ward J, Stansfield C, et al. School closure and management practices during coronavirus outbreaks including COVID-19: a rapid systematic review. Lancet child Adolesc Heal. 2020;4:397-404.</w:t>
      </w:r>
    </w:p>
    <w:p w14:paraId="69ABA9B2" w14:textId="04832A32"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de-DE"/>
        </w:rPr>
        <w:t>3</w:t>
      </w:r>
      <w:r w:rsidR="00441950" w:rsidRPr="00A70D9A">
        <w:rPr>
          <w:rFonts w:ascii="Arial" w:hAnsi="Arial" w:cs="Arial"/>
          <w:noProof/>
          <w:szCs w:val="24"/>
          <w:lang w:val="de-DE"/>
        </w:rPr>
        <w:t>3</w:t>
      </w:r>
      <w:r w:rsidRPr="00A70D9A">
        <w:rPr>
          <w:rFonts w:ascii="Arial" w:hAnsi="Arial" w:cs="Arial"/>
          <w:noProof/>
          <w:szCs w:val="24"/>
          <w:lang w:val="de-DE"/>
        </w:rPr>
        <w:t xml:space="preserve">. </w:t>
      </w:r>
      <w:r w:rsidRPr="00A70D9A">
        <w:rPr>
          <w:rFonts w:ascii="Arial" w:hAnsi="Arial" w:cs="Arial"/>
          <w:noProof/>
          <w:szCs w:val="24"/>
          <w:lang w:val="de-DE"/>
        </w:rPr>
        <w:tab/>
        <w:t xml:space="preserve">Rundle AG, Park Y, Herbstman JB, Kinsey EW, Wang YC. </w:t>
      </w:r>
      <w:r w:rsidRPr="00A70D9A">
        <w:rPr>
          <w:rFonts w:ascii="Arial" w:hAnsi="Arial" w:cs="Arial"/>
          <w:noProof/>
          <w:szCs w:val="24"/>
          <w:lang w:val="en-GB"/>
        </w:rPr>
        <w:t>COVID</w:t>
      </w:r>
      <w:r w:rsidRPr="00A70D9A">
        <w:rPr>
          <w:rFonts w:ascii="Cambria Math" w:hAnsi="Cambria Math" w:cs="Cambria Math"/>
          <w:noProof/>
          <w:szCs w:val="24"/>
          <w:lang w:val="en-GB"/>
        </w:rPr>
        <w:t>‐</w:t>
      </w:r>
      <w:r w:rsidRPr="00A70D9A">
        <w:rPr>
          <w:rFonts w:ascii="Arial" w:hAnsi="Arial" w:cs="Arial"/>
          <w:noProof/>
          <w:szCs w:val="24"/>
          <w:lang w:val="en-GB"/>
        </w:rPr>
        <w:t>19–Related School Closings and Risk of Weight Gain Among Children. Obesity. 2020;28:1008-1009.</w:t>
      </w:r>
    </w:p>
    <w:p w14:paraId="7999F6BD" w14:textId="269FB92F"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3</w:t>
      </w:r>
      <w:r w:rsidR="00441950" w:rsidRPr="00A70D9A">
        <w:rPr>
          <w:rFonts w:ascii="Arial" w:hAnsi="Arial" w:cs="Arial"/>
          <w:noProof/>
          <w:szCs w:val="24"/>
          <w:lang w:val="en-GB"/>
        </w:rPr>
        <w:t>4</w:t>
      </w:r>
      <w:r w:rsidRPr="00A70D9A">
        <w:rPr>
          <w:rFonts w:ascii="Arial" w:hAnsi="Arial" w:cs="Arial"/>
          <w:noProof/>
          <w:szCs w:val="24"/>
          <w:lang w:val="en-GB"/>
        </w:rPr>
        <w:t xml:space="preserve">. </w:t>
      </w:r>
      <w:r w:rsidRPr="00A70D9A">
        <w:rPr>
          <w:rFonts w:ascii="Arial" w:hAnsi="Arial" w:cs="Arial"/>
          <w:noProof/>
          <w:szCs w:val="24"/>
          <w:lang w:val="en-GB"/>
        </w:rPr>
        <w:tab/>
        <w:t>Margaritis I, Houdart S, El Ouadrhiri Y, Bigard X, Vuillemin A, Duché P. How to deal with COVID-19 epidemic-related lockdown physical inactivity and sedentary increase in youth? Adaptation of Anses’ benchmarks. Arch Public Heal. 2020;7</w:t>
      </w:r>
      <w:r w:rsidR="0092526D" w:rsidRPr="00A70D9A">
        <w:rPr>
          <w:rFonts w:ascii="Arial" w:hAnsi="Arial" w:cs="Arial"/>
          <w:noProof/>
          <w:szCs w:val="24"/>
          <w:lang w:val="en-GB"/>
        </w:rPr>
        <w:t>8:52</w:t>
      </w:r>
      <w:r w:rsidRPr="00A70D9A">
        <w:rPr>
          <w:rFonts w:ascii="Arial" w:hAnsi="Arial" w:cs="Arial"/>
          <w:noProof/>
          <w:szCs w:val="24"/>
          <w:lang w:val="en-GB"/>
        </w:rPr>
        <w:t>.</w:t>
      </w:r>
    </w:p>
    <w:p w14:paraId="229BB223" w14:textId="2DB7B98D"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3</w:t>
      </w:r>
      <w:r w:rsidR="00441950" w:rsidRPr="00A70D9A">
        <w:rPr>
          <w:rFonts w:ascii="Arial" w:hAnsi="Arial" w:cs="Arial"/>
          <w:noProof/>
          <w:szCs w:val="24"/>
          <w:lang w:val="en-GB"/>
        </w:rPr>
        <w:t>5</w:t>
      </w:r>
      <w:r w:rsidRPr="00A70D9A">
        <w:rPr>
          <w:rFonts w:ascii="Arial" w:hAnsi="Arial" w:cs="Arial"/>
          <w:noProof/>
          <w:szCs w:val="24"/>
          <w:lang w:val="en-GB"/>
        </w:rPr>
        <w:t xml:space="preserve">. </w:t>
      </w:r>
      <w:r w:rsidRPr="00A70D9A">
        <w:rPr>
          <w:rFonts w:ascii="Arial" w:hAnsi="Arial" w:cs="Arial"/>
          <w:noProof/>
          <w:szCs w:val="24"/>
          <w:lang w:val="en-GB"/>
        </w:rPr>
        <w:tab/>
        <w:t xml:space="preserve">World Health Organization. Global recommendations on physical activity for health. </w:t>
      </w:r>
      <w:r w:rsidRPr="00A70D9A">
        <w:rPr>
          <w:rFonts w:ascii="Arial" w:hAnsi="Arial" w:cs="Arial"/>
          <w:i/>
          <w:iCs/>
          <w:noProof/>
          <w:szCs w:val="24"/>
          <w:lang w:val="en-GB"/>
        </w:rPr>
        <w:t>WHO</w:t>
      </w:r>
      <w:r w:rsidRPr="00A70D9A">
        <w:rPr>
          <w:rFonts w:ascii="Arial" w:hAnsi="Arial" w:cs="Arial"/>
          <w:noProof/>
          <w:szCs w:val="24"/>
          <w:lang w:val="en-GB"/>
        </w:rPr>
        <w:t>. 2010.</w:t>
      </w:r>
    </w:p>
    <w:p w14:paraId="4A0DBDC2" w14:textId="0E4E4C37"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3</w:t>
      </w:r>
      <w:r w:rsidR="00441950" w:rsidRPr="00A70D9A">
        <w:rPr>
          <w:rFonts w:ascii="Arial" w:hAnsi="Arial" w:cs="Arial"/>
          <w:noProof/>
          <w:szCs w:val="24"/>
          <w:lang w:val="en-GB"/>
        </w:rPr>
        <w:t>6</w:t>
      </w:r>
      <w:r w:rsidRPr="00A70D9A">
        <w:rPr>
          <w:rFonts w:ascii="Arial" w:hAnsi="Arial" w:cs="Arial"/>
          <w:noProof/>
          <w:szCs w:val="24"/>
          <w:lang w:val="en-GB"/>
        </w:rPr>
        <w:t xml:space="preserve">. </w:t>
      </w:r>
      <w:r w:rsidRPr="00A70D9A">
        <w:rPr>
          <w:rFonts w:ascii="Arial" w:hAnsi="Arial" w:cs="Arial"/>
          <w:noProof/>
          <w:szCs w:val="24"/>
          <w:lang w:val="en-GB"/>
        </w:rPr>
        <w:tab/>
        <w:t>Shahidi SH, Stewart Williams J, Hassani F. Physical activity during COVID</w:t>
      </w:r>
      <w:r w:rsidRPr="00A70D9A">
        <w:rPr>
          <w:rFonts w:ascii="Cambria Math" w:hAnsi="Cambria Math" w:cs="Cambria Math"/>
          <w:noProof/>
          <w:szCs w:val="24"/>
          <w:lang w:val="en-GB"/>
        </w:rPr>
        <w:t>‐</w:t>
      </w:r>
      <w:r w:rsidRPr="00A70D9A">
        <w:rPr>
          <w:rFonts w:ascii="Arial" w:hAnsi="Arial" w:cs="Arial"/>
          <w:noProof/>
          <w:szCs w:val="24"/>
          <w:lang w:val="en-GB"/>
        </w:rPr>
        <w:t xml:space="preserve">19 quarantine. Acta Paediatr. </w:t>
      </w:r>
      <w:r w:rsidR="003D5499" w:rsidRPr="00A70D9A">
        <w:rPr>
          <w:rFonts w:ascii="Arial" w:hAnsi="Arial" w:cs="Arial"/>
          <w:noProof/>
          <w:szCs w:val="24"/>
          <w:lang w:val="en-GB"/>
        </w:rPr>
        <w:t>2020; 109(10):2147-8</w:t>
      </w:r>
      <w:r w:rsidRPr="00A70D9A">
        <w:rPr>
          <w:rFonts w:ascii="Arial" w:hAnsi="Arial" w:cs="Arial"/>
          <w:noProof/>
          <w:szCs w:val="24"/>
          <w:lang w:val="en-GB"/>
        </w:rPr>
        <w:t>.</w:t>
      </w:r>
    </w:p>
    <w:p w14:paraId="0C359B8A" w14:textId="4DF57211"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lastRenderedPageBreak/>
        <w:t>3</w:t>
      </w:r>
      <w:r w:rsidR="00441950" w:rsidRPr="00A70D9A">
        <w:rPr>
          <w:rFonts w:ascii="Arial" w:hAnsi="Arial" w:cs="Arial"/>
          <w:noProof/>
          <w:szCs w:val="24"/>
          <w:lang w:val="en-GB"/>
        </w:rPr>
        <w:t>7</w:t>
      </w:r>
      <w:r w:rsidRPr="00A70D9A">
        <w:rPr>
          <w:rFonts w:ascii="Arial" w:hAnsi="Arial" w:cs="Arial"/>
          <w:noProof/>
          <w:szCs w:val="24"/>
          <w:lang w:val="en-GB"/>
        </w:rPr>
        <w:t xml:space="preserve">. </w:t>
      </w:r>
      <w:r w:rsidRPr="00A70D9A">
        <w:rPr>
          <w:rFonts w:ascii="Arial" w:hAnsi="Arial" w:cs="Arial"/>
          <w:noProof/>
          <w:szCs w:val="24"/>
          <w:lang w:val="en-GB"/>
        </w:rPr>
        <w:tab/>
        <w:t>Brooks SK, Webster RK, Smith LE, Woodland L, Wess</w:t>
      </w:r>
      <w:r w:rsidR="0092526D" w:rsidRPr="00A70D9A">
        <w:rPr>
          <w:rFonts w:ascii="Arial" w:hAnsi="Arial" w:cs="Arial"/>
          <w:noProof/>
          <w:szCs w:val="24"/>
          <w:lang w:val="en-GB"/>
        </w:rPr>
        <w:t>e</w:t>
      </w:r>
      <w:r w:rsidRPr="00A70D9A">
        <w:rPr>
          <w:rFonts w:ascii="Arial" w:hAnsi="Arial" w:cs="Arial"/>
          <w:noProof/>
          <w:szCs w:val="24"/>
          <w:lang w:val="en-GB"/>
        </w:rPr>
        <w:t>ley S, Greenberg N, et al. The psychological impact of quarantine and how to reduce it: rapid review of the evidence. Lancet. 2020;395:912-920.</w:t>
      </w:r>
    </w:p>
    <w:p w14:paraId="7F9CAB5C" w14:textId="347E5A89" w:rsidR="00A31223" w:rsidRPr="00A70D9A" w:rsidRDefault="00A31223" w:rsidP="00A31223">
      <w:pPr>
        <w:widowControl w:val="0"/>
        <w:autoSpaceDE w:val="0"/>
        <w:autoSpaceDN w:val="0"/>
        <w:adjustRightInd w:val="0"/>
        <w:spacing w:after="0" w:line="360" w:lineRule="auto"/>
        <w:ind w:left="640" w:hanging="640"/>
        <w:jc w:val="both"/>
        <w:rPr>
          <w:rFonts w:ascii="Arial" w:hAnsi="Arial" w:cs="Arial"/>
          <w:noProof/>
          <w:szCs w:val="24"/>
          <w:lang w:val="en-GB"/>
        </w:rPr>
      </w:pPr>
      <w:r w:rsidRPr="00A70D9A">
        <w:rPr>
          <w:rFonts w:ascii="Arial" w:hAnsi="Arial" w:cs="Arial"/>
          <w:noProof/>
          <w:szCs w:val="24"/>
          <w:lang w:val="en-GB"/>
        </w:rPr>
        <w:t>3</w:t>
      </w:r>
      <w:r w:rsidR="00441950" w:rsidRPr="00A70D9A">
        <w:rPr>
          <w:rFonts w:ascii="Arial" w:hAnsi="Arial" w:cs="Arial"/>
          <w:noProof/>
          <w:szCs w:val="24"/>
          <w:lang w:val="en-GB"/>
        </w:rPr>
        <w:t>8</w:t>
      </w:r>
      <w:r w:rsidRPr="00A70D9A">
        <w:rPr>
          <w:rFonts w:ascii="Arial" w:hAnsi="Arial" w:cs="Arial"/>
          <w:noProof/>
          <w:szCs w:val="24"/>
          <w:lang w:val="en-GB"/>
        </w:rPr>
        <w:t xml:space="preserve">. </w:t>
      </w:r>
      <w:r w:rsidRPr="00A70D9A">
        <w:rPr>
          <w:rFonts w:ascii="Arial" w:hAnsi="Arial" w:cs="Arial"/>
          <w:noProof/>
          <w:szCs w:val="24"/>
          <w:lang w:val="en-GB"/>
        </w:rPr>
        <w:tab/>
        <w:t>Danese A, Smith P, Chitsabesan P, Dubicka B. Child and adolescent mental health amidst emergencies and disasters. Br J Psychiatry. 2020;216:159-162.</w:t>
      </w:r>
    </w:p>
    <w:p w14:paraId="3C645E61" w14:textId="0FD85EC7" w:rsidR="0041318C" w:rsidRPr="00A70D9A" w:rsidRDefault="00A31223" w:rsidP="00A31223">
      <w:pPr>
        <w:widowControl w:val="0"/>
        <w:autoSpaceDE w:val="0"/>
        <w:autoSpaceDN w:val="0"/>
        <w:adjustRightInd w:val="0"/>
        <w:spacing w:after="0" w:line="360" w:lineRule="auto"/>
        <w:ind w:left="640" w:hanging="640"/>
        <w:jc w:val="both"/>
        <w:rPr>
          <w:rFonts w:ascii="Arial" w:hAnsi="Arial" w:cs="Arial"/>
          <w:noProof/>
          <w:lang w:val="en-GB"/>
        </w:rPr>
      </w:pPr>
      <w:r w:rsidRPr="00A70D9A">
        <w:rPr>
          <w:rFonts w:ascii="Arial" w:hAnsi="Arial" w:cs="Arial"/>
          <w:noProof/>
          <w:szCs w:val="24"/>
          <w:lang w:val="en-GB"/>
        </w:rPr>
        <w:t>3</w:t>
      </w:r>
      <w:r w:rsidR="00441950" w:rsidRPr="00A70D9A">
        <w:rPr>
          <w:rFonts w:ascii="Arial" w:hAnsi="Arial" w:cs="Arial"/>
          <w:noProof/>
          <w:szCs w:val="24"/>
          <w:lang w:val="en-GB"/>
        </w:rPr>
        <w:t>9</w:t>
      </w:r>
      <w:r w:rsidRPr="00A70D9A">
        <w:rPr>
          <w:rFonts w:ascii="Arial" w:hAnsi="Arial" w:cs="Arial"/>
          <w:noProof/>
          <w:szCs w:val="24"/>
          <w:lang w:val="en-GB"/>
        </w:rPr>
        <w:t xml:space="preserve">. </w:t>
      </w:r>
      <w:r w:rsidRPr="00A70D9A">
        <w:rPr>
          <w:rFonts w:ascii="Arial" w:hAnsi="Arial" w:cs="Arial"/>
          <w:noProof/>
          <w:szCs w:val="24"/>
          <w:lang w:val="en-GB"/>
        </w:rPr>
        <w:tab/>
        <w:t>Sprang G, Silman M. Posttraumatic stress disorder in parents and youth after health-related disasters. Disaster Med Public Health Prep. 2013;7:105-110.</w:t>
      </w:r>
    </w:p>
    <w:bookmarkEnd w:id="1"/>
    <w:p w14:paraId="718591FE" w14:textId="77777777" w:rsidR="0041318C" w:rsidRPr="00A70D9A" w:rsidRDefault="0041318C">
      <w:pPr>
        <w:rPr>
          <w:rFonts w:ascii="Arial" w:hAnsi="Arial" w:cs="Arial"/>
          <w:b/>
          <w:bCs/>
          <w:lang w:val="en-US"/>
        </w:rPr>
      </w:pPr>
      <w:r w:rsidRPr="00A70D9A">
        <w:rPr>
          <w:rFonts w:ascii="Arial" w:hAnsi="Arial" w:cs="Arial"/>
          <w:b/>
          <w:bCs/>
          <w:lang w:val="en-US"/>
        </w:rPr>
        <w:br w:type="page"/>
      </w:r>
    </w:p>
    <w:p w14:paraId="2C3EBD8D" w14:textId="77777777" w:rsidR="006576BB" w:rsidRPr="00A70D9A" w:rsidRDefault="006576BB" w:rsidP="006576BB">
      <w:pPr>
        <w:spacing w:after="0"/>
        <w:jc w:val="both"/>
        <w:rPr>
          <w:rFonts w:ascii="Arial" w:hAnsi="Arial" w:cs="Arial"/>
          <w:b/>
          <w:bCs/>
          <w:lang w:val="en-US"/>
        </w:rPr>
      </w:pPr>
      <w:r w:rsidRPr="00A70D9A">
        <w:rPr>
          <w:rFonts w:ascii="Arial" w:hAnsi="Arial" w:cs="Arial"/>
          <w:b/>
          <w:bCs/>
          <w:lang w:val="en-US"/>
        </w:rPr>
        <w:lastRenderedPageBreak/>
        <w:t>TABLES</w:t>
      </w:r>
    </w:p>
    <w:p w14:paraId="7DFAA2DC" w14:textId="77C1A7E3" w:rsidR="006576BB" w:rsidRPr="00A70D9A" w:rsidRDefault="006576BB" w:rsidP="006576BB">
      <w:pPr>
        <w:spacing w:after="0"/>
        <w:jc w:val="both"/>
        <w:rPr>
          <w:rFonts w:ascii="Arial" w:hAnsi="Arial" w:cs="Arial"/>
          <w:lang w:val="en-US"/>
        </w:rPr>
      </w:pPr>
    </w:p>
    <w:p w14:paraId="5B52AE04" w14:textId="72DBEC0B" w:rsidR="00950030" w:rsidRPr="00A70D9A" w:rsidRDefault="00950030" w:rsidP="006576BB">
      <w:pPr>
        <w:spacing w:after="0"/>
        <w:jc w:val="both"/>
        <w:rPr>
          <w:rFonts w:ascii="Arial" w:hAnsi="Arial" w:cs="Arial"/>
          <w:lang w:val="en-US"/>
        </w:rPr>
      </w:pPr>
      <w:r w:rsidRPr="00A70D9A">
        <w:rPr>
          <w:rFonts w:ascii="Arial" w:hAnsi="Arial" w:cs="Arial"/>
          <w:lang w:val="en-US"/>
        </w:rPr>
        <w:t xml:space="preserve">Table 1 – </w:t>
      </w:r>
      <w:r w:rsidR="00D208A2" w:rsidRPr="00A70D9A">
        <w:rPr>
          <w:rFonts w:ascii="Arial" w:hAnsi="Arial" w:cs="Arial"/>
          <w:lang w:val="en-US"/>
        </w:rPr>
        <w:t>Socio-demographic characteristics of the participants</w:t>
      </w:r>
    </w:p>
    <w:tbl>
      <w:tblPr>
        <w:tblStyle w:val="TabelacomGrelha"/>
        <w:tblW w:w="8217" w:type="dxa"/>
        <w:tblLook w:val="04A0" w:firstRow="1" w:lastRow="0" w:firstColumn="1" w:lastColumn="0" w:noHBand="0" w:noVBand="1"/>
      </w:tblPr>
      <w:tblGrid>
        <w:gridCol w:w="4957"/>
        <w:gridCol w:w="3260"/>
      </w:tblGrid>
      <w:tr w:rsidR="00A70D9A" w:rsidRPr="00A70D9A" w14:paraId="593CF8E7" w14:textId="77777777" w:rsidTr="00A70D9A">
        <w:tc>
          <w:tcPr>
            <w:tcW w:w="4957" w:type="dxa"/>
            <w:vAlign w:val="center"/>
          </w:tcPr>
          <w:p w14:paraId="3E2C4E45" w14:textId="77777777" w:rsidR="00D208A2" w:rsidRPr="00A70D9A" w:rsidRDefault="00D208A2" w:rsidP="00A70D9A">
            <w:pPr>
              <w:jc w:val="center"/>
              <w:rPr>
                <w:rFonts w:ascii="Arial" w:hAnsi="Arial" w:cs="Arial"/>
                <w:b/>
              </w:rPr>
            </w:pPr>
            <w:r w:rsidRPr="00A70D9A">
              <w:rPr>
                <w:rFonts w:ascii="Arial" w:hAnsi="Arial" w:cs="Arial"/>
                <w:b/>
                <w:lang w:val="en-US"/>
              </w:rPr>
              <w:t>Socio-demographic characteristics</w:t>
            </w:r>
          </w:p>
        </w:tc>
        <w:tc>
          <w:tcPr>
            <w:tcW w:w="3260" w:type="dxa"/>
            <w:vAlign w:val="center"/>
          </w:tcPr>
          <w:p w14:paraId="44C38183" w14:textId="2A5E7AB8" w:rsidR="00D208A2" w:rsidRPr="00A70D9A" w:rsidRDefault="00D208A2" w:rsidP="00A70D9A">
            <w:pPr>
              <w:jc w:val="center"/>
              <w:rPr>
                <w:rFonts w:ascii="Arial" w:hAnsi="Arial" w:cs="Arial"/>
                <w:b/>
                <w:lang w:val="en-GB"/>
              </w:rPr>
            </w:pPr>
            <w:r w:rsidRPr="00A70D9A">
              <w:rPr>
                <w:rFonts w:ascii="Arial" w:hAnsi="Arial" w:cs="Arial"/>
                <w:b/>
                <w:lang w:val="en-GB"/>
              </w:rPr>
              <w:t>No</w:t>
            </w:r>
            <w:r w:rsidR="00FB73B3" w:rsidRPr="00A70D9A">
              <w:rPr>
                <w:rFonts w:ascii="Arial" w:hAnsi="Arial" w:cs="Arial"/>
                <w:b/>
                <w:lang w:val="en-GB"/>
              </w:rPr>
              <w:t>.</w:t>
            </w:r>
            <w:r w:rsidRPr="00A70D9A">
              <w:rPr>
                <w:rFonts w:ascii="Arial" w:hAnsi="Arial" w:cs="Arial"/>
                <w:b/>
                <w:lang w:val="en-GB"/>
              </w:rPr>
              <w:t xml:space="preserve"> (and %) of respondents</w:t>
            </w:r>
          </w:p>
          <w:p w14:paraId="1B4C4D44" w14:textId="77777777" w:rsidR="00D208A2" w:rsidRPr="00A70D9A" w:rsidRDefault="00D208A2" w:rsidP="00A70D9A">
            <w:pPr>
              <w:jc w:val="center"/>
              <w:rPr>
                <w:rFonts w:ascii="Arial" w:hAnsi="Arial" w:cs="Arial"/>
                <w:b/>
                <w:lang w:val="en-GB"/>
              </w:rPr>
            </w:pPr>
            <w:r w:rsidRPr="00A70D9A">
              <w:rPr>
                <w:rFonts w:ascii="Arial" w:hAnsi="Arial" w:cs="Arial"/>
                <w:b/>
                <w:lang w:val="en-GB"/>
              </w:rPr>
              <w:t>(n = 12390)</w:t>
            </w:r>
          </w:p>
        </w:tc>
      </w:tr>
      <w:tr w:rsidR="00A70D9A" w:rsidRPr="00A70D9A" w14:paraId="411D55B3" w14:textId="77777777" w:rsidTr="00A70D9A">
        <w:tc>
          <w:tcPr>
            <w:tcW w:w="4957" w:type="dxa"/>
          </w:tcPr>
          <w:p w14:paraId="13258F89" w14:textId="77777777" w:rsidR="00D208A2" w:rsidRPr="00A70D9A" w:rsidRDefault="00D208A2" w:rsidP="00A70D9A">
            <w:pPr>
              <w:rPr>
                <w:rFonts w:ascii="Arial" w:hAnsi="Arial" w:cs="Arial"/>
                <w:b/>
                <w:bCs/>
              </w:rPr>
            </w:pPr>
            <w:proofErr w:type="spellStart"/>
            <w:r w:rsidRPr="00A70D9A">
              <w:rPr>
                <w:rFonts w:ascii="Arial" w:hAnsi="Arial" w:cs="Arial"/>
                <w:b/>
                <w:bCs/>
              </w:rPr>
              <w:t>Living</w:t>
            </w:r>
            <w:proofErr w:type="spellEnd"/>
            <w:r w:rsidRPr="00A70D9A">
              <w:rPr>
                <w:rFonts w:ascii="Arial" w:hAnsi="Arial" w:cs="Arial"/>
                <w:b/>
                <w:bCs/>
              </w:rPr>
              <w:t xml:space="preserve"> </w:t>
            </w:r>
            <w:proofErr w:type="spellStart"/>
            <w:r w:rsidRPr="00A70D9A">
              <w:rPr>
                <w:rFonts w:ascii="Arial" w:hAnsi="Arial" w:cs="Arial"/>
                <w:b/>
                <w:bCs/>
              </w:rPr>
              <w:t>districts</w:t>
            </w:r>
            <w:proofErr w:type="spellEnd"/>
          </w:p>
          <w:p w14:paraId="2300378A" w14:textId="77777777" w:rsidR="00D208A2" w:rsidRPr="00A70D9A" w:rsidRDefault="00D208A2" w:rsidP="00A70D9A">
            <w:pPr>
              <w:rPr>
                <w:rFonts w:ascii="Arial" w:hAnsi="Arial" w:cs="Arial"/>
              </w:rPr>
            </w:pPr>
            <w:r w:rsidRPr="00A70D9A">
              <w:rPr>
                <w:rFonts w:ascii="Arial" w:hAnsi="Arial" w:cs="Arial"/>
              </w:rPr>
              <w:t xml:space="preserve">       Aveiro</w:t>
            </w:r>
          </w:p>
          <w:p w14:paraId="5A5F6885" w14:textId="77777777" w:rsidR="00D208A2" w:rsidRPr="00A70D9A" w:rsidRDefault="00D208A2" w:rsidP="00A70D9A">
            <w:pPr>
              <w:rPr>
                <w:rFonts w:ascii="Arial" w:hAnsi="Arial" w:cs="Arial"/>
              </w:rPr>
            </w:pPr>
            <w:r w:rsidRPr="00A70D9A">
              <w:rPr>
                <w:rFonts w:ascii="Arial" w:hAnsi="Arial" w:cs="Arial"/>
              </w:rPr>
              <w:t xml:space="preserve">       Beja</w:t>
            </w:r>
          </w:p>
          <w:p w14:paraId="1939A9C9" w14:textId="77777777" w:rsidR="00D208A2" w:rsidRPr="00A70D9A" w:rsidRDefault="00D208A2" w:rsidP="00A70D9A">
            <w:pPr>
              <w:rPr>
                <w:rFonts w:ascii="Arial" w:hAnsi="Arial" w:cs="Arial"/>
              </w:rPr>
            </w:pPr>
            <w:r w:rsidRPr="00A70D9A">
              <w:rPr>
                <w:rFonts w:ascii="Arial" w:hAnsi="Arial" w:cs="Arial"/>
              </w:rPr>
              <w:t xml:space="preserve">       Braga</w:t>
            </w:r>
          </w:p>
          <w:p w14:paraId="543333F9" w14:textId="77777777" w:rsidR="00D208A2" w:rsidRPr="00A70D9A" w:rsidRDefault="00D208A2" w:rsidP="00A70D9A">
            <w:pPr>
              <w:rPr>
                <w:rFonts w:ascii="Arial" w:hAnsi="Arial" w:cs="Arial"/>
              </w:rPr>
            </w:pPr>
            <w:r w:rsidRPr="00A70D9A">
              <w:rPr>
                <w:rFonts w:ascii="Arial" w:hAnsi="Arial" w:cs="Arial"/>
              </w:rPr>
              <w:t xml:space="preserve">       Bragança</w:t>
            </w:r>
          </w:p>
          <w:p w14:paraId="4B5DBAE3" w14:textId="77777777" w:rsidR="00D208A2" w:rsidRPr="00A70D9A" w:rsidRDefault="00D208A2" w:rsidP="00A70D9A">
            <w:pPr>
              <w:rPr>
                <w:rFonts w:ascii="Arial" w:hAnsi="Arial" w:cs="Arial"/>
              </w:rPr>
            </w:pPr>
            <w:r w:rsidRPr="00A70D9A">
              <w:rPr>
                <w:rFonts w:ascii="Arial" w:hAnsi="Arial" w:cs="Arial"/>
              </w:rPr>
              <w:t xml:space="preserve">       Castelo Branco</w:t>
            </w:r>
          </w:p>
          <w:p w14:paraId="65D771BA" w14:textId="77777777" w:rsidR="00D208A2" w:rsidRPr="00A70D9A" w:rsidRDefault="00D208A2" w:rsidP="00A70D9A">
            <w:pPr>
              <w:rPr>
                <w:rFonts w:ascii="Arial" w:hAnsi="Arial" w:cs="Arial"/>
              </w:rPr>
            </w:pPr>
            <w:r w:rsidRPr="00A70D9A">
              <w:rPr>
                <w:rFonts w:ascii="Arial" w:hAnsi="Arial" w:cs="Arial"/>
              </w:rPr>
              <w:t xml:space="preserve">       Coimbra</w:t>
            </w:r>
          </w:p>
          <w:p w14:paraId="1532CF8E" w14:textId="77777777" w:rsidR="00D208A2" w:rsidRPr="00A70D9A" w:rsidRDefault="00D208A2" w:rsidP="00A70D9A">
            <w:pPr>
              <w:rPr>
                <w:rFonts w:ascii="Arial" w:hAnsi="Arial" w:cs="Arial"/>
              </w:rPr>
            </w:pPr>
            <w:r w:rsidRPr="00A70D9A">
              <w:rPr>
                <w:rFonts w:ascii="Arial" w:hAnsi="Arial" w:cs="Arial"/>
              </w:rPr>
              <w:t xml:space="preserve">       Évora</w:t>
            </w:r>
          </w:p>
          <w:p w14:paraId="59512C0A" w14:textId="77777777" w:rsidR="00D208A2" w:rsidRPr="00A70D9A" w:rsidRDefault="00D208A2" w:rsidP="00A70D9A">
            <w:pPr>
              <w:rPr>
                <w:rFonts w:ascii="Arial" w:hAnsi="Arial" w:cs="Arial"/>
              </w:rPr>
            </w:pPr>
            <w:r w:rsidRPr="00A70D9A">
              <w:rPr>
                <w:rFonts w:ascii="Arial" w:hAnsi="Arial" w:cs="Arial"/>
              </w:rPr>
              <w:t xml:space="preserve">       Faro</w:t>
            </w:r>
          </w:p>
          <w:p w14:paraId="1A1350FB" w14:textId="77777777" w:rsidR="00D208A2" w:rsidRPr="00A70D9A" w:rsidRDefault="00D208A2" w:rsidP="00A70D9A">
            <w:pPr>
              <w:rPr>
                <w:rFonts w:ascii="Arial" w:hAnsi="Arial" w:cs="Arial"/>
              </w:rPr>
            </w:pPr>
            <w:r w:rsidRPr="00A70D9A">
              <w:rPr>
                <w:rFonts w:ascii="Arial" w:hAnsi="Arial" w:cs="Arial"/>
              </w:rPr>
              <w:t xml:space="preserve">       Guarda</w:t>
            </w:r>
          </w:p>
          <w:p w14:paraId="72165C63" w14:textId="77777777" w:rsidR="00D208A2" w:rsidRPr="00A70D9A" w:rsidRDefault="00D208A2" w:rsidP="00A70D9A">
            <w:pPr>
              <w:rPr>
                <w:rFonts w:ascii="Arial" w:hAnsi="Arial" w:cs="Arial"/>
              </w:rPr>
            </w:pPr>
            <w:r w:rsidRPr="00A70D9A">
              <w:rPr>
                <w:rFonts w:ascii="Arial" w:hAnsi="Arial" w:cs="Arial"/>
              </w:rPr>
              <w:t xml:space="preserve">       Leiria</w:t>
            </w:r>
          </w:p>
          <w:p w14:paraId="5EE32C70" w14:textId="77777777" w:rsidR="00D208A2" w:rsidRPr="00A70D9A" w:rsidRDefault="00D208A2" w:rsidP="00A70D9A">
            <w:pPr>
              <w:rPr>
                <w:rFonts w:ascii="Arial" w:hAnsi="Arial" w:cs="Arial"/>
              </w:rPr>
            </w:pPr>
            <w:r w:rsidRPr="00A70D9A">
              <w:rPr>
                <w:rFonts w:ascii="Arial" w:hAnsi="Arial" w:cs="Arial"/>
              </w:rPr>
              <w:t xml:space="preserve">       Lisboa</w:t>
            </w:r>
          </w:p>
          <w:p w14:paraId="4C2CA2DF" w14:textId="77777777" w:rsidR="00D208A2" w:rsidRPr="00A70D9A" w:rsidRDefault="00D208A2" w:rsidP="00A70D9A">
            <w:pPr>
              <w:rPr>
                <w:rFonts w:ascii="Arial" w:hAnsi="Arial" w:cs="Arial"/>
              </w:rPr>
            </w:pPr>
            <w:r w:rsidRPr="00A70D9A">
              <w:rPr>
                <w:rFonts w:ascii="Arial" w:hAnsi="Arial" w:cs="Arial"/>
              </w:rPr>
              <w:t xml:space="preserve">       Portalegre</w:t>
            </w:r>
          </w:p>
          <w:p w14:paraId="67712B36" w14:textId="77777777" w:rsidR="00D208A2" w:rsidRPr="00A70D9A" w:rsidRDefault="00D208A2" w:rsidP="00A70D9A">
            <w:pPr>
              <w:rPr>
                <w:rFonts w:ascii="Arial" w:hAnsi="Arial" w:cs="Arial"/>
              </w:rPr>
            </w:pPr>
            <w:r w:rsidRPr="00A70D9A">
              <w:rPr>
                <w:rFonts w:ascii="Arial" w:hAnsi="Arial" w:cs="Arial"/>
              </w:rPr>
              <w:t xml:space="preserve">       Porto</w:t>
            </w:r>
          </w:p>
          <w:p w14:paraId="7B93AD86" w14:textId="77777777" w:rsidR="00D208A2" w:rsidRPr="00A70D9A" w:rsidRDefault="00D208A2" w:rsidP="00A70D9A">
            <w:pPr>
              <w:rPr>
                <w:rFonts w:ascii="Arial" w:hAnsi="Arial" w:cs="Arial"/>
              </w:rPr>
            </w:pPr>
            <w:r w:rsidRPr="00A70D9A">
              <w:rPr>
                <w:rFonts w:ascii="Arial" w:hAnsi="Arial" w:cs="Arial"/>
              </w:rPr>
              <w:t xml:space="preserve">       Santarém</w:t>
            </w:r>
          </w:p>
          <w:p w14:paraId="6B74F7FF" w14:textId="77777777" w:rsidR="00D208A2" w:rsidRPr="00A70D9A" w:rsidRDefault="00D208A2" w:rsidP="00A70D9A">
            <w:pPr>
              <w:rPr>
                <w:rFonts w:ascii="Arial" w:hAnsi="Arial" w:cs="Arial"/>
              </w:rPr>
            </w:pPr>
            <w:r w:rsidRPr="00A70D9A">
              <w:rPr>
                <w:rFonts w:ascii="Arial" w:hAnsi="Arial" w:cs="Arial"/>
              </w:rPr>
              <w:t xml:space="preserve">       Setúbal</w:t>
            </w:r>
          </w:p>
          <w:p w14:paraId="015AD778" w14:textId="77777777" w:rsidR="00D208A2" w:rsidRPr="00A70D9A" w:rsidRDefault="00D208A2" w:rsidP="00A70D9A">
            <w:pPr>
              <w:rPr>
                <w:rFonts w:ascii="Arial" w:hAnsi="Arial" w:cs="Arial"/>
              </w:rPr>
            </w:pPr>
            <w:r w:rsidRPr="00A70D9A">
              <w:rPr>
                <w:rFonts w:ascii="Arial" w:hAnsi="Arial" w:cs="Arial"/>
              </w:rPr>
              <w:t xml:space="preserve">       Viana do Castelo</w:t>
            </w:r>
          </w:p>
          <w:p w14:paraId="1508C461" w14:textId="77777777" w:rsidR="00D208A2" w:rsidRPr="00A70D9A" w:rsidRDefault="00D208A2" w:rsidP="00A70D9A">
            <w:pPr>
              <w:rPr>
                <w:rFonts w:ascii="Arial" w:hAnsi="Arial" w:cs="Arial"/>
              </w:rPr>
            </w:pPr>
            <w:r w:rsidRPr="00A70D9A">
              <w:rPr>
                <w:rFonts w:ascii="Arial" w:hAnsi="Arial" w:cs="Arial"/>
              </w:rPr>
              <w:t xml:space="preserve">       Vila Real</w:t>
            </w:r>
          </w:p>
          <w:p w14:paraId="0C62700B" w14:textId="77777777" w:rsidR="00D208A2" w:rsidRPr="00A70D9A" w:rsidRDefault="00D208A2" w:rsidP="00A70D9A">
            <w:pPr>
              <w:rPr>
                <w:rFonts w:ascii="Arial" w:hAnsi="Arial" w:cs="Arial"/>
              </w:rPr>
            </w:pPr>
            <w:r w:rsidRPr="00A70D9A">
              <w:rPr>
                <w:rFonts w:ascii="Arial" w:hAnsi="Arial" w:cs="Arial"/>
              </w:rPr>
              <w:t xml:space="preserve">       Viseu</w:t>
            </w:r>
          </w:p>
          <w:p w14:paraId="37711AD2" w14:textId="77777777" w:rsidR="00D208A2" w:rsidRPr="00A70D9A" w:rsidRDefault="00D208A2" w:rsidP="00A70D9A">
            <w:pPr>
              <w:rPr>
                <w:rFonts w:ascii="Arial" w:hAnsi="Arial" w:cs="Arial"/>
              </w:rPr>
            </w:pPr>
            <w:r w:rsidRPr="00A70D9A">
              <w:rPr>
                <w:rFonts w:ascii="Arial" w:hAnsi="Arial" w:cs="Arial"/>
              </w:rPr>
              <w:t xml:space="preserve">       Região autónoma dos Açores</w:t>
            </w:r>
          </w:p>
          <w:p w14:paraId="091EAAB2" w14:textId="77777777" w:rsidR="00D208A2" w:rsidRPr="00A70D9A" w:rsidRDefault="00D208A2" w:rsidP="00A70D9A">
            <w:pPr>
              <w:rPr>
                <w:rFonts w:ascii="Arial" w:hAnsi="Arial" w:cs="Arial"/>
              </w:rPr>
            </w:pPr>
            <w:r w:rsidRPr="00A70D9A">
              <w:rPr>
                <w:rFonts w:ascii="Arial" w:hAnsi="Arial" w:cs="Arial"/>
              </w:rPr>
              <w:t xml:space="preserve">       Região autónoma da Madeira</w:t>
            </w:r>
          </w:p>
        </w:tc>
        <w:tc>
          <w:tcPr>
            <w:tcW w:w="3260" w:type="dxa"/>
          </w:tcPr>
          <w:p w14:paraId="78871387" w14:textId="77777777" w:rsidR="00D208A2" w:rsidRPr="00A70D9A" w:rsidRDefault="00D208A2" w:rsidP="00A70D9A">
            <w:pPr>
              <w:jc w:val="center"/>
              <w:rPr>
                <w:rFonts w:ascii="Arial" w:hAnsi="Arial" w:cs="Arial"/>
              </w:rPr>
            </w:pPr>
          </w:p>
          <w:p w14:paraId="710509F7" w14:textId="77777777" w:rsidR="00D208A2" w:rsidRPr="00A70D9A" w:rsidRDefault="00D208A2" w:rsidP="00A70D9A">
            <w:pPr>
              <w:jc w:val="center"/>
              <w:rPr>
                <w:rFonts w:ascii="Arial" w:hAnsi="Arial" w:cs="Arial"/>
              </w:rPr>
            </w:pPr>
            <w:r w:rsidRPr="00A70D9A">
              <w:rPr>
                <w:rFonts w:ascii="Arial" w:hAnsi="Arial" w:cs="Arial"/>
              </w:rPr>
              <w:t>332 (2.7)</w:t>
            </w:r>
          </w:p>
          <w:p w14:paraId="695C4688" w14:textId="77777777" w:rsidR="00D208A2" w:rsidRPr="00A70D9A" w:rsidRDefault="00D208A2" w:rsidP="00A70D9A">
            <w:pPr>
              <w:jc w:val="center"/>
              <w:rPr>
                <w:rFonts w:ascii="Arial" w:hAnsi="Arial" w:cs="Arial"/>
              </w:rPr>
            </w:pPr>
            <w:r w:rsidRPr="00A70D9A">
              <w:rPr>
                <w:rFonts w:ascii="Arial" w:hAnsi="Arial" w:cs="Arial"/>
              </w:rPr>
              <w:t>120 (1.0)</w:t>
            </w:r>
          </w:p>
          <w:p w14:paraId="140ACEB6" w14:textId="77777777" w:rsidR="00D208A2" w:rsidRPr="00A70D9A" w:rsidRDefault="00D208A2" w:rsidP="00A70D9A">
            <w:pPr>
              <w:jc w:val="center"/>
              <w:rPr>
                <w:rFonts w:ascii="Arial" w:hAnsi="Arial" w:cs="Arial"/>
              </w:rPr>
            </w:pPr>
            <w:r w:rsidRPr="00A70D9A">
              <w:rPr>
                <w:rFonts w:ascii="Arial" w:hAnsi="Arial" w:cs="Arial"/>
              </w:rPr>
              <w:t>821 (6.6)</w:t>
            </w:r>
          </w:p>
          <w:p w14:paraId="7DA8E6E4" w14:textId="77777777" w:rsidR="00D208A2" w:rsidRPr="00A70D9A" w:rsidRDefault="00D208A2" w:rsidP="00A70D9A">
            <w:pPr>
              <w:jc w:val="center"/>
              <w:rPr>
                <w:rFonts w:ascii="Arial" w:hAnsi="Arial" w:cs="Arial"/>
              </w:rPr>
            </w:pPr>
            <w:r w:rsidRPr="00A70D9A">
              <w:rPr>
                <w:rFonts w:ascii="Arial" w:hAnsi="Arial" w:cs="Arial"/>
              </w:rPr>
              <w:t>49 (0.4)</w:t>
            </w:r>
          </w:p>
          <w:p w14:paraId="53AEC3AB" w14:textId="77777777" w:rsidR="00D208A2" w:rsidRPr="00A70D9A" w:rsidRDefault="00D208A2" w:rsidP="00A70D9A">
            <w:pPr>
              <w:jc w:val="center"/>
              <w:rPr>
                <w:rFonts w:ascii="Arial" w:hAnsi="Arial" w:cs="Arial"/>
              </w:rPr>
            </w:pPr>
            <w:r w:rsidRPr="00A70D9A">
              <w:rPr>
                <w:rFonts w:ascii="Arial" w:hAnsi="Arial" w:cs="Arial"/>
              </w:rPr>
              <w:t>84 (0.7)</w:t>
            </w:r>
          </w:p>
          <w:p w14:paraId="72956749" w14:textId="77777777" w:rsidR="00D208A2" w:rsidRPr="00A70D9A" w:rsidRDefault="00D208A2" w:rsidP="00A70D9A">
            <w:pPr>
              <w:jc w:val="center"/>
              <w:rPr>
                <w:rFonts w:ascii="Arial" w:hAnsi="Arial" w:cs="Arial"/>
              </w:rPr>
            </w:pPr>
            <w:r w:rsidRPr="00A70D9A">
              <w:rPr>
                <w:rFonts w:ascii="Arial" w:hAnsi="Arial" w:cs="Arial"/>
              </w:rPr>
              <w:t>306 (2.5)</w:t>
            </w:r>
          </w:p>
          <w:p w14:paraId="68A8587F" w14:textId="77777777" w:rsidR="00D208A2" w:rsidRPr="00A70D9A" w:rsidRDefault="00D208A2" w:rsidP="00A70D9A">
            <w:pPr>
              <w:jc w:val="center"/>
              <w:rPr>
                <w:rFonts w:ascii="Arial" w:hAnsi="Arial" w:cs="Arial"/>
              </w:rPr>
            </w:pPr>
            <w:r w:rsidRPr="00A70D9A">
              <w:rPr>
                <w:rFonts w:ascii="Arial" w:hAnsi="Arial" w:cs="Arial"/>
              </w:rPr>
              <w:t>145 (3.4)</w:t>
            </w:r>
          </w:p>
          <w:p w14:paraId="1D57FF71" w14:textId="77777777" w:rsidR="00D208A2" w:rsidRPr="00A70D9A" w:rsidRDefault="00D208A2" w:rsidP="00A70D9A">
            <w:pPr>
              <w:jc w:val="center"/>
              <w:rPr>
                <w:rFonts w:ascii="Arial" w:hAnsi="Arial" w:cs="Arial"/>
              </w:rPr>
            </w:pPr>
            <w:r w:rsidRPr="00A70D9A">
              <w:rPr>
                <w:rFonts w:ascii="Arial" w:hAnsi="Arial" w:cs="Arial"/>
              </w:rPr>
              <w:t>416 (3.4)</w:t>
            </w:r>
          </w:p>
          <w:p w14:paraId="53EF5CD4" w14:textId="77777777" w:rsidR="00D208A2" w:rsidRPr="00A70D9A" w:rsidRDefault="00D208A2" w:rsidP="00A70D9A">
            <w:pPr>
              <w:jc w:val="center"/>
              <w:rPr>
                <w:rFonts w:ascii="Arial" w:hAnsi="Arial" w:cs="Arial"/>
              </w:rPr>
            </w:pPr>
            <w:r w:rsidRPr="00A70D9A">
              <w:rPr>
                <w:rFonts w:ascii="Arial" w:hAnsi="Arial" w:cs="Arial"/>
              </w:rPr>
              <w:t>62 (0.5)</w:t>
            </w:r>
          </w:p>
          <w:p w14:paraId="20C9157F" w14:textId="77777777" w:rsidR="00D208A2" w:rsidRPr="00A70D9A" w:rsidRDefault="00D208A2" w:rsidP="00A70D9A">
            <w:pPr>
              <w:jc w:val="center"/>
              <w:rPr>
                <w:rFonts w:ascii="Arial" w:hAnsi="Arial" w:cs="Arial"/>
              </w:rPr>
            </w:pPr>
            <w:r w:rsidRPr="00A70D9A">
              <w:rPr>
                <w:rFonts w:ascii="Arial" w:hAnsi="Arial" w:cs="Arial"/>
              </w:rPr>
              <w:t>305 (2.5)</w:t>
            </w:r>
          </w:p>
          <w:p w14:paraId="5D4A72DD" w14:textId="77777777" w:rsidR="00D208A2" w:rsidRPr="00A70D9A" w:rsidRDefault="00D208A2" w:rsidP="00A70D9A">
            <w:pPr>
              <w:jc w:val="center"/>
              <w:rPr>
                <w:rFonts w:ascii="Arial" w:hAnsi="Arial" w:cs="Arial"/>
              </w:rPr>
            </w:pPr>
            <w:r w:rsidRPr="00A70D9A">
              <w:rPr>
                <w:rFonts w:ascii="Arial" w:hAnsi="Arial" w:cs="Arial"/>
              </w:rPr>
              <w:t>6207 (50.1)</w:t>
            </w:r>
          </w:p>
          <w:p w14:paraId="0C257E4D" w14:textId="77777777" w:rsidR="00D208A2" w:rsidRPr="00A70D9A" w:rsidRDefault="00D208A2" w:rsidP="00A70D9A">
            <w:pPr>
              <w:jc w:val="center"/>
              <w:rPr>
                <w:rFonts w:ascii="Arial" w:hAnsi="Arial" w:cs="Arial"/>
              </w:rPr>
            </w:pPr>
            <w:r w:rsidRPr="00A70D9A">
              <w:rPr>
                <w:rFonts w:ascii="Arial" w:hAnsi="Arial" w:cs="Arial"/>
              </w:rPr>
              <w:t>68 (0.5)</w:t>
            </w:r>
          </w:p>
          <w:p w14:paraId="156B06AC" w14:textId="77777777" w:rsidR="00D208A2" w:rsidRPr="00A70D9A" w:rsidRDefault="00D208A2" w:rsidP="00A70D9A">
            <w:pPr>
              <w:jc w:val="center"/>
              <w:rPr>
                <w:rFonts w:ascii="Arial" w:hAnsi="Arial" w:cs="Arial"/>
              </w:rPr>
            </w:pPr>
            <w:r w:rsidRPr="00A70D9A">
              <w:rPr>
                <w:rFonts w:ascii="Arial" w:hAnsi="Arial" w:cs="Arial"/>
              </w:rPr>
              <w:t>1240 (10.0)</w:t>
            </w:r>
          </w:p>
          <w:p w14:paraId="45EBBEE3" w14:textId="77777777" w:rsidR="00D208A2" w:rsidRPr="00A70D9A" w:rsidRDefault="00D208A2" w:rsidP="00A70D9A">
            <w:pPr>
              <w:jc w:val="center"/>
              <w:rPr>
                <w:rFonts w:ascii="Arial" w:hAnsi="Arial" w:cs="Arial"/>
              </w:rPr>
            </w:pPr>
            <w:r w:rsidRPr="00A70D9A">
              <w:rPr>
                <w:rFonts w:ascii="Arial" w:hAnsi="Arial" w:cs="Arial"/>
              </w:rPr>
              <w:t>321 (2.6)</w:t>
            </w:r>
          </w:p>
          <w:p w14:paraId="0006F278" w14:textId="77777777" w:rsidR="00D208A2" w:rsidRPr="00A70D9A" w:rsidRDefault="00D208A2" w:rsidP="00A70D9A">
            <w:pPr>
              <w:jc w:val="center"/>
              <w:rPr>
                <w:rFonts w:ascii="Arial" w:hAnsi="Arial" w:cs="Arial"/>
              </w:rPr>
            </w:pPr>
            <w:r w:rsidRPr="00A70D9A">
              <w:rPr>
                <w:rFonts w:ascii="Arial" w:hAnsi="Arial" w:cs="Arial"/>
              </w:rPr>
              <w:t>1381 (11.1)</w:t>
            </w:r>
          </w:p>
          <w:p w14:paraId="25909D91" w14:textId="77777777" w:rsidR="00D208A2" w:rsidRPr="00A70D9A" w:rsidRDefault="00D208A2" w:rsidP="00A70D9A">
            <w:pPr>
              <w:jc w:val="center"/>
              <w:rPr>
                <w:rFonts w:ascii="Arial" w:hAnsi="Arial" w:cs="Arial"/>
              </w:rPr>
            </w:pPr>
            <w:r w:rsidRPr="00A70D9A">
              <w:rPr>
                <w:rFonts w:ascii="Arial" w:hAnsi="Arial" w:cs="Arial"/>
              </w:rPr>
              <w:t>101 (0.8)</w:t>
            </w:r>
          </w:p>
          <w:p w14:paraId="37F99174" w14:textId="77777777" w:rsidR="00D208A2" w:rsidRPr="00A70D9A" w:rsidRDefault="00D208A2" w:rsidP="00A70D9A">
            <w:pPr>
              <w:jc w:val="center"/>
              <w:rPr>
                <w:rFonts w:ascii="Arial" w:hAnsi="Arial" w:cs="Arial"/>
              </w:rPr>
            </w:pPr>
            <w:r w:rsidRPr="00A70D9A">
              <w:rPr>
                <w:rFonts w:ascii="Arial" w:hAnsi="Arial" w:cs="Arial"/>
              </w:rPr>
              <w:t>64 (0.5)</w:t>
            </w:r>
          </w:p>
          <w:p w14:paraId="7C4DE514" w14:textId="77777777" w:rsidR="00D208A2" w:rsidRPr="00A70D9A" w:rsidRDefault="00D208A2" w:rsidP="00A70D9A">
            <w:pPr>
              <w:jc w:val="center"/>
              <w:rPr>
                <w:rFonts w:ascii="Arial" w:hAnsi="Arial" w:cs="Arial"/>
              </w:rPr>
            </w:pPr>
            <w:r w:rsidRPr="00A70D9A">
              <w:rPr>
                <w:rFonts w:ascii="Arial" w:hAnsi="Arial" w:cs="Arial"/>
              </w:rPr>
              <w:t>178 (1.4)</w:t>
            </w:r>
          </w:p>
          <w:p w14:paraId="535A3D94" w14:textId="77777777" w:rsidR="00D208A2" w:rsidRPr="00A70D9A" w:rsidRDefault="00D208A2" w:rsidP="00A70D9A">
            <w:pPr>
              <w:jc w:val="center"/>
              <w:rPr>
                <w:rFonts w:ascii="Arial" w:hAnsi="Arial" w:cs="Arial"/>
              </w:rPr>
            </w:pPr>
            <w:r w:rsidRPr="00A70D9A">
              <w:rPr>
                <w:rFonts w:ascii="Arial" w:hAnsi="Arial" w:cs="Arial"/>
              </w:rPr>
              <w:t>58 (0.5)</w:t>
            </w:r>
          </w:p>
          <w:p w14:paraId="47F946C9" w14:textId="77777777" w:rsidR="00D208A2" w:rsidRPr="00A70D9A" w:rsidRDefault="00D208A2" w:rsidP="00A70D9A">
            <w:pPr>
              <w:jc w:val="center"/>
              <w:rPr>
                <w:rFonts w:ascii="Arial" w:hAnsi="Arial" w:cs="Arial"/>
              </w:rPr>
            </w:pPr>
            <w:r w:rsidRPr="00A70D9A">
              <w:rPr>
                <w:rFonts w:ascii="Arial" w:hAnsi="Arial" w:cs="Arial"/>
              </w:rPr>
              <w:t>131 (1.1)</w:t>
            </w:r>
          </w:p>
        </w:tc>
      </w:tr>
      <w:tr w:rsidR="00A70D9A" w:rsidRPr="00A70D9A" w14:paraId="5BB4477E" w14:textId="77777777" w:rsidTr="00A70D9A">
        <w:tc>
          <w:tcPr>
            <w:tcW w:w="4957" w:type="dxa"/>
          </w:tcPr>
          <w:p w14:paraId="1D6D9536" w14:textId="77777777" w:rsidR="00D208A2" w:rsidRPr="00A70D9A" w:rsidRDefault="00D208A2" w:rsidP="00A70D9A">
            <w:pPr>
              <w:rPr>
                <w:rFonts w:ascii="Arial" w:hAnsi="Arial" w:cs="Arial"/>
                <w:b/>
                <w:bCs/>
                <w:lang w:val="en-GB"/>
              </w:rPr>
            </w:pPr>
            <w:r w:rsidRPr="00A70D9A">
              <w:rPr>
                <w:rFonts w:ascii="Arial" w:hAnsi="Arial" w:cs="Arial"/>
                <w:b/>
                <w:bCs/>
                <w:lang w:val="en-GB"/>
              </w:rPr>
              <w:t>Children’s age</w:t>
            </w:r>
          </w:p>
          <w:p w14:paraId="100202A6" w14:textId="77777777" w:rsidR="00D208A2" w:rsidRPr="00A70D9A" w:rsidRDefault="00D208A2" w:rsidP="00A70D9A">
            <w:pPr>
              <w:rPr>
                <w:rFonts w:ascii="Arial" w:hAnsi="Arial" w:cs="Arial"/>
                <w:lang w:val="en-GB"/>
              </w:rPr>
            </w:pPr>
            <w:r w:rsidRPr="00A70D9A">
              <w:rPr>
                <w:rFonts w:ascii="Arial" w:hAnsi="Arial" w:cs="Arial"/>
                <w:lang w:val="en-GB"/>
              </w:rPr>
              <w:t xml:space="preserve">       0-2 years</w:t>
            </w:r>
          </w:p>
          <w:p w14:paraId="382C5F77" w14:textId="77777777" w:rsidR="00D208A2" w:rsidRPr="00A70D9A" w:rsidRDefault="00D208A2" w:rsidP="00A70D9A">
            <w:pPr>
              <w:rPr>
                <w:rFonts w:ascii="Arial" w:hAnsi="Arial" w:cs="Arial"/>
                <w:lang w:val="en-GB"/>
              </w:rPr>
            </w:pPr>
            <w:r w:rsidRPr="00A70D9A">
              <w:rPr>
                <w:rFonts w:ascii="Arial" w:hAnsi="Arial" w:cs="Arial"/>
                <w:lang w:val="en-GB"/>
              </w:rPr>
              <w:t xml:space="preserve">       3-6 years</w:t>
            </w:r>
          </w:p>
          <w:p w14:paraId="195724CF" w14:textId="77777777" w:rsidR="00D208A2" w:rsidRPr="00A70D9A" w:rsidRDefault="00D208A2" w:rsidP="00A70D9A">
            <w:pPr>
              <w:rPr>
                <w:rFonts w:ascii="Arial" w:hAnsi="Arial" w:cs="Arial"/>
                <w:lang w:val="en-GB"/>
              </w:rPr>
            </w:pPr>
            <w:r w:rsidRPr="00A70D9A">
              <w:rPr>
                <w:rFonts w:ascii="Arial" w:hAnsi="Arial" w:cs="Arial"/>
                <w:lang w:val="en-GB"/>
              </w:rPr>
              <w:t xml:space="preserve">       7-11 years</w:t>
            </w:r>
          </w:p>
          <w:p w14:paraId="3F2BE51A" w14:textId="77777777" w:rsidR="00D208A2" w:rsidRPr="00A70D9A" w:rsidRDefault="00D208A2" w:rsidP="00A70D9A">
            <w:pPr>
              <w:rPr>
                <w:rFonts w:ascii="Arial" w:hAnsi="Arial" w:cs="Arial"/>
                <w:lang w:val="en-GB"/>
              </w:rPr>
            </w:pPr>
            <w:r w:rsidRPr="00A70D9A">
              <w:rPr>
                <w:rFonts w:ascii="Arial" w:hAnsi="Arial" w:cs="Arial"/>
                <w:lang w:val="en-GB"/>
              </w:rPr>
              <w:t xml:space="preserve">      12-17 years</w:t>
            </w:r>
          </w:p>
        </w:tc>
        <w:tc>
          <w:tcPr>
            <w:tcW w:w="3260" w:type="dxa"/>
          </w:tcPr>
          <w:p w14:paraId="1200F05D" w14:textId="77777777" w:rsidR="00D208A2" w:rsidRPr="00A70D9A" w:rsidRDefault="00D208A2" w:rsidP="00A70D9A">
            <w:pPr>
              <w:jc w:val="center"/>
              <w:rPr>
                <w:rFonts w:ascii="Arial" w:hAnsi="Arial" w:cs="Arial"/>
                <w:lang w:val="en-GB"/>
              </w:rPr>
            </w:pPr>
          </w:p>
          <w:p w14:paraId="4911D210" w14:textId="77777777" w:rsidR="00D208A2" w:rsidRPr="00A70D9A" w:rsidRDefault="00D208A2" w:rsidP="00A70D9A">
            <w:pPr>
              <w:jc w:val="center"/>
              <w:rPr>
                <w:rFonts w:ascii="Arial" w:hAnsi="Arial" w:cs="Arial"/>
              </w:rPr>
            </w:pPr>
            <w:r w:rsidRPr="00A70D9A">
              <w:rPr>
                <w:rFonts w:ascii="Arial" w:hAnsi="Arial" w:cs="Arial"/>
              </w:rPr>
              <w:t>5413 (27.4)</w:t>
            </w:r>
          </w:p>
          <w:p w14:paraId="4BB48515" w14:textId="77777777" w:rsidR="00D208A2" w:rsidRPr="00A70D9A" w:rsidRDefault="00D208A2" w:rsidP="00A70D9A">
            <w:pPr>
              <w:jc w:val="center"/>
              <w:rPr>
                <w:rFonts w:ascii="Arial" w:hAnsi="Arial" w:cs="Arial"/>
              </w:rPr>
            </w:pPr>
            <w:r w:rsidRPr="00A70D9A">
              <w:rPr>
                <w:rFonts w:ascii="Arial" w:hAnsi="Arial" w:cs="Arial"/>
              </w:rPr>
              <w:t>5963 (30.2)</w:t>
            </w:r>
          </w:p>
          <w:p w14:paraId="6762453A" w14:textId="77777777" w:rsidR="00D208A2" w:rsidRPr="00A70D9A" w:rsidRDefault="00D208A2" w:rsidP="00A70D9A">
            <w:pPr>
              <w:jc w:val="center"/>
              <w:rPr>
                <w:rFonts w:ascii="Arial" w:hAnsi="Arial" w:cs="Arial"/>
              </w:rPr>
            </w:pPr>
            <w:r w:rsidRPr="00A70D9A">
              <w:rPr>
                <w:rFonts w:ascii="Arial" w:hAnsi="Arial" w:cs="Arial"/>
              </w:rPr>
              <w:t>4831 (24.5)</w:t>
            </w:r>
          </w:p>
          <w:p w14:paraId="4006B0AA" w14:textId="77777777" w:rsidR="00D208A2" w:rsidRPr="00A70D9A" w:rsidRDefault="00D208A2" w:rsidP="00A70D9A">
            <w:pPr>
              <w:jc w:val="center"/>
              <w:rPr>
                <w:rFonts w:ascii="Arial" w:hAnsi="Arial" w:cs="Arial"/>
              </w:rPr>
            </w:pPr>
            <w:r w:rsidRPr="00A70D9A">
              <w:rPr>
                <w:rFonts w:ascii="Arial" w:hAnsi="Arial" w:cs="Arial"/>
              </w:rPr>
              <w:t>3538 (17.9)</w:t>
            </w:r>
          </w:p>
        </w:tc>
      </w:tr>
      <w:tr w:rsidR="00A70D9A" w:rsidRPr="00A70D9A" w14:paraId="0D4ACFB4" w14:textId="77777777" w:rsidTr="00A70D9A">
        <w:tc>
          <w:tcPr>
            <w:tcW w:w="4957" w:type="dxa"/>
          </w:tcPr>
          <w:p w14:paraId="2E278F88" w14:textId="77777777" w:rsidR="00D208A2" w:rsidRPr="00A70D9A" w:rsidRDefault="00D208A2" w:rsidP="00A70D9A">
            <w:pPr>
              <w:rPr>
                <w:rFonts w:ascii="Arial" w:hAnsi="Arial" w:cs="Arial"/>
                <w:b/>
                <w:bCs/>
                <w:lang w:val="en-GB"/>
              </w:rPr>
            </w:pPr>
            <w:r w:rsidRPr="00A70D9A">
              <w:rPr>
                <w:rFonts w:ascii="Arial" w:hAnsi="Arial" w:cs="Arial"/>
                <w:b/>
                <w:bCs/>
                <w:lang w:val="en-GB"/>
              </w:rPr>
              <w:t>Children’s nationality</w:t>
            </w:r>
          </w:p>
          <w:p w14:paraId="3EBA1751" w14:textId="77777777" w:rsidR="00D208A2" w:rsidRPr="00A70D9A" w:rsidRDefault="00D208A2" w:rsidP="00A70D9A">
            <w:pPr>
              <w:rPr>
                <w:rFonts w:ascii="Arial" w:hAnsi="Arial" w:cs="Arial"/>
                <w:lang w:val="en-GB"/>
              </w:rPr>
            </w:pPr>
            <w:r w:rsidRPr="00A70D9A">
              <w:rPr>
                <w:rFonts w:ascii="Arial" w:hAnsi="Arial" w:cs="Arial"/>
                <w:lang w:val="en-GB"/>
              </w:rPr>
              <w:t xml:space="preserve">       Portuguese</w:t>
            </w:r>
          </w:p>
          <w:p w14:paraId="041D6023" w14:textId="77777777" w:rsidR="00D208A2" w:rsidRPr="00A70D9A" w:rsidRDefault="00D208A2" w:rsidP="00A70D9A">
            <w:pPr>
              <w:rPr>
                <w:rFonts w:ascii="Arial" w:hAnsi="Arial" w:cs="Arial"/>
                <w:lang w:val="en-GB"/>
              </w:rPr>
            </w:pPr>
            <w:r w:rsidRPr="00A70D9A">
              <w:rPr>
                <w:rFonts w:ascii="Arial" w:hAnsi="Arial" w:cs="Arial"/>
                <w:lang w:val="en-GB"/>
              </w:rPr>
              <w:t xml:space="preserve">       Other nationalities</w:t>
            </w:r>
          </w:p>
        </w:tc>
        <w:tc>
          <w:tcPr>
            <w:tcW w:w="3260" w:type="dxa"/>
          </w:tcPr>
          <w:p w14:paraId="75FDCCCB" w14:textId="77777777" w:rsidR="00D208A2" w:rsidRPr="00A70D9A" w:rsidRDefault="00D208A2" w:rsidP="00A70D9A">
            <w:pPr>
              <w:jc w:val="center"/>
              <w:rPr>
                <w:rFonts w:ascii="Arial" w:hAnsi="Arial" w:cs="Arial"/>
                <w:lang w:val="en-GB"/>
              </w:rPr>
            </w:pPr>
          </w:p>
          <w:p w14:paraId="24A67CC9" w14:textId="77777777" w:rsidR="00D208A2" w:rsidRPr="00A70D9A" w:rsidRDefault="00D208A2" w:rsidP="00A70D9A">
            <w:pPr>
              <w:jc w:val="center"/>
              <w:rPr>
                <w:rFonts w:ascii="Arial" w:hAnsi="Arial" w:cs="Arial"/>
              </w:rPr>
            </w:pPr>
            <w:r w:rsidRPr="00A70D9A">
              <w:rPr>
                <w:rFonts w:ascii="Arial" w:hAnsi="Arial" w:cs="Arial"/>
              </w:rPr>
              <w:t>12240 (98.8)</w:t>
            </w:r>
          </w:p>
          <w:p w14:paraId="220DFA5F" w14:textId="77777777" w:rsidR="00D208A2" w:rsidRPr="00A70D9A" w:rsidRDefault="00D208A2" w:rsidP="00A70D9A">
            <w:pPr>
              <w:jc w:val="center"/>
              <w:rPr>
                <w:rFonts w:ascii="Arial" w:hAnsi="Arial" w:cs="Arial"/>
              </w:rPr>
            </w:pPr>
            <w:r w:rsidRPr="00A70D9A">
              <w:rPr>
                <w:rFonts w:ascii="Arial" w:hAnsi="Arial" w:cs="Arial"/>
              </w:rPr>
              <w:t>150 (1.2)</w:t>
            </w:r>
          </w:p>
        </w:tc>
      </w:tr>
      <w:tr w:rsidR="00A70D9A" w:rsidRPr="00A70D9A" w14:paraId="08DD5D0D" w14:textId="77777777" w:rsidTr="00A70D9A">
        <w:tc>
          <w:tcPr>
            <w:tcW w:w="4957" w:type="dxa"/>
          </w:tcPr>
          <w:p w14:paraId="0A0EE0EB" w14:textId="77777777" w:rsidR="00D208A2" w:rsidRPr="00A70D9A" w:rsidRDefault="00D208A2" w:rsidP="00A70D9A">
            <w:pPr>
              <w:rPr>
                <w:rFonts w:ascii="Arial" w:hAnsi="Arial" w:cs="Arial"/>
                <w:b/>
                <w:bCs/>
                <w:lang w:val="en-GB"/>
              </w:rPr>
            </w:pPr>
            <w:r w:rsidRPr="00A70D9A">
              <w:rPr>
                <w:rFonts w:ascii="Arial" w:hAnsi="Arial" w:cs="Arial"/>
                <w:b/>
                <w:bCs/>
                <w:lang w:val="en-GB"/>
              </w:rPr>
              <w:t>Mother’s age</w:t>
            </w:r>
          </w:p>
          <w:p w14:paraId="77D75782" w14:textId="77777777" w:rsidR="00D208A2" w:rsidRPr="00A70D9A" w:rsidRDefault="00D208A2" w:rsidP="00A70D9A">
            <w:pPr>
              <w:rPr>
                <w:rFonts w:ascii="Arial" w:hAnsi="Arial" w:cs="Arial"/>
                <w:lang w:val="en-GB"/>
              </w:rPr>
            </w:pPr>
            <w:r w:rsidRPr="00A70D9A">
              <w:rPr>
                <w:rFonts w:ascii="Arial" w:hAnsi="Arial" w:cs="Arial"/>
                <w:lang w:val="en-GB"/>
              </w:rPr>
              <w:t xml:space="preserve">       &lt;20 years</w:t>
            </w:r>
          </w:p>
          <w:p w14:paraId="1B4502A6" w14:textId="77777777" w:rsidR="00D208A2" w:rsidRPr="00A70D9A" w:rsidRDefault="00D208A2" w:rsidP="00A70D9A">
            <w:pPr>
              <w:rPr>
                <w:rFonts w:ascii="Arial" w:hAnsi="Arial" w:cs="Arial"/>
                <w:lang w:val="en-GB"/>
              </w:rPr>
            </w:pPr>
            <w:r w:rsidRPr="00A70D9A">
              <w:rPr>
                <w:rFonts w:ascii="Arial" w:hAnsi="Arial" w:cs="Arial"/>
                <w:lang w:val="en-GB"/>
              </w:rPr>
              <w:t xml:space="preserve">       20-29 years</w:t>
            </w:r>
          </w:p>
          <w:p w14:paraId="41836DDA" w14:textId="77777777" w:rsidR="00D208A2" w:rsidRPr="00A70D9A" w:rsidRDefault="00D208A2" w:rsidP="00A70D9A">
            <w:pPr>
              <w:rPr>
                <w:rFonts w:ascii="Arial" w:hAnsi="Arial" w:cs="Arial"/>
                <w:lang w:val="en-GB"/>
              </w:rPr>
            </w:pPr>
            <w:r w:rsidRPr="00A70D9A">
              <w:rPr>
                <w:rFonts w:ascii="Arial" w:hAnsi="Arial" w:cs="Arial"/>
                <w:lang w:val="en-GB"/>
              </w:rPr>
              <w:t xml:space="preserve">       30-39 years</w:t>
            </w:r>
          </w:p>
          <w:p w14:paraId="6A1A0BF9" w14:textId="77777777" w:rsidR="00D208A2" w:rsidRPr="00A70D9A" w:rsidRDefault="00D208A2" w:rsidP="00A70D9A">
            <w:pPr>
              <w:rPr>
                <w:rFonts w:ascii="Arial" w:hAnsi="Arial" w:cs="Arial"/>
                <w:lang w:val="en-GB"/>
              </w:rPr>
            </w:pPr>
            <w:r w:rsidRPr="00A70D9A">
              <w:rPr>
                <w:rFonts w:ascii="Arial" w:hAnsi="Arial" w:cs="Arial"/>
                <w:lang w:val="en-GB"/>
              </w:rPr>
              <w:t xml:space="preserve">       40-49 years</w:t>
            </w:r>
          </w:p>
          <w:p w14:paraId="044A501D" w14:textId="77777777" w:rsidR="00D208A2" w:rsidRPr="00A70D9A" w:rsidRDefault="00D208A2" w:rsidP="00A70D9A">
            <w:pPr>
              <w:rPr>
                <w:rFonts w:ascii="Arial" w:hAnsi="Arial" w:cs="Arial"/>
              </w:rPr>
            </w:pPr>
            <w:r w:rsidRPr="00A70D9A">
              <w:rPr>
                <w:rFonts w:ascii="Arial" w:hAnsi="Arial" w:cs="Arial"/>
                <w:lang w:val="en-GB"/>
              </w:rPr>
              <w:t xml:space="preserve">       </w:t>
            </w:r>
            <w:r w:rsidRPr="00A70D9A">
              <w:rPr>
                <w:rFonts w:ascii="Arial" w:hAnsi="Arial" w:cs="Arial"/>
              </w:rPr>
              <w:t xml:space="preserve">&gt;50 </w:t>
            </w:r>
            <w:proofErr w:type="spellStart"/>
            <w:r w:rsidRPr="00A70D9A">
              <w:rPr>
                <w:rFonts w:ascii="Arial" w:hAnsi="Arial" w:cs="Arial"/>
              </w:rPr>
              <w:t>years</w:t>
            </w:r>
            <w:proofErr w:type="spellEnd"/>
          </w:p>
          <w:p w14:paraId="31F0174B" w14:textId="77777777" w:rsidR="00D208A2" w:rsidRPr="00A70D9A" w:rsidRDefault="00D208A2" w:rsidP="00A70D9A">
            <w:pPr>
              <w:rPr>
                <w:rFonts w:ascii="Arial" w:hAnsi="Arial" w:cs="Arial"/>
              </w:rPr>
            </w:pPr>
            <w:r w:rsidRPr="00A70D9A">
              <w:rPr>
                <w:rFonts w:ascii="Arial" w:hAnsi="Arial" w:cs="Arial"/>
              </w:rPr>
              <w:t xml:space="preserve">       NA</w:t>
            </w:r>
          </w:p>
        </w:tc>
        <w:tc>
          <w:tcPr>
            <w:tcW w:w="3260" w:type="dxa"/>
          </w:tcPr>
          <w:p w14:paraId="62BA58E8" w14:textId="77777777" w:rsidR="00D208A2" w:rsidRPr="00A70D9A" w:rsidRDefault="00D208A2" w:rsidP="00A70D9A">
            <w:pPr>
              <w:jc w:val="center"/>
              <w:rPr>
                <w:rFonts w:ascii="Arial" w:hAnsi="Arial" w:cs="Arial"/>
              </w:rPr>
            </w:pPr>
          </w:p>
          <w:p w14:paraId="21F1B31F" w14:textId="77777777" w:rsidR="00D208A2" w:rsidRPr="00A70D9A" w:rsidRDefault="00D208A2" w:rsidP="00A70D9A">
            <w:pPr>
              <w:jc w:val="center"/>
              <w:rPr>
                <w:rFonts w:ascii="Arial" w:hAnsi="Arial" w:cs="Arial"/>
              </w:rPr>
            </w:pPr>
            <w:r w:rsidRPr="00A70D9A">
              <w:rPr>
                <w:rFonts w:ascii="Arial" w:hAnsi="Arial" w:cs="Arial"/>
              </w:rPr>
              <w:t>14 (0.1)</w:t>
            </w:r>
          </w:p>
          <w:p w14:paraId="507162E2" w14:textId="77777777" w:rsidR="00D208A2" w:rsidRPr="00A70D9A" w:rsidRDefault="00D208A2" w:rsidP="00A70D9A">
            <w:pPr>
              <w:jc w:val="center"/>
              <w:rPr>
                <w:rFonts w:ascii="Arial" w:hAnsi="Arial" w:cs="Arial"/>
              </w:rPr>
            </w:pPr>
            <w:r w:rsidRPr="00A70D9A">
              <w:rPr>
                <w:rFonts w:ascii="Arial" w:hAnsi="Arial" w:cs="Arial"/>
              </w:rPr>
              <w:t>1136 (9.2)</w:t>
            </w:r>
          </w:p>
          <w:p w14:paraId="28EB61E7" w14:textId="77777777" w:rsidR="00D208A2" w:rsidRPr="00A70D9A" w:rsidRDefault="00D208A2" w:rsidP="00A70D9A">
            <w:pPr>
              <w:jc w:val="center"/>
              <w:rPr>
                <w:rFonts w:ascii="Arial" w:hAnsi="Arial" w:cs="Arial"/>
              </w:rPr>
            </w:pPr>
            <w:r w:rsidRPr="00A70D9A">
              <w:rPr>
                <w:rFonts w:ascii="Arial" w:hAnsi="Arial" w:cs="Arial"/>
              </w:rPr>
              <w:t>6360 (51.3)</w:t>
            </w:r>
          </w:p>
          <w:p w14:paraId="6917A0AD" w14:textId="77777777" w:rsidR="00D208A2" w:rsidRPr="00A70D9A" w:rsidRDefault="00D208A2" w:rsidP="00A70D9A">
            <w:pPr>
              <w:jc w:val="center"/>
              <w:rPr>
                <w:rFonts w:ascii="Arial" w:hAnsi="Arial" w:cs="Arial"/>
              </w:rPr>
            </w:pPr>
            <w:r w:rsidRPr="00A70D9A">
              <w:rPr>
                <w:rFonts w:ascii="Arial" w:hAnsi="Arial" w:cs="Arial"/>
              </w:rPr>
              <w:t>4421 (35.7)</w:t>
            </w:r>
          </w:p>
          <w:p w14:paraId="4A7BEACF" w14:textId="77777777" w:rsidR="00D208A2" w:rsidRPr="00A70D9A" w:rsidRDefault="00D208A2" w:rsidP="00A70D9A">
            <w:pPr>
              <w:jc w:val="center"/>
              <w:rPr>
                <w:rFonts w:ascii="Arial" w:hAnsi="Arial" w:cs="Arial"/>
              </w:rPr>
            </w:pPr>
            <w:r w:rsidRPr="00A70D9A">
              <w:rPr>
                <w:rFonts w:ascii="Arial" w:hAnsi="Arial" w:cs="Arial"/>
              </w:rPr>
              <w:t>444 (3.6)</w:t>
            </w:r>
          </w:p>
          <w:p w14:paraId="0EEBD880" w14:textId="77777777" w:rsidR="00D208A2" w:rsidRPr="00A70D9A" w:rsidRDefault="00D208A2" w:rsidP="00A70D9A">
            <w:pPr>
              <w:jc w:val="center"/>
              <w:rPr>
                <w:rFonts w:ascii="Arial" w:hAnsi="Arial" w:cs="Arial"/>
              </w:rPr>
            </w:pPr>
            <w:r w:rsidRPr="00A70D9A">
              <w:rPr>
                <w:rFonts w:ascii="Arial" w:hAnsi="Arial" w:cs="Arial"/>
              </w:rPr>
              <w:t>15 (0.1)</w:t>
            </w:r>
          </w:p>
        </w:tc>
      </w:tr>
      <w:tr w:rsidR="00A70D9A" w:rsidRPr="00A70D9A" w14:paraId="386A9337" w14:textId="77777777" w:rsidTr="00A70D9A">
        <w:tc>
          <w:tcPr>
            <w:tcW w:w="4957" w:type="dxa"/>
          </w:tcPr>
          <w:p w14:paraId="2F477831" w14:textId="77777777" w:rsidR="00D208A2" w:rsidRPr="00A70D9A" w:rsidRDefault="00D208A2" w:rsidP="00A70D9A">
            <w:pPr>
              <w:rPr>
                <w:rFonts w:ascii="Arial" w:hAnsi="Arial" w:cs="Arial"/>
                <w:b/>
                <w:bCs/>
                <w:lang w:val="en-GB"/>
              </w:rPr>
            </w:pPr>
            <w:r w:rsidRPr="00A70D9A">
              <w:rPr>
                <w:rFonts w:ascii="Arial" w:hAnsi="Arial" w:cs="Arial"/>
                <w:b/>
                <w:bCs/>
                <w:lang w:val="en-GB"/>
              </w:rPr>
              <w:t>Father’s age</w:t>
            </w:r>
          </w:p>
          <w:p w14:paraId="63DAB9AE" w14:textId="77777777" w:rsidR="00D208A2" w:rsidRPr="00A70D9A" w:rsidRDefault="00D208A2" w:rsidP="00A70D9A">
            <w:pPr>
              <w:rPr>
                <w:rFonts w:ascii="Arial" w:hAnsi="Arial" w:cs="Arial"/>
                <w:lang w:val="en-GB"/>
              </w:rPr>
            </w:pPr>
            <w:r w:rsidRPr="00A70D9A">
              <w:rPr>
                <w:rFonts w:ascii="Arial" w:hAnsi="Arial" w:cs="Arial"/>
                <w:lang w:val="en-GB"/>
              </w:rPr>
              <w:t xml:space="preserve">       &lt;20 years</w:t>
            </w:r>
          </w:p>
          <w:p w14:paraId="591225CC" w14:textId="77777777" w:rsidR="00D208A2" w:rsidRPr="00A70D9A" w:rsidRDefault="00D208A2" w:rsidP="00A70D9A">
            <w:pPr>
              <w:rPr>
                <w:rFonts w:ascii="Arial" w:hAnsi="Arial" w:cs="Arial"/>
                <w:lang w:val="en-GB"/>
              </w:rPr>
            </w:pPr>
            <w:r w:rsidRPr="00A70D9A">
              <w:rPr>
                <w:rFonts w:ascii="Arial" w:hAnsi="Arial" w:cs="Arial"/>
                <w:lang w:val="en-GB"/>
              </w:rPr>
              <w:t xml:space="preserve">       20-29 years</w:t>
            </w:r>
          </w:p>
          <w:p w14:paraId="2840D7EE" w14:textId="77777777" w:rsidR="00D208A2" w:rsidRPr="00A70D9A" w:rsidRDefault="00D208A2" w:rsidP="00A70D9A">
            <w:pPr>
              <w:rPr>
                <w:rFonts w:ascii="Arial" w:hAnsi="Arial" w:cs="Arial"/>
                <w:lang w:val="en-GB"/>
              </w:rPr>
            </w:pPr>
            <w:r w:rsidRPr="00A70D9A">
              <w:rPr>
                <w:rFonts w:ascii="Arial" w:hAnsi="Arial" w:cs="Arial"/>
                <w:lang w:val="en-GB"/>
              </w:rPr>
              <w:t xml:space="preserve">       30-39 years</w:t>
            </w:r>
          </w:p>
          <w:p w14:paraId="5AA8909D" w14:textId="77777777" w:rsidR="00D208A2" w:rsidRPr="00A70D9A" w:rsidRDefault="00D208A2" w:rsidP="00A70D9A">
            <w:pPr>
              <w:rPr>
                <w:rFonts w:ascii="Arial" w:hAnsi="Arial" w:cs="Arial"/>
                <w:lang w:val="en-GB"/>
              </w:rPr>
            </w:pPr>
            <w:r w:rsidRPr="00A70D9A">
              <w:rPr>
                <w:rFonts w:ascii="Arial" w:hAnsi="Arial" w:cs="Arial"/>
                <w:lang w:val="en-GB"/>
              </w:rPr>
              <w:t xml:space="preserve">       40-49 years</w:t>
            </w:r>
          </w:p>
          <w:p w14:paraId="0FC0B7FF" w14:textId="77777777" w:rsidR="00D208A2" w:rsidRPr="00A70D9A" w:rsidRDefault="00D208A2" w:rsidP="00A70D9A">
            <w:pPr>
              <w:rPr>
                <w:rFonts w:ascii="Arial" w:hAnsi="Arial" w:cs="Arial"/>
                <w:lang w:val="en-GB"/>
              </w:rPr>
            </w:pPr>
            <w:r w:rsidRPr="00A70D9A">
              <w:rPr>
                <w:rFonts w:ascii="Arial" w:hAnsi="Arial" w:cs="Arial"/>
                <w:lang w:val="en-GB"/>
              </w:rPr>
              <w:t xml:space="preserve">       &gt;50 years</w:t>
            </w:r>
          </w:p>
          <w:p w14:paraId="6F5F66C2" w14:textId="77777777" w:rsidR="00D208A2" w:rsidRPr="00A70D9A" w:rsidRDefault="00D208A2" w:rsidP="00A70D9A">
            <w:pPr>
              <w:rPr>
                <w:rFonts w:ascii="Arial" w:hAnsi="Arial" w:cs="Arial"/>
                <w:lang w:val="en-GB"/>
              </w:rPr>
            </w:pPr>
            <w:r w:rsidRPr="00A70D9A">
              <w:rPr>
                <w:rFonts w:ascii="Arial" w:hAnsi="Arial" w:cs="Arial"/>
                <w:lang w:val="en-GB"/>
              </w:rPr>
              <w:t xml:space="preserve">       NA</w:t>
            </w:r>
          </w:p>
        </w:tc>
        <w:tc>
          <w:tcPr>
            <w:tcW w:w="3260" w:type="dxa"/>
          </w:tcPr>
          <w:p w14:paraId="39F6185D" w14:textId="77777777" w:rsidR="00D208A2" w:rsidRPr="00A70D9A" w:rsidRDefault="00D208A2" w:rsidP="00A70D9A">
            <w:pPr>
              <w:jc w:val="center"/>
              <w:rPr>
                <w:rFonts w:ascii="Arial" w:hAnsi="Arial" w:cs="Arial"/>
                <w:lang w:val="en-GB"/>
              </w:rPr>
            </w:pPr>
          </w:p>
          <w:p w14:paraId="3111733D" w14:textId="77777777" w:rsidR="00D208A2" w:rsidRPr="00A70D9A" w:rsidRDefault="00D208A2" w:rsidP="00A70D9A">
            <w:pPr>
              <w:jc w:val="center"/>
              <w:rPr>
                <w:rFonts w:ascii="Arial" w:hAnsi="Arial" w:cs="Arial"/>
                <w:lang w:val="en-GB"/>
              </w:rPr>
            </w:pPr>
            <w:r w:rsidRPr="00A70D9A">
              <w:rPr>
                <w:rFonts w:ascii="Arial" w:hAnsi="Arial" w:cs="Arial"/>
                <w:lang w:val="en-GB"/>
              </w:rPr>
              <w:t>1 (0.0)</w:t>
            </w:r>
          </w:p>
          <w:p w14:paraId="057EC1A2" w14:textId="77777777" w:rsidR="00D208A2" w:rsidRPr="00A70D9A" w:rsidRDefault="00D208A2" w:rsidP="00A70D9A">
            <w:pPr>
              <w:jc w:val="center"/>
              <w:rPr>
                <w:rFonts w:ascii="Arial" w:hAnsi="Arial" w:cs="Arial"/>
                <w:lang w:val="en-GB"/>
              </w:rPr>
            </w:pPr>
            <w:r w:rsidRPr="00A70D9A">
              <w:rPr>
                <w:rFonts w:ascii="Arial" w:hAnsi="Arial" w:cs="Arial"/>
                <w:lang w:val="en-GB"/>
              </w:rPr>
              <w:t>678 (5.5)</w:t>
            </w:r>
          </w:p>
          <w:p w14:paraId="6AD7087D" w14:textId="77777777" w:rsidR="00D208A2" w:rsidRPr="00A70D9A" w:rsidRDefault="00D208A2" w:rsidP="00A70D9A">
            <w:pPr>
              <w:jc w:val="center"/>
              <w:rPr>
                <w:rFonts w:ascii="Arial" w:hAnsi="Arial" w:cs="Arial"/>
                <w:lang w:val="en-GB"/>
              </w:rPr>
            </w:pPr>
            <w:r w:rsidRPr="00A70D9A">
              <w:rPr>
                <w:rFonts w:ascii="Arial" w:hAnsi="Arial" w:cs="Arial"/>
                <w:lang w:val="en-GB"/>
              </w:rPr>
              <w:t>5475 (44.2)</w:t>
            </w:r>
          </w:p>
          <w:p w14:paraId="566D9CCB" w14:textId="77777777" w:rsidR="00D208A2" w:rsidRPr="00A70D9A" w:rsidRDefault="00D208A2" w:rsidP="00A70D9A">
            <w:pPr>
              <w:jc w:val="center"/>
              <w:rPr>
                <w:rFonts w:ascii="Arial" w:hAnsi="Arial" w:cs="Arial"/>
                <w:lang w:val="en-GB"/>
              </w:rPr>
            </w:pPr>
            <w:r w:rsidRPr="00A70D9A">
              <w:rPr>
                <w:rFonts w:ascii="Arial" w:hAnsi="Arial" w:cs="Arial"/>
                <w:lang w:val="en-GB"/>
              </w:rPr>
              <w:t>5071 (40.9)</w:t>
            </w:r>
          </w:p>
          <w:p w14:paraId="4624FB7A" w14:textId="77777777" w:rsidR="00D208A2" w:rsidRPr="00A70D9A" w:rsidRDefault="00D208A2" w:rsidP="00A70D9A">
            <w:pPr>
              <w:jc w:val="center"/>
              <w:rPr>
                <w:rFonts w:ascii="Arial" w:hAnsi="Arial" w:cs="Arial"/>
                <w:lang w:val="en-GB"/>
              </w:rPr>
            </w:pPr>
            <w:r w:rsidRPr="00A70D9A">
              <w:rPr>
                <w:rFonts w:ascii="Arial" w:hAnsi="Arial" w:cs="Arial"/>
                <w:lang w:val="en-GB"/>
              </w:rPr>
              <w:t>1115 (8.9)</w:t>
            </w:r>
          </w:p>
          <w:p w14:paraId="13D04819" w14:textId="77777777" w:rsidR="00D208A2" w:rsidRPr="00A70D9A" w:rsidRDefault="00D208A2" w:rsidP="00A70D9A">
            <w:pPr>
              <w:jc w:val="center"/>
              <w:rPr>
                <w:rFonts w:ascii="Arial" w:hAnsi="Arial" w:cs="Arial"/>
                <w:lang w:val="en-GB"/>
              </w:rPr>
            </w:pPr>
            <w:r w:rsidRPr="00A70D9A">
              <w:rPr>
                <w:rFonts w:ascii="Arial" w:hAnsi="Arial" w:cs="Arial"/>
                <w:lang w:val="en-GB"/>
              </w:rPr>
              <w:t>50 (0.4)</w:t>
            </w:r>
          </w:p>
        </w:tc>
      </w:tr>
      <w:tr w:rsidR="00A70D9A" w:rsidRPr="00A70D9A" w14:paraId="66F86BED" w14:textId="77777777" w:rsidTr="00A70D9A">
        <w:tc>
          <w:tcPr>
            <w:tcW w:w="4957" w:type="dxa"/>
          </w:tcPr>
          <w:p w14:paraId="6B9E7E4B" w14:textId="77777777" w:rsidR="00D208A2" w:rsidRPr="00A70D9A" w:rsidRDefault="00D208A2" w:rsidP="00A70D9A">
            <w:pPr>
              <w:rPr>
                <w:rFonts w:ascii="Arial" w:hAnsi="Arial" w:cs="Arial"/>
                <w:b/>
                <w:bCs/>
                <w:lang w:val="en-GB"/>
              </w:rPr>
            </w:pPr>
            <w:r w:rsidRPr="00A70D9A">
              <w:rPr>
                <w:rFonts w:ascii="Arial" w:hAnsi="Arial" w:cs="Arial"/>
                <w:b/>
                <w:bCs/>
                <w:lang w:val="en-GB"/>
              </w:rPr>
              <w:t>Mother’s educational status</w:t>
            </w:r>
          </w:p>
          <w:p w14:paraId="3A5FF0DE" w14:textId="77777777" w:rsidR="00D208A2" w:rsidRPr="00A70D9A" w:rsidRDefault="00D208A2" w:rsidP="00A70D9A">
            <w:pPr>
              <w:rPr>
                <w:rFonts w:ascii="Arial" w:hAnsi="Arial" w:cs="Arial"/>
                <w:lang w:val="en-GB"/>
              </w:rPr>
            </w:pPr>
            <w:r w:rsidRPr="00A70D9A">
              <w:rPr>
                <w:rFonts w:ascii="Arial" w:hAnsi="Arial" w:cs="Arial"/>
                <w:lang w:val="en-GB"/>
              </w:rPr>
              <w:t xml:space="preserve">       Primary school (</w:t>
            </w:r>
            <w:proofErr w:type="gramStart"/>
            <w:r w:rsidRPr="00A70D9A">
              <w:rPr>
                <w:rFonts w:ascii="Arial" w:hAnsi="Arial" w:cs="Arial"/>
                <w:lang w:val="en-GB"/>
              </w:rPr>
              <w:t>1</w:t>
            </w:r>
            <w:r w:rsidRPr="00A70D9A">
              <w:rPr>
                <w:rFonts w:ascii="Arial" w:hAnsi="Arial" w:cs="Arial"/>
                <w:vertAlign w:val="superscript"/>
                <w:lang w:val="en-GB"/>
              </w:rPr>
              <w:t>th</w:t>
            </w:r>
            <w:proofErr w:type="gramEnd"/>
            <w:r w:rsidRPr="00A70D9A">
              <w:rPr>
                <w:rFonts w:ascii="Arial" w:hAnsi="Arial" w:cs="Arial"/>
                <w:vertAlign w:val="superscript"/>
                <w:lang w:val="en-GB"/>
              </w:rPr>
              <w:t xml:space="preserve"> </w:t>
            </w:r>
            <w:r w:rsidRPr="00A70D9A">
              <w:rPr>
                <w:rFonts w:ascii="Arial" w:hAnsi="Arial" w:cs="Arial"/>
                <w:lang w:val="en-GB"/>
              </w:rPr>
              <w:t>to 9</w:t>
            </w:r>
            <w:r w:rsidRPr="00A70D9A">
              <w:rPr>
                <w:rFonts w:ascii="Arial" w:hAnsi="Arial" w:cs="Arial"/>
                <w:vertAlign w:val="superscript"/>
                <w:lang w:val="en-GB"/>
              </w:rPr>
              <w:t>th</w:t>
            </w:r>
            <w:r w:rsidRPr="00A70D9A">
              <w:rPr>
                <w:rFonts w:ascii="Arial" w:hAnsi="Arial" w:cs="Arial"/>
                <w:lang w:val="en-GB"/>
              </w:rPr>
              <w:t xml:space="preserve"> grade)</w:t>
            </w:r>
          </w:p>
          <w:p w14:paraId="0DA8449A" w14:textId="77777777" w:rsidR="00D208A2" w:rsidRPr="00A70D9A" w:rsidRDefault="00D208A2" w:rsidP="00A70D9A">
            <w:pPr>
              <w:rPr>
                <w:rFonts w:ascii="Arial" w:hAnsi="Arial" w:cs="Arial"/>
                <w:lang w:val="en-GB"/>
              </w:rPr>
            </w:pPr>
            <w:r w:rsidRPr="00A70D9A">
              <w:rPr>
                <w:rFonts w:ascii="Arial" w:hAnsi="Arial" w:cs="Arial"/>
                <w:lang w:val="en-GB"/>
              </w:rPr>
              <w:t xml:space="preserve">       Secondary school (10</w:t>
            </w:r>
            <w:r w:rsidRPr="00A70D9A">
              <w:rPr>
                <w:rFonts w:ascii="Arial" w:hAnsi="Arial" w:cs="Arial"/>
                <w:vertAlign w:val="superscript"/>
                <w:lang w:val="en-GB"/>
              </w:rPr>
              <w:t xml:space="preserve">th </w:t>
            </w:r>
            <w:r w:rsidRPr="00A70D9A">
              <w:rPr>
                <w:rFonts w:ascii="Arial" w:hAnsi="Arial" w:cs="Arial"/>
                <w:lang w:val="en-GB"/>
              </w:rPr>
              <w:t>to 12</w:t>
            </w:r>
            <w:r w:rsidRPr="00A70D9A">
              <w:rPr>
                <w:rFonts w:ascii="Arial" w:hAnsi="Arial" w:cs="Arial"/>
                <w:vertAlign w:val="superscript"/>
                <w:lang w:val="en-GB"/>
              </w:rPr>
              <w:t>th</w:t>
            </w:r>
            <w:r w:rsidRPr="00A70D9A">
              <w:rPr>
                <w:rFonts w:ascii="Arial" w:hAnsi="Arial" w:cs="Arial"/>
                <w:lang w:val="en-GB"/>
              </w:rPr>
              <w:t xml:space="preserve"> grade)</w:t>
            </w:r>
          </w:p>
          <w:p w14:paraId="0B5C7428" w14:textId="77777777" w:rsidR="00D208A2" w:rsidRPr="00A70D9A" w:rsidRDefault="00D208A2" w:rsidP="00A70D9A">
            <w:pPr>
              <w:rPr>
                <w:rFonts w:ascii="Arial" w:hAnsi="Arial" w:cs="Arial"/>
                <w:lang w:val="en-GB"/>
              </w:rPr>
            </w:pPr>
            <w:r w:rsidRPr="00A70D9A">
              <w:rPr>
                <w:rFonts w:ascii="Arial" w:hAnsi="Arial" w:cs="Arial"/>
                <w:lang w:val="en-GB"/>
              </w:rPr>
              <w:t xml:space="preserve">       Bachelor’s degree or equivalent</w:t>
            </w:r>
          </w:p>
          <w:p w14:paraId="74E0DC73" w14:textId="77777777" w:rsidR="00D208A2" w:rsidRPr="00A70D9A" w:rsidRDefault="00D208A2" w:rsidP="00A70D9A">
            <w:pPr>
              <w:rPr>
                <w:rFonts w:ascii="Arial" w:hAnsi="Arial" w:cs="Arial"/>
                <w:lang w:val="en-GB"/>
              </w:rPr>
            </w:pPr>
            <w:r w:rsidRPr="00A70D9A">
              <w:rPr>
                <w:rFonts w:ascii="Arial" w:hAnsi="Arial" w:cs="Arial"/>
                <w:lang w:val="en-GB"/>
              </w:rPr>
              <w:t xml:space="preserve">       Master’s or Doctoral degree</w:t>
            </w:r>
          </w:p>
        </w:tc>
        <w:tc>
          <w:tcPr>
            <w:tcW w:w="3260" w:type="dxa"/>
          </w:tcPr>
          <w:p w14:paraId="71761146" w14:textId="77777777" w:rsidR="00D208A2" w:rsidRPr="00A70D9A" w:rsidRDefault="00D208A2" w:rsidP="00A70D9A">
            <w:pPr>
              <w:jc w:val="center"/>
              <w:rPr>
                <w:rFonts w:ascii="Arial" w:hAnsi="Arial" w:cs="Arial"/>
                <w:lang w:val="en-GB"/>
              </w:rPr>
            </w:pPr>
          </w:p>
          <w:p w14:paraId="5981A10A" w14:textId="77777777" w:rsidR="00D208A2" w:rsidRPr="00A70D9A" w:rsidRDefault="00D208A2" w:rsidP="00A70D9A">
            <w:pPr>
              <w:jc w:val="center"/>
              <w:rPr>
                <w:rFonts w:ascii="Arial" w:hAnsi="Arial" w:cs="Arial"/>
                <w:lang w:val="en-GB"/>
              </w:rPr>
            </w:pPr>
            <w:r w:rsidRPr="00A70D9A">
              <w:rPr>
                <w:rFonts w:ascii="Arial" w:hAnsi="Arial" w:cs="Arial"/>
                <w:lang w:val="en-GB"/>
              </w:rPr>
              <w:t>776 (6.2)</w:t>
            </w:r>
          </w:p>
          <w:p w14:paraId="5D0BEB27" w14:textId="77777777" w:rsidR="00D208A2" w:rsidRPr="00A70D9A" w:rsidRDefault="00D208A2" w:rsidP="00A70D9A">
            <w:pPr>
              <w:jc w:val="center"/>
              <w:rPr>
                <w:rFonts w:ascii="Arial" w:hAnsi="Arial" w:cs="Arial"/>
                <w:lang w:val="en-GB"/>
              </w:rPr>
            </w:pPr>
            <w:r w:rsidRPr="00A70D9A">
              <w:rPr>
                <w:rFonts w:ascii="Arial" w:hAnsi="Arial" w:cs="Arial"/>
                <w:lang w:val="en-GB"/>
              </w:rPr>
              <w:t>2293 (18.5)</w:t>
            </w:r>
          </w:p>
          <w:p w14:paraId="2D490DF0" w14:textId="77777777" w:rsidR="00D208A2" w:rsidRPr="00A70D9A" w:rsidRDefault="00D208A2" w:rsidP="00A70D9A">
            <w:pPr>
              <w:jc w:val="center"/>
              <w:rPr>
                <w:rFonts w:ascii="Arial" w:hAnsi="Arial" w:cs="Arial"/>
                <w:lang w:val="en-GB"/>
              </w:rPr>
            </w:pPr>
            <w:r w:rsidRPr="00A70D9A">
              <w:rPr>
                <w:rFonts w:ascii="Arial" w:hAnsi="Arial" w:cs="Arial"/>
                <w:lang w:val="en-GB"/>
              </w:rPr>
              <w:t>6846 (55.3)</w:t>
            </w:r>
          </w:p>
          <w:p w14:paraId="66A870B3" w14:textId="77777777" w:rsidR="00D208A2" w:rsidRPr="00A70D9A" w:rsidRDefault="00D208A2" w:rsidP="00A70D9A">
            <w:pPr>
              <w:jc w:val="center"/>
              <w:rPr>
                <w:rFonts w:ascii="Arial" w:hAnsi="Arial" w:cs="Arial"/>
                <w:lang w:val="en-GB"/>
              </w:rPr>
            </w:pPr>
            <w:r w:rsidRPr="00A70D9A">
              <w:rPr>
                <w:rFonts w:ascii="Arial" w:hAnsi="Arial" w:cs="Arial"/>
                <w:lang w:val="en-GB"/>
              </w:rPr>
              <w:t>2475 (20.0)</w:t>
            </w:r>
          </w:p>
        </w:tc>
      </w:tr>
      <w:tr w:rsidR="00A70D9A" w:rsidRPr="00A70D9A" w14:paraId="3AC9F235" w14:textId="77777777" w:rsidTr="00A70D9A">
        <w:tc>
          <w:tcPr>
            <w:tcW w:w="4957" w:type="dxa"/>
          </w:tcPr>
          <w:p w14:paraId="63514853" w14:textId="77777777" w:rsidR="00D208A2" w:rsidRPr="00A70D9A" w:rsidRDefault="00D208A2" w:rsidP="00A70D9A">
            <w:pPr>
              <w:rPr>
                <w:rFonts w:ascii="Arial" w:hAnsi="Arial" w:cs="Arial"/>
                <w:b/>
                <w:bCs/>
                <w:lang w:val="en-GB"/>
              </w:rPr>
            </w:pPr>
            <w:r w:rsidRPr="00A70D9A">
              <w:rPr>
                <w:rFonts w:ascii="Arial" w:hAnsi="Arial" w:cs="Arial"/>
                <w:b/>
                <w:bCs/>
                <w:lang w:val="en-GB"/>
              </w:rPr>
              <w:t>Father’s educational status</w:t>
            </w:r>
          </w:p>
          <w:p w14:paraId="40508134" w14:textId="77777777" w:rsidR="00D208A2" w:rsidRPr="00A70D9A" w:rsidRDefault="00D208A2" w:rsidP="00A70D9A">
            <w:pPr>
              <w:rPr>
                <w:rFonts w:ascii="Arial" w:hAnsi="Arial" w:cs="Arial"/>
                <w:lang w:val="en-GB"/>
              </w:rPr>
            </w:pPr>
            <w:r w:rsidRPr="00A70D9A">
              <w:rPr>
                <w:rFonts w:ascii="Arial" w:hAnsi="Arial" w:cs="Arial"/>
                <w:lang w:val="en-GB"/>
              </w:rPr>
              <w:lastRenderedPageBreak/>
              <w:t xml:space="preserve">       Primary school (</w:t>
            </w:r>
            <w:proofErr w:type="gramStart"/>
            <w:r w:rsidRPr="00A70D9A">
              <w:rPr>
                <w:rFonts w:ascii="Arial" w:hAnsi="Arial" w:cs="Arial"/>
                <w:lang w:val="en-GB"/>
              </w:rPr>
              <w:t>1</w:t>
            </w:r>
            <w:r w:rsidRPr="00A70D9A">
              <w:rPr>
                <w:rFonts w:ascii="Arial" w:hAnsi="Arial" w:cs="Arial"/>
                <w:vertAlign w:val="superscript"/>
                <w:lang w:val="en-GB"/>
              </w:rPr>
              <w:t>th</w:t>
            </w:r>
            <w:proofErr w:type="gramEnd"/>
            <w:r w:rsidRPr="00A70D9A">
              <w:rPr>
                <w:rFonts w:ascii="Arial" w:hAnsi="Arial" w:cs="Arial"/>
                <w:vertAlign w:val="superscript"/>
                <w:lang w:val="en-GB"/>
              </w:rPr>
              <w:t xml:space="preserve"> </w:t>
            </w:r>
            <w:r w:rsidRPr="00A70D9A">
              <w:rPr>
                <w:rFonts w:ascii="Arial" w:hAnsi="Arial" w:cs="Arial"/>
                <w:lang w:val="en-GB"/>
              </w:rPr>
              <w:t>- 9</w:t>
            </w:r>
            <w:r w:rsidRPr="00A70D9A">
              <w:rPr>
                <w:rFonts w:ascii="Arial" w:hAnsi="Arial" w:cs="Arial"/>
                <w:vertAlign w:val="superscript"/>
                <w:lang w:val="en-GB"/>
              </w:rPr>
              <w:t>th</w:t>
            </w:r>
            <w:r w:rsidRPr="00A70D9A">
              <w:rPr>
                <w:rFonts w:ascii="Arial" w:hAnsi="Arial" w:cs="Arial"/>
                <w:lang w:val="en-GB"/>
              </w:rPr>
              <w:t xml:space="preserve"> grade)</w:t>
            </w:r>
          </w:p>
          <w:p w14:paraId="6B7974B1" w14:textId="77777777" w:rsidR="00D208A2" w:rsidRPr="00A70D9A" w:rsidRDefault="00D208A2" w:rsidP="00A70D9A">
            <w:pPr>
              <w:rPr>
                <w:rFonts w:ascii="Arial" w:hAnsi="Arial" w:cs="Arial"/>
                <w:lang w:val="en-GB"/>
              </w:rPr>
            </w:pPr>
            <w:r w:rsidRPr="00A70D9A">
              <w:rPr>
                <w:rFonts w:ascii="Arial" w:hAnsi="Arial" w:cs="Arial"/>
                <w:lang w:val="en-GB"/>
              </w:rPr>
              <w:t xml:space="preserve">       Secondary school (10</w:t>
            </w:r>
            <w:r w:rsidRPr="00A70D9A">
              <w:rPr>
                <w:rFonts w:ascii="Arial" w:hAnsi="Arial" w:cs="Arial"/>
                <w:vertAlign w:val="superscript"/>
                <w:lang w:val="en-GB"/>
              </w:rPr>
              <w:t>th</w:t>
            </w:r>
            <w:r w:rsidRPr="00A70D9A">
              <w:rPr>
                <w:rFonts w:ascii="Arial" w:hAnsi="Arial" w:cs="Arial"/>
                <w:lang w:val="en-GB"/>
              </w:rPr>
              <w:t xml:space="preserve"> - 12</w:t>
            </w:r>
            <w:r w:rsidRPr="00A70D9A">
              <w:rPr>
                <w:rFonts w:ascii="Arial" w:hAnsi="Arial" w:cs="Arial"/>
                <w:vertAlign w:val="superscript"/>
                <w:lang w:val="en-GB"/>
              </w:rPr>
              <w:t>th</w:t>
            </w:r>
            <w:r w:rsidRPr="00A70D9A">
              <w:rPr>
                <w:rFonts w:ascii="Arial" w:hAnsi="Arial" w:cs="Arial"/>
                <w:lang w:val="en-GB"/>
              </w:rPr>
              <w:t xml:space="preserve"> grade)</w:t>
            </w:r>
          </w:p>
          <w:p w14:paraId="2D7E8B1C" w14:textId="77777777" w:rsidR="00D208A2" w:rsidRPr="00A70D9A" w:rsidRDefault="00D208A2" w:rsidP="00A70D9A">
            <w:pPr>
              <w:rPr>
                <w:rFonts w:ascii="Arial" w:hAnsi="Arial" w:cs="Arial"/>
                <w:lang w:val="en-GB"/>
              </w:rPr>
            </w:pPr>
            <w:r w:rsidRPr="00A70D9A">
              <w:rPr>
                <w:rFonts w:ascii="Arial" w:hAnsi="Arial" w:cs="Arial"/>
                <w:lang w:val="en-GB"/>
              </w:rPr>
              <w:t xml:space="preserve">       Bachelor’s degree or equivalent</w:t>
            </w:r>
          </w:p>
          <w:p w14:paraId="6AAB7EB8" w14:textId="77777777" w:rsidR="00D208A2" w:rsidRPr="00A70D9A" w:rsidRDefault="00D208A2" w:rsidP="00A70D9A">
            <w:pPr>
              <w:rPr>
                <w:rFonts w:ascii="Arial" w:hAnsi="Arial" w:cs="Arial"/>
                <w:lang w:val="en-GB"/>
              </w:rPr>
            </w:pPr>
            <w:r w:rsidRPr="00A70D9A">
              <w:rPr>
                <w:rFonts w:ascii="Arial" w:hAnsi="Arial" w:cs="Arial"/>
                <w:lang w:val="en-GB"/>
              </w:rPr>
              <w:t xml:space="preserve">       Master’s or Doctoral degree</w:t>
            </w:r>
          </w:p>
        </w:tc>
        <w:tc>
          <w:tcPr>
            <w:tcW w:w="3260" w:type="dxa"/>
          </w:tcPr>
          <w:p w14:paraId="502958F8" w14:textId="77777777" w:rsidR="00D208A2" w:rsidRPr="00A70D9A" w:rsidRDefault="00D208A2" w:rsidP="00A70D9A">
            <w:pPr>
              <w:jc w:val="center"/>
              <w:rPr>
                <w:rFonts w:ascii="Arial" w:hAnsi="Arial" w:cs="Arial"/>
                <w:lang w:val="en-GB"/>
              </w:rPr>
            </w:pPr>
          </w:p>
          <w:p w14:paraId="5D471329" w14:textId="77777777" w:rsidR="00D208A2" w:rsidRPr="00A70D9A" w:rsidRDefault="00D208A2" w:rsidP="00A70D9A">
            <w:pPr>
              <w:jc w:val="center"/>
              <w:rPr>
                <w:rFonts w:ascii="Arial" w:hAnsi="Arial" w:cs="Arial"/>
                <w:lang w:val="en-GB"/>
              </w:rPr>
            </w:pPr>
            <w:r w:rsidRPr="00A70D9A">
              <w:rPr>
                <w:rFonts w:ascii="Arial" w:hAnsi="Arial" w:cs="Arial"/>
                <w:lang w:val="en-GB"/>
              </w:rPr>
              <w:lastRenderedPageBreak/>
              <w:t>2020 (16.2)</w:t>
            </w:r>
          </w:p>
          <w:p w14:paraId="0AB6E969" w14:textId="77777777" w:rsidR="00D208A2" w:rsidRPr="00A70D9A" w:rsidRDefault="00D208A2" w:rsidP="00A70D9A">
            <w:pPr>
              <w:jc w:val="center"/>
              <w:rPr>
                <w:rFonts w:ascii="Arial" w:hAnsi="Arial" w:cs="Arial"/>
                <w:lang w:val="en-GB"/>
              </w:rPr>
            </w:pPr>
            <w:r w:rsidRPr="00A70D9A">
              <w:rPr>
                <w:rFonts w:ascii="Arial" w:hAnsi="Arial" w:cs="Arial"/>
                <w:lang w:val="en-GB"/>
              </w:rPr>
              <w:t>3066 (24.7)</w:t>
            </w:r>
          </w:p>
          <w:p w14:paraId="262508A2" w14:textId="77777777" w:rsidR="00D208A2" w:rsidRPr="00A70D9A" w:rsidRDefault="00D208A2" w:rsidP="00A70D9A">
            <w:pPr>
              <w:jc w:val="center"/>
              <w:rPr>
                <w:rFonts w:ascii="Arial" w:hAnsi="Arial" w:cs="Arial"/>
                <w:lang w:val="en-GB"/>
              </w:rPr>
            </w:pPr>
            <w:r w:rsidRPr="00A70D9A">
              <w:rPr>
                <w:rFonts w:ascii="Arial" w:hAnsi="Arial" w:cs="Arial"/>
                <w:lang w:val="en-GB"/>
              </w:rPr>
              <w:t>5436 (43.9)</w:t>
            </w:r>
          </w:p>
          <w:p w14:paraId="75C8FE1F" w14:textId="77777777" w:rsidR="00D208A2" w:rsidRPr="00A70D9A" w:rsidRDefault="00D208A2" w:rsidP="00A70D9A">
            <w:pPr>
              <w:jc w:val="center"/>
              <w:rPr>
                <w:rFonts w:ascii="Arial" w:hAnsi="Arial" w:cs="Arial"/>
                <w:lang w:val="en-GB"/>
              </w:rPr>
            </w:pPr>
            <w:r w:rsidRPr="00A70D9A">
              <w:rPr>
                <w:rFonts w:ascii="Arial" w:hAnsi="Arial" w:cs="Arial"/>
                <w:lang w:val="en-GB"/>
              </w:rPr>
              <w:t>1868 (15.1)</w:t>
            </w:r>
          </w:p>
        </w:tc>
      </w:tr>
    </w:tbl>
    <w:p w14:paraId="1D199B46" w14:textId="0596AECD" w:rsidR="00950030" w:rsidRPr="00A70D9A" w:rsidRDefault="0092526D" w:rsidP="006576BB">
      <w:pPr>
        <w:spacing w:after="0"/>
        <w:jc w:val="both"/>
        <w:rPr>
          <w:rFonts w:ascii="Arial" w:hAnsi="Arial" w:cs="Arial"/>
          <w:lang w:val="en-US"/>
        </w:rPr>
      </w:pPr>
      <w:r w:rsidRPr="00A70D9A">
        <w:rPr>
          <w:rFonts w:ascii="Arial" w:hAnsi="Arial" w:cs="Arial"/>
          <w:lang w:val="en-US"/>
        </w:rPr>
        <w:lastRenderedPageBreak/>
        <w:t>No</w:t>
      </w:r>
      <w:r w:rsidR="00FB73B3" w:rsidRPr="00A70D9A">
        <w:rPr>
          <w:rFonts w:ascii="Arial" w:hAnsi="Arial" w:cs="Arial"/>
          <w:lang w:val="en-US"/>
        </w:rPr>
        <w:t>.</w:t>
      </w:r>
      <w:r w:rsidRPr="00A70D9A">
        <w:rPr>
          <w:rFonts w:ascii="Arial" w:hAnsi="Arial" w:cs="Arial"/>
          <w:lang w:val="en-US"/>
        </w:rPr>
        <w:t>: number.</w:t>
      </w:r>
      <w:r w:rsidR="00D208A2" w:rsidRPr="00A70D9A">
        <w:rPr>
          <w:rFonts w:ascii="Arial" w:hAnsi="Arial" w:cs="Arial"/>
          <w:lang w:val="en-US"/>
        </w:rPr>
        <w:t xml:space="preserve"> NA: not applicable</w:t>
      </w:r>
    </w:p>
    <w:p w14:paraId="0BB665DC" w14:textId="197ED4A4" w:rsidR="00950030" w:rsidRDefault="00950030" w:rsidP="006576BB">
      <w:pPr>
        <w:spacing w:after="0"/>
        <w:jc w:val="both"/>
        <w:rPr>
          <w:rFonts w:ascii="Arial" w:hAnsi="Arial" w:cs="Arial"/>
          <w:lang w:val="en-US"/>
        </w:rPr>
      </w:pPr>
    </w:p>
    <w:p w14:paraId="31B04476" w14:textId="77777777" w:rsidR="006D1F21" w:rsidRPr="00A70D9A" w:rsidRDefault="006D1F21" w:rsidP="006576BB">
      <w:pPr>
        <w:spacing w:after="0"/>
        <w:jc w:val="both"/>
        <w:rPr>
          <w:rFonts w:ascii="Arial" w:hAnsi="Arial" w:cs="Arial"/>
          <w:lang w:val="en-US"/>
        </w:rPr>
      </w:pPr>
    </w:p>
    <w:p w14:paraId="1346CD8E" w14:textId="0F10E343" w:rsidR="006576BB" w:rsidRPr="00A70D9A" w:rsidRDefault="006576BB" w:rsidP="006576BB">
      <w:pPr>
        <w:spacing w:after="0"/>
        <w:jc w:val="both"/>
        <w:rPr>
          <w:rFonts w:ascii="Arial" w:hAnsi="Arial" w:cs="Arial"/>
          <w:lang w:val="en-US"/>
        </w:rPr>
      </w:pPr>
      <w:r w:rsidRPr="00A70D9A">
        <w:rPr>
          <w:rFonts w:ascii="Arial" w:hAnsi="Arial" w:cs="Arial"/>
          <w:lang w:val="en-US"/>
        </w:rPr>
        <w:t xml:space="preserve">Table </w:t>
      </w:r>
      <w:r w:rsidR="00950030" w:rsidRPr="00A70D9A">
        <w:rPr>
          <w:rFonts w:ascii="Arial" w:hAnsi="Arial" w:cs="Arial"/>
          <w:lang w:val="en-US"/>
        </w:rPr>
        <w:t>2</w:t>
      </w:r>
      <w:r w:rsidRPr="00A70D9A">
        <w:rPr>
          <w:rFonts w:ascii="Arial" w:hAnsi="Arial" w:cs="Arial"/>
          <w:lang w:val="en-US"/>
        </w:rPr>
        <w:t xml:space="preserve"> – Comparison between children who belong to a risk group and children who do not</w:t>
      </w:r>
    </w:p>
    <w:tbl>
      <w:tblPr>
        <w:tblStyle w:val="TabelacomGrelha"/>
        <w:tblW w:w="0" w:type="auto"/>
        <w:tblLook w:val="04A0" w:firstRow="1" w:lastRow="0" w:firstColumn="1" w:lastColumn="0" w:noHBand="0" w:noVBand="1"/>
      </w:tblPr>
      <w:tblGrid>
        <w:gridCol w:w="3964"/>
        <w:gridCol w:w="1843"/>
        <w:gridCol w:w="1701"/>
        <w:gridCol w:w="986"/>
      </w:tblGrid>
      <w:tr w:rsidR="00A70D9A" w:rsidRPr="00A70D9A" w14:paraId="21F609B9" w14:textId="77777777" w:rsidTr="006D1F21">
        <w:tc>
          <w:tcPr>
            <w:tcW w:w="3964" w:type="dxa"/>
            <w:vMerge w:val="restart"/>
            <w:vAlign w:val="center"/>
          </w:tcPr>
          <w:p w14:paraId="1E488F57" w14:textId="77777777" w:rsidR="006576BB" w:rsidRPr="00A70D9A" w:rsidRDefault="006576BB" w:rsidP="00D701F3">
            <w:pPr>
              <w:spacing w:line="276" w:lineRule="auto"/>
              <w:jc w:val="center"/>
              <w:rPr>
                <w:rFonts w:ascii="Arial" w:hAnsi="Arial" w:cs="Arial"/>
                <w:b/>
                <w:bCs/>
                <w:lang w:val="en-US"/>
              </w:rPr>
            </w:pPr>
          </w:p>
        </w:tc>
        <w:tc>
          <w:tcPr>
            <w:tcW w:w="3544" w:type="dxa"/>
            <w:gridSpan w:val="2"/>
            <w:vAlign w:val="center"/>
          </w:tcPr>
          <w:p w14:paraId="60AFAC68" w14:textId="77777777" w:rsidR="006576BB" w:rsidRPr="00A70D9A" w:rsidRDefault="006576BB" w:rsidP="00D701F3">
            <w:pPr>
              <w:spacing w:line="276" w:lineRule="auto"/>
              <w:jc w:val="center"/>
              <w:rPr>
                <w:rFonts w:ascii="Arial" w:hAnsi="Arial" w:cs="Arial"/>
                <w:lang w:val="en-US"/>
              </w:rPr>
            </w:pPr>
            <w:r w:rsidRPr="00A70D9A">
              <w:rPr>
                <w:rFonts w:ascii="Arial" w:hAnsi="Arial" w:cs="Arial"/>
                <w:b/>
                <w:bCs/>
                <w:lang w:val="en-US"/>
              </w:rPr>
              <w:t>No. (and %) of respondents</w:t>
            </w:r>
          </w:p>
        </w:tc>
        <w:tc>
          <w:tcPr>
            <w:tcW w:w="986" w:type="dxa"/>
            <w:vMerge w:val="restart"/>
            <w:vAlign w:val="center"/>
          </w:tcPr>
          <w:p w14:paraId="4E760DA3" w14:textId="77777777" w:rsidR="006576BB" w:rsidRPr="00A70D9A" w:rsidRDefault="006576BB" w:rsidP="00D701F3">
            <w:pPr>
              <w:spacing w:line="276" w:lineRule="auto"/>
              <w:jc w:val="center"/>
              <w:rPr>
                <w:rFonts w:ascii="Arial" w:hAnsi="Arial" w:cs="Arial"/>
                <w:b/>
                <w:bCs/>
                <w:i/>
                <w:lang w:val="en-US"/>
              </w:rPr>
            </w:pPr>
            <w:r w:rsidRPr="00A70D9A">
              <w:rPr>
                <w:rFonts w:ascii="Arial" w:hAnsi="Arial" w:cs="Arial"/>
                <w:b/>
                <w:bCs/>
                <w:i/>
                <w:lang w:val="en-US"/>
              </w:rPr>
              <w:t>p</w:t>
            </w:r>
          </w:p>
        </w:tc>
      </w:tr>
      <w:tr w:rsidR="00A70D9A" w:rsidRPr="00A70D9A" w14:paraId="3596A294" w14:textId="77777777" w:rsidTr="006D1F21">
        <w:tc>
          <w:tcPr>
            <w:tcW w:w="3964" w:type="dxa"/>
            <w:vMerge/>
            <w:vAlign w:val="center"/>
          </w:tcPr>
          <w:p w14:paraId="76DFBA12" w14:textId="77777777" w:rsidR="006576BB" w:rsidRPr="00A70D9A" w:rsidRDefault="006576BB" w:rsidP="00D701F3">
            <w:pPr>
              <w:spacing w:line="276" w:lineRule="auto"/>
              <w:jc w:val="center"/>
              <w:rPr>
                <w:rFonts w:ascii="Arial" w:hAnsi="Arial" w:cs="Arial"/>
                <w:lang w:val="en-US"/>
              </w:rPr>
            </w:pPr>
          </w:p>
        </w:tc>
        <w:tc>
          <w:tcPr>
            <w:tcW w:w="1843" w:type="dxa"/>
            <w:vAlign w:val="center"/>
          </w:tcPr>
          <w:p w14:paraId="7FF249C2"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Risk group</w:t>
            </w:r>
          </w:p>
          <w:p w14:paraId="0D04962F"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(n = 2,241)</w:t>
            </w:r>
          </w:p>
        </w:tc>
        <w:tc>
          <w:tcPr>
            <w:tcW w:w="1701" w:type="dxa"/>
            <w:vAlign w:val="center"/>
          </w:tcPr>
          <w:p w14:paraId="0402428C"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 xml:space="preserve">No risk </w:t>
            </w:r>
            <w:proofErr w:type="gramStart"/>
            <w:r w:rsidRPr="00A70D9A">
              <w:rPr>
                <w:rFonts w:ascii="Arial" w:hAnsi="Arial" w:cs="Arial"/>
                <w:b/>
                <w:bCs/>
                <w:lang w:val="en-US"/>
              </w:rPr>
              <w:t>group</w:t>
            </w:r>
            <w:proofErr w:type="gramEnd"/>
          </w:p>
          <w:p w14:paraId="65BFB48C"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(n = 10,149)</w:t>
            </w:r>
          </w:p>
        </w:tc>
        <w:tc>
          <w:tcPr>
            <w:tcW w:w="986" w:type="dxa"/>
            <w:vMerge/>
            <w:vAlign w:val="center"/>
          </w:tcPr>
          <w:p w14:paraId="067E47D6" w14:textId="77777777" w:rsidR="006576BB" w:rsidRPr="00A70D9A" w:rsidRDefault="006576BB" w:rsidP="00D701F3">
            <w:pPr>
              <w:spacing w:line="276" w:lineRule="auto"/>
              <w:jc w:val="center"/>
              <w:rPr>
                <w:rFonts w:ascii="Arial" w:hAnsi="Arial" w:cs="Arial"/>
                <w:lang w:val="en-US"/>
              </w:rPr>
            </w:pPr>
          </w:p>
        </w:tc>
      </w:tr>
      <w:tr w:rsidR="00A70D9A" w:rsidRPr="00A70D9A" w14:paraId="702374B4" w14:textId="77777777" w:rsidTr="006D1F21">
        <w:tc>
          <w:tcPr>
            <w:tcW w:w="3964" w:type="dxa"/>
            <w:vAlign w:val="center"/>
          </w:tcPr>
          <w:p w14:paraId="6EE7C654" w14:textId="77777777" w:rsidR="00EF1DF0" w:rsidRPr="00A70D9A" w:rsidRDefault="00EF1DF0" w:rsidP="0071594C">
            <w:pPr>
              <w:spacing w:line="276" w:lineRule="auto"/>
              <w:jc w:val="center"/>
              <w:rPr>
                <w:rFonts w:ascii="Arial" w:hAnsi="Arial" w:cs="Arial"/>
                <w:lang w:val="en-US"/>
              </w:rPr>
            </w:pPr>
            <w:r w:rsidRPr="00A70D9A">
              <w:rPr>
                <w:rFonts w:ascii="Arial" w:hAnsi="Arial" w:cs="Arial"/>
                <w:lang w:val="en-US"/>
              </w:rPr>
              <w:t>Symptoms presented</w:t>
            </w:r>
            <w:r w:rsidR="0071594C" w:rsidRPr="00A70D9A">
              <w:rPr>
                <w:rFonts w:ascii="Arial" w:hAnsi="Arial" w:cs="Arial"/>
                <w:lang w:val="en-US"/>
              </w:rPr>
              <w:t>*</w:t>
            </w:r>
          </w:p>
        </w:tc>
        <w:tc>
          <w:tcPr>
            <w:tcW w:w="1843" w:type="dxa"/>
            <w:vAlign w:val="center"/>
          </w:tcPr>
          <w:p w14:paraId="4CB0780E" w14:textId="77777777" w:rsidR="00EF1DF0" w:rsidRPr="00A70D9A" w:rsidRDefault="00EF1DF0" w:rsidP="00D701F3">
            <w:pPr>
              <w:jc w:val="center"/>
              <w:rPr>
                <w:rFonts w:ascii="Arial" w:hAnsi="Arial" w:cs="Arial"/>
                <w:lang w:val="en-US"/>
              </w:rPr>
            </w:pPr>
            <w:r w:rsidRPr="00A70D9A">
              <w:rPr>
                <w:rFonts w:ascii="Arial" w:hAnsi="Arial" w:cs="Arial"/>
                <w:lang w:val="en-US"/>
              </w:rPr>
              <w:t>600 (26.8)</w:t>
            </w:r>
          </w:p>
        </w:tc>
        <w:tc>
          <w:tcPr>
            <w:tcW w:w="1701" w:type="dxa"/>
            <w:vAlign w:val="center"/>
          </w:tcPr>
          <w:p w14:paraId="28FA8E86" w14:textId="77777777" w:rsidR="00EF1DF0" w:rsidRPr="00A70D9A" w:rsidRDefault="00EF1DF0" w:rsidP="00D701F3">
            <w:pPr>
              <w:jc w:val="center"/>
              <w:rPr>
                <w:rFonts w:ascii="Arial" w:hAnsi="Arial" w:cs="Arial"/>
                <w:lang w:val="en-US"/>
              </w:rPr>
            </w:pPr>
            <w:r w:rsidRPr="00A70D9A">
              <w:rPr>
                <w:rFonts w:ascii="Arial" w:hAnsi="Arial" w:cs="Arial"/>
                <w:lang w:val="en-US"/>
              </w:rPr>
              <w:t>1952 (19.2)</w:t>
            </w:r>
          </w:p>
        </w:tc>
        <w:tc>
          <w:tcPr>
            <w:tcW w:w="986" w:type="dxa"/>
            <w:vAlign w:val="center"/>
          </w:tcPr>
          <w:p w14:paraId="2F3A7190" w14:textId="77777777" w:rsidR="00EF1DF0" w:rsidRPr="00A70D9A" w:rsidRDefault="00EF1DF0" w:rsidP="00D701F3">
            <w:pPr>
              <w:jc w:val="center"/>
              <w:rPr>
                <w:rFonts w:ascii="Arial" w:hAnsi="Arial" w:cs="Arial"/>
                <w:lang w:val="en-US"/>
              </w:rPr>
            </w:pPr>
            <w:r w:rsidRPr="00A70D9A">
              <w:rPr>
                <w:rFonts w:ascii="Arial" w:hAnsi="Arial" w:cs="Arial"/>
                <w:lang w:val="en-US"/>
              </w:rPr>
              <w:t>&lt; 0.001</w:t>
            </w:r>
          </w:p>
        </w:tc>
      </w:tr>
      <w:tr w:rsidR="00A70D9A" w:rsidRPr="00A70D9A" w14:paraId="05CD223C" w14:textId="77777777" w:rsidTr="006D1F21">
        <w:tc>
          <w:tcPr>
            <w:tcW w:w="3964" w:type="dxa"/>
            <w:vAlign w:val="center"/>
          </w:tcPr>
          <w:p w14:paraId="1B4123F7" w14:textId="77777777" w:rsidR="006576BB" w:rsidRPr="00A70D9A" w:rsidRDefault="006576BB" w:rsidP="00D701F3">
            <w:pPr>
              <w:spacing w:line="276" w:lineRule="auto"/>
              <w:jc w:val="center"/>
              <w:rPr>
                <w:rFonts w:ascii="Arial" w:hAnsi="Arial" w:cs="Arial"/>
                <w:vertAlign w:val="subscript"/>
                <w:lang w:val="en-US"/>
              </w:rPr>
            </w:pPr>
            <w:r w:rsidRPr="00A70D9A">
              <w:rPr>
                <w:rFonts w:ascii="Arial" w:hAnsi="Arial" w:cs="Arial"/>
                <w:lang w:val="en-US"/>
              </w:rPr>
              <w:t>ED visits</w:t>
            </w:r>
            <w:r w:rsidR="00F861E6" w:rsidRPr="00A70D9A">
              <w:rPr>
                <w:rFonts w:ascii="Arial" w:hAnsi="Arial" w:cs="Arial"/>
                <w:lang w:val="en-US"/>
              </w:rPr>
              <w:t>*</w:t>
            </w:r>
          </w:p>
        </w:tc>
        <w:tc>
          <w:tcPr>
            <w:tcW w:w="1843" w:type="dxa"/>
            <w:vAlign w:val="center"/>
          </w:tcPr>
          <w:p w14:paraId="2D0D76E6"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190 (31.7)</w:t>
            </w:r>
          </w:p>
        </w:tc>
        <w:tc>
          <w:tcPr>
            <w:tcW w:w="1701" w:type="dxa"/>
            <w:vAlign w:val="center"/>
          </w:tcPr>
          <w:p w14:paraId="789729EC"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621 (31.8)</w:t>
            </w:r>
          </w:p>
        </w:tc>
        <w:tc>
          <w:tcPr>
            <w:tcW w:w="986" w:type="dxa"/>
            <w:vAlign w:val="center"/>
          </w:tcPr>
          <w:p w14:paraId="5A3030CE"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NS</w:t>
            </w:r>
          </w:p>
        </w:tc>
      </w:tr>
      <w:tr w:rsidR="00A70D9A" w:rsidRPr="00A70D9A" w14:paraId="26652F36" w14:textId="77777777" w:rsidTr="006D1F21">
        <w:tc>
          <w:tcPr>
            <w:tcW w:w="3964" w:type="dxa"/>
            <w:vAlign w:val="center"/>
          </w:tcPr>
          <w:p w14:paraId="29A711A5" w14:textId="77777777" w:rsidR="006576BB" w:rsidRPr="00A70D9A" w:rsidRDefault="00961F40" w:rsidP="00D701F3">
            <w:pPr>
              <w:spacing w:line="276" w:lineRule="auto"/>
              <w:jc w:val="center"/>
              <w:rPr>
                <w:rFonts w:ascii="Arial" w:hAnsi="Arial" w:cs="Arial"/>
                <w:vertAlign w:val="superscript"/>
                <w:lang w:val="en-US"/>
              </w:rPr>
            </w:pPr>
            <w:r w:rsidRPr="00A70D9A">
              <w:rPr>
                <w:rFonts w:ascii="Arial" w:hAnsi="Arial" w:cs="Arial"/>
                <w:lang w:val="en-US"/>
              </w:rPr>
              <w:t>Submission</w:t>
            </w:r>
            <w:r w:rsidR="006576BB" w:rsidRPr="00A70D9A">
              <w:rPr>
                <w:rFonts w:ascii="Arial" w:hAnsi="Arial" w:cs="Arial"/>
                <w:lang w:val="en-US"/>
              </w:rPr>
              <w:t xml:space="preserve"> to invasive interventions or hospitalization</w:t>
            </w:r>
            <w:r w:rsidR="00F861E6" w:rsidRPr="00A70D9A">
              <w:rPr>
                <w:rFonts w:ascii="Arial" w:hAnsi="Arial" w:cs="Arial"/>
                <w:lang w:val="en-US"/>
              </w:rPr>
              <w:t>*</w:t>
            </w:r>
          </w:p>
        </w:tc>
        <w:tc>
          <w:tcPr>
            <w:tcW w:w="1843" w:type="dxa"/>
            <w:vAlign w:val="center"/>
          </w:tcPr>
          <w:p w14:paraId="095CA31D"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178 (7.9)</w:t>
            </w:r>
          </w:p>
        </w:tc>
        <w:tc>
          <w:tcPr>
            <w:tcW w:w="1701" w:type="dxa"/>
            <w:vAlign w:val="center"/>
          </w:tcPr>
          <w:p w14:paraId="41EA3D8B"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250 (2.5)</w:t>
            </w:r>
          </w:p>
        </w:tc>
        <w:tc>
          <w:tcPr>
            <w:tcW w:w="986" w:type="dxa"/>
            <w:vAlign w:val="center"/>
          </w:tcPr>
          <w:p w14:paraId="5247C534"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&lt; 0.001</w:t>
            </w:r>
          </w:p>
        </w:tc>
      </w:tr>
    </w:tbl>
    <w:p w14:paraId="12D103DC" w14:textId="00BCACAB" w:rsidR="006576BB" w:rsidRPr="00A70D9A" w:rsidRDefault="00FB73B3" w:rsidP="006576BB">
      <w:pPr>
        <w:spacing w:after="0"/>
        <w:jc w:val="both"/>
        <w:rPr>
          <w:rFonts w:ascii="Arial" w:hAnsi="Arial" w:cs="Arial"/>
          <w:lang w:val="en-US"/>
        </w:rPr>
      </w:pPr>
      <w:r w:rsidRPr="00A70D9A">
        <w:rPr>
          <w:rFonts w:ascii="Arial" w:hAnsi="Arial" w:cs="Arial"/>
          <w:lang w:val="en-US"/>
        </w:rPr>
        <w:t xml:space="preserve">No: number. </w:t>
      </w:r>
      <w:r w:rsidR="0092526D" w:rsidRPr="00A70D9A">
        <w:rPr>
          <w:rFonts w:ascii="Arial" w:hAnsi="Arial" w:cs="Arial"/>
          <w:lang w:val="en-US"/>
        </w:rPr>
        <w:t xml:space="preserve">ED: Emergency Department. </w:t>
      </w:r>
      <w:r w:rsidR="006576BB" w:rsidRPr="00A70D9A">
        <w:rPr>
          <w:rFonts w:ascii="Arial" w:hAnsi="Arial" w:cs="Arial"/>
          <w:lang w:val="en-US"/>
        </w:rPr>
        <w:t xml:space="preserve">NS: not significant. </w:t>
      </w:r>
      <w:r w:rsidR="00F861E6" w:rsidRPr="00A70D9A">
        <w:rPr>
          <w:rFonts w:ascii="Arial" w:hAnsi="Arial" w:cs="Arial"/>
          <w:lang w:val="en-US"/>
        </w:rPr>
        <w:t>*</w:t>
      </w:r>
      <w:r w:rsidR="006576BB" w:rsidRPr="00A70D9A">
        <w:rPr>
          <w:rFonts w:ascii="Arial" w:hAnsi="Arial" w:cs="Arial"/>
          <w:vertAlign w:val="subscript"/>
          <w:lang w:val="en-US"/>
        </w:rPr>
        <w:t xml:space="preserve"> </w:t>
      </w:r>
      <w:r w:rsidR="006576BB" w:rsidRPr="00A70D9A">
        <w:rPr>
          <w:rFonts w:ascii="Arial" w:hAnsi="Arial" w:cs="Arial"/>
          <w:lang w:val="en-US"/>
        </w:rPr>
        <w:t>Presented as percentage, statistical analysis using Pearson’s chi-squared test.</w:t>
      </w:r>
    </w:p>
    <w:p w14:paraId="778DCF35" w14:textId="77777777" w:rsidR="006576BB" w:rsidRPr="00A70D9A" w:rsidRDefault="006576BB" w:rsidP="006576BB">
      <w:pPr>
        <w:spacing w:after="0"/>
        <w:jc w:val="both"/>
        <w:rPr>
          <w:rFonts w:ascii="Arial" w:hAnsi="Arial" w:cs="Arial"/>
          <w:lang w:val="en-US"/>
        </w:rPr>
      </w:pPr>
    </w:p>
    <w:p w14:paraId="16531E9D" w14:textId="77777777" w:rsidR="0041318C" w:rsidRPr="00A70D9A" w:rsidRDefault="0041318C" w:rsidP="006576BB">
      <w:pPr>
        <w:tabs>
          <w:tab w:val="left" w:pos="5230"/>
        </w:tabs>
        <w:rPr>
          <w:rFonts w:ascii="Arial" w:hAnsi="Arial" w:cs="Arial"/>
          <w:lang w:val="en-US"/>
        </w:rPr>
      </w:pPr>
    </w:p>
    <w:p w14:paraId="0DCA3857" w14:textId="7A4AB39F" w:rsidR="006576BB" w:rsidRPr="00A70D9A" w:rsidRDefault="006576BB" w:rsidP="006576BB">
      <w:pPr>
        <w:spacing w:after="0"/>
        <w:jc w:val="both"/>
        <w:rPr>
          <w:rFonts w:ascii="Arial" w:hAnsi="Arial" w:cs="Arial"/>
          <w:lang w:val="en-US"/>
        </w:rPr>
      </w:pPr>
      <w:r w:rsidRPr="00A70D9A">
        <w:rPr>
          <w:rFonts w:ascii="Arial" w:hAnsi="Arial" w:cs="Arial"/>
          <w:lang w:val="en-US"/>
        </w:rPr>
        <w:t xml:space="preserve">Table </w:t>
      </w:r>
      <w:r w:rsidR="00950030" w:rsidRPr="00A70D9A">
        <w:rPr>
          <w:rFonts w:ascii="Arial" w:hAnsi="Arial" w:cs="Arial"/>
          <w:lang w:val="en-US"/>
        </w:rPr>
        <w:t>3</w:t>
      </w:r>
      <w:r w:rsidRPr="00A70D9A">
        <w:rPr>
          <w:rFonts w:ascii="Arial" w:hAnsi="Arial" w:cs="Arial"/>
          <w:lang w:val="en-US"/>
        </w:rPr>
        <w:t xml:space="preserve"> – Outcome of scheduled medical appointments, vaccinations, and neonatal screenings</w:t>
      </w:r>
    </w:p>
    <w:tbl>
      <w:tblPr>
        <w:tblStyle w:val="TabelacomGrelha"/>
        <w:tblW w:w="0" w:type="auto"/>
        <w:tblLayout w:type="fixed"/>
        <w:tblLook w:val="04A0" w:firstRow="1" w:lastRow="0" w:firstColumn="1" w:lastColumn="0" w:noHBand="0" w:noVBand="1"/>
      </w:tblPr>
      <w:tblGrid>
        <w:gridCol w:w="2263"/>
        <w:gridCol w:w="1557"/>
        <w:gridCol w:w="1558"/>
        <w:gridCol w:w="1558"/>
        <w:gridCol w:w="1558"/>
      </w:tblGrid>
      <w:tr w:rsidR="00A70D9A" w:rsidRPr="00A70D9A" w14:paraId="0D4AD6A4" w14:textId="77777777" w:rsidTr="00D701F3">
        <w:tc>
          <w:tcPr>
            <w:tcW w:w="2263" w:type="dxa"/>
            <w:vMerge w:val="restart"/>
            <w:vAlign w:val="center"/>
          </w:tcPr>
          <w:p w14:paraId="21E02A23"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Scheduled appointments</w:t>
            </w:r>
          </w:p>
        </w:tc>
        <w:tc>
          <w:tcPr>
            <w:tcW w:w="6231" w:type="dxa"/>
            <w:gridSpan w:val="4"/>
            <w:vAlign w:val="center"/>
          </w:tcPr>
          <w:p w14:paraId="2FBD53F6"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No. (and %) of respondents</w:t>
            </w:r>
          </w:p>
        </w:tc>
      </w:tr>
      <w:tr w:rsidR="00A70D9A" w:rsidRPr="00A70D9A" w14:paraId="0AFC32A9" w14:textId="77777777" w:rsidTr="00D701F3">
        <w:tc>
          <w:tcPr>
            <w:tcW w:w="2263" w:type="dxa"/>
            <w:vMerge/>
            <w:vAlign w:val="center"/>
          </w:tcPr>
          <w:p w14:paraId="0B1915FE" w14:textId="77777777" w:rsidR="006576BB" w:rsidRPr="00A70D9A" w:rsidRDefault="006576BB" w:rsidP="00D701F3">
            <w:pPr>
              <w:spacing w:line="276" w:lineRule="auto"/>
              <w:jc w:val="center"/>
              <w:rPr>
                <w:rFonts w:ascii="Arial" w:hAnsi="Arial" w:cs="Arial"/>
                <w:b/>
                <w:bCs/>
                <w:lang w:val="en-US"/>
              </w:rPr>
            </w:pPr>
          </w:p>
        </w:tc>
        <w:tc>
          <w:tcPr>
            <w:tcW w:w="1557" w:type="dxa"/>
            <w:vAlign w:val="center"/>
          </w:tcPr>
          <w:p w14:paraId="5C6D5E87"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Carried out in person</w:t>
            </w:r>
          </w:p>
        </w:tc>
        <w:tc>
          <w:tcPr>
            <w:tcW w:w="1558" w:type="dxa"/>
            <w:vAlign w:val="center"/>
          </w:tcPr>
          <w:p w14:paraId="6AD05627"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Carried out virtually</w:t>
            </w:r>
          </w:p>
        </w:tc>
        <w:tc>
          <w:tcPr>
            <w:tcW w:w="1558" w:type="dxa"/>
            <w:vAlign w:val="center"/>
          </w:tcPr>
          <w:p w14:paraId="558612B3"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Cancelled/</w:t>
            </w:r>
          </w:p>
          <w:p w14:paraId="138832AC"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postponed by the family</w:t>
            </w:r>
          </w:p>
        </w:tc>
        <w:tc>
          <w:tcPr>
            <w:tcW w:w="1558" w:type="dxa"/>
            <w:vAlign w:val="center"/>
          </w:tcPr>
          <w:p w14:paraId="6B0CBB8F"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Cancelled/</w:t>
            </w:r>
          </w:p>
          <w:p w14:paraId="62845D4D"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postponed by the health institution</w:t>
            </w:r>
          </w:p>
        </w:tc>
      </w:tr>
      <w:tr w:rsidR="00A70D9A" w:rsidRPr="00A70D9A" w14:paraId="293ABA79" w14:textId="77777777" w:rsidTr="00D701F3">
        <w:tc>
          <w:tcPr>
            <w:tcW w:w="2263" w:type="dxa"/>
            <w:vAlign w:val="center"/>
          </w:tcPr>
          <w:p w14:paraId="08302F27"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Medical appointment</w:t>
            </w:r>
          </w:p>
          <w:p w14:paraId="3B8D8FA9"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(n = 5,984)</w:t>
            </w:r>
          </w:p>
        </w:tc>
        <w:tc>
          <w:tcPr>
            <w:tcW w:w="1557" w:type="dxa"/>
            <w:vAlign w:val="center"/>
          </w:tcPr>
          <w:p w14:paraId="40CD0B7B"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1298 (21.7)</w:t>
            </w:r>
          </w:p>
        </w:tc>
        <w:tc>
          <w:tcPr>
            <w:tcW w:w="1558" w:type="dxa"/>
            <w:vAlign w:val="center"/>
          </w:tcPr>
          <w:p w14:paraId="153E334B"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651 (10.9)</w:t>
            </w:r>
          </w:p>
        </w:tc>
        <w:tc>
          <w:tcPr>
            <w:tcW w:w="1558" w:type="dxa"/>
            <w:vAlign w:val="center"/>
          </w:tcPr>
          <w:p w14:paraId="0E429446"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793 (13.3)</w:t>
            </w:r>
          </w:p>
        </w:tc>
        <w:tc>
          <w:tcPr>
            <w:tcW w:w="1558" w:type="dxa"/>
            <w:vAlign w:val="center"/>
          </w:tcPr>
          <w:p w14:paraId="2B3EF49B"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3242 (54.2)</w:t>
            </w:r>
          </w:p>
        </w:tc>
      </w:tr>
      <w:tr w:rsidR="00A70D9A" w:rsidRPr="00A70D9A" w14:paraId="7707C6EB" w14:textId="77777777" w:rsidTr="00D701F3">
        <w:tc>
          <w:tcPr>
            <w:tcW w:w="2263" w:type="dxa"/>
            <w:vAlign w:val="center"/>
          </w:tcPr>
          <w:p w14:paraId="4D107778"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Vaccination</w:t>
            </w:r>
          </w:p>
          <w:p w14:paraId="0BC40353"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(n = 2,747)</w:t>
            </w:r>
          </w:p>
        </w:tc>
        <w:tc>
          <w:tcPr>
            <w:tcW w:w="1557" w:type="dxa"/>
            <w:vAlign w:val="center"/>
          </w:tcPr>
          <w:p w14:paraId="79C03AA0"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2153 (78.4)</w:t>
            </w:r>
          </w:p>
        </w:tc>
        <w:tc>
          <w:tcPr>
            <w:tcW w:w="1558" w:type="dxa"/>
            <w:vAlign w:val="center"/>
          </w:tcPr>
          <w:p w14:paraId="5E960429"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w:t>
            </w:r>
          </w:p>
        </w:tc>
        <w:tc>
          <w:tcPr>
            <w:tcW w:w="1558" w:type="dxa"/>
            <w:vAlign w:val="center"/>
          </w:tcPr>
          <w:p w14:paraId="3C2A726F"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320 (11.6)</w:t>
            </w:r>
          </w:p>
        </w:tc>
        <w:tc>
          <w:tcPr>
            <w:tcW w:w="1558" w:type="dxa"/>
            <w:vAlign w:val="center"/>
          </w:tcPr>
          <w:p w14:paraId="4374E87C"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274 (10.0)</w:t>
            </w:r>
          </w:p>
        </w:tc>
      </w:tr>
      <w:tr w:rsidR="00A70D9A" w:rsidRPr="00A70D9A" w14:paraId="7E9775EC" w14:textId="77777777" w:rsidTr="00D701F3">
        <w:tc>
          <w:tcPr>
            <w:tcW w:w="2263" w:type="dxa"/>
            <w:vAlign w:val="center"/>
          </w:tcPr>
          <w:p w14:paraId="00671877"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Neonatal screening</w:t>
            </w:r>
          </w:p>
          <w:p w14:paraId="0E2240B6" w14:textId="77777777" w:rsidR="006576BB" w:rsidRPr="00A70D9A" w:rsidRDefault="006576BB" w:rsidP="00D701F3">
            <w:pPr>
              <w:spacing w:line="276" w:lineRule="auto"/>
              <w:jc w:val="center"/>
              <w:rPr>
                <w:rFonts w:ascii="Arial" w:hAnsi="Arial" w:cs="Arial"/>
                <w:b/>
                <w:bCs/>
                <w:lang w:val="en-US"/>
              </w:rPr>
            </w:pPr>
            <w:r w:rsidRPr="00A70D9A">
              <w:rPr>
                <w:rFonts w:ascii="Arial" w:hAnsi="Arial" w:cs="Arial"/>
                <w:b/>
                <w:bCs/>
                <w:lang w:val="en-US"/>
              </w:rPr>
              <w:t>(n = 357)</w:t>
            </w:r>
          </w:p>
        </w:tc>
        <w:tc>
          <w:tcPr>
            <w:tcW w:w="1557" w:type="dxa"/>
            <w:vAlign w:val="center"/>
          </w:tcPr>
          <w:p w14:paraId="5319316D"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352 (98.6)</w:t>
            </w:r>
          </w:p>
        </w:tc>
        <w:tc>
          <w:tcPr>
            <w:tcW w:w="1558" w:type="dxa"/>
            <w:vAlign w:val="center"/>
          </w:tcPr>
          <w:p w14:paraId="088A0A5C"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w:t>
            </w:r>
          </w:p>
        </w:tc>
        <w:tc>
          <w:tcPr>
            <w:tcW w:w="1558" w:type="dxa"/>
            <w:vAlign w:val="center"/>
          </w:tcPr>
          <w:p w14:paraId="32BC165B"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1 (0.3)</w:t>
            </w:r>
          </w:p>
        </w:tc>
        <w:tc>
          <w:tcPr>
            <w:tcW w:w="1558" w:type="dxa"/>
            <w:vAlign w:val="center"/>
          </w:tcPr>
          <w:p w14:paraId="74B27DF7" w14:textId="77777777" w:rsidR="006576BB" w:rsidRPr="00A70D9A" w:rsidRDefault="006576BB" w:rsidP="00D701F3">
            <w:pPr>
              <w:spacing w:line="276" w:lineRule="auto"/>
              <w:jc w:val="center"/>
              <w:rPr>
                <w:rFonts w:ascii="Arial" w:hAnsi="Arial" w:cs="Arial"/>
                <w:lang w:val="en-US"/>
              </w:rPr>
            </w:pPr>
            <w:r w:rsidRPr="00A70D9A">
              <w:rPr>
                <w:rFonts w:ascii="Arial" w:hAnsi="Arial" w:cs="Arial"/>
                <w:lang w:val="en-US"/>
              </w:rPr>
              <w:t>4 (1.1)</w:t>
            </w:r>
          </w:p>
        </w:tc>
      </w:tr>
    </w:tbl>
    <w:p w14:paraId="1393CF0E" w14:textId="6138C674" w:rsidR="006576BB" w:rsidRPr="00A70D9A" w:rsidRDefault="00FB73B3" w:rsidP="006576BB">
      <w:pPr>
        <w:widowControl w:val="0"/>
        <w:autoSpaceDE w:val="0"/>
        <w:autoSpaceDN w:val="0"/>
        <w:adjustRightInd w:val="0"/>
        <w:spacing w:after="0"/>
        <w:ind w:left="640" w:hanging="640"/>
        <w:rPr>
          <w:rFonts w:ascii="Arial" w:hAnsi="Arial" w:cs="Arial"/>
          <w:b/>
          <w:bCs/>
          <w:lang w:val="en-US"/>
        </w:rPr>
      </w:pPr>
      <w:r w:rsidRPr="00A70D9A">
        <w:rPr>
          <w:rFonts w:ascii="Arial" w:hAnsi="Arial" w:cs="Arial"/>
          <w:lang w:val="en-US"/>
        </w:rPr>
        <w:t>No: number.</w:t>
      </w:r>
    </w:p>
    <w:p w14:paraId="287B0A5A" w14:textId="77777777" w:rsidR="006576BB" w:rsidRPr="00A70D9A" w:rsidRDefault="006576BB" w:rsidP="006576BB">
      <w:pPr>
        <w:spacing w:after="0"/>
        <w:rPr>
          <w:rFonts w:ascii="Arial" w:hAnsi="Arial" w:cs="Arial"/>
          <w:lang w:val="en-US"/>
        </w:rPr>
      </w:pPr>
    </w:p>
    <w:p w14:paraId="1348F65D" w14:textId="77777777" w:rsidR="00A572A4" w:rsidRPr="00A70D9A" w:rsidRDefault="00A572A4">
      <w:pPr>
        <w:rPr>
          <w:rFonts w:ascii="Arial" w:hAnsi="Arial" w:cs="Arial"/>
          <w:b/>
          <w:lang w:val="en-GB"/>
        </w:rPr>
      </w:pPr>
      <w:r w:rsidRPr="00A70D9A">
        <w:rPr>
          <w:rFonts w:ascii="Arial" w:hAnsi="Arial" w:cs="Arial"/>
          <w:b/>
          <w:lang w:val="en-GB"/>
        </w:rPr>
        <w:br w:type="page"/>
      </w:r>
    </w:p>
    <w:p w14:paraId="71201530" w14:textId="77777777" w:rsidR="006C4602" w:rsidRPr="00A70D9A" w:rsidRDefault="006C4602" w:rsidP="006C4602">
      <w:pPr>
        <w:spacing w:after="0"/>
        <w:jc w:val="both"/>
        <w:rPr>
          <w:rFonts w:ascii="Arial" w:hAnsi="Arial" w:cs="Arial"/>
          <w:b/>
          <w:bCs/>
          <w:lang w:val="en-US"/>
        </w:rPr>
      </w:pPr>
      <w:r w:rsidRPr="00A70D9A">
        <w:rPr>
          <w:rFonts w:ascii="Arial" w:hAnsi="Arial" w:cs="Arial"/>
          <w:b/>
          <w:bCs/>
          <w:lang w:val="en-US"/>
        </w:rPr>
        <w:lastRenderedPageBreak/>
        <w:t>FIGURES</w:t>
      </w:r>
    </w:p>
    <w:p w14:paraId="1E0B0866" w14:textId="3FFF3DCB" w:rsidR="006576BB" w:rsidRPr="00A70D9A" w:rsidRDefault="006576BB" w:rsidP="006576BB">
      <w:pPr>
        <w:spacing w:after="0"/>
        <w:jc w:val="both"/>
        <w:rPr>
          <w:rFonts w:ascii="Arial" w:hAnsi="Arial" w:cs="Arial"/>
          <w:b/>
          <w:lang w:val="en-GB"/>
        </w:rPr>
      </w:pPr>
    </w:p>
    <w:p w14:paraId="624AAF39" w14:textId="77B1D91F" w:rsidR="006C4602" w:rsidRPr="00A70D9A" w:rsidRDefault="006C4602" w:rsidP="006C4602">
      <w:pPr>
        <w:rPr>
          <w:rFonts w:ascii="Arial" w:hAnsi="Arial" w:cs="Arial"/>
          <w:lang w:val="en-GB"/>
        </w:rPr>
      </w:pPr>
      <w:r w:rsidRPr="00A70D9A">
        <w:rPr>
          <w:rFonts w:ascii="Arial" w:hAnsi="Arial" w:cs="Arial"/>
          <w:bCs/>
          <w:lang w:val="en-GB"/>
        </w:rPr>
        <w:t xml:space="preserve">Figure </w:t>
      </w:r>
      <w:r w:rsidR="00950030" w:rsidRPr="00A70D9A">
        <w:rPr>
          <w:rFonts w:ascii="Arial" w:hAnsi="Arial" w:cs="Arial"/>
          <w:bCs/>
          <w:lang w:val="en-GB"/>
        </w:rPr>
        <w:t>1</w:t>
      </w:r>
      <w:r w:rsidRPr="00A70D9A">
        <w:rPr>
          <w:rFonts w:ascii="Arial" w:hAnsi="Arial" w:cs="Arial"/>
          <w:bCs/>
          <w:lang w:val="en-GB"/>
        </w:rPr>
        <w:t xml:space="preserve"> – Results of </w:t>
      </w:r>
      <w:r w:rsidR="00FB73B3" w:rsidRPr="00A70D9A">
        <w:rPr>
          <w:rFonts w:ascii="Arial" w:hAnsi="Arial" w:cs="Arial"/>
          <w:bCs/>
          <w:lang w:val="en-GB"/>
        </w:rPr>
        <w:t xml:space="preserve">a </w:t>
      </w:r>
      <w:r w:rsidRPr="00A70D9A">
        <w:rPr>
          <w:rFonts w:ascii="Arial" w:hAnsi="Arial" w:cs="Arial"/>
          <w:bCs/>
          <w:lang w:val="en-GB"/>
        </w:rPr>
        <w:t>Likert scale</w:t>
      </w:r>
      <w:r w:rsidR="00402ED9" w:rsidRPr="00A70D9A">
        <w:rPr>
          <w:rFonts w:ascii="Arial" w:hAnsi="Arial" w:cs="Arial"/>
          <w:bCs/>
          <w:lang w:val="en-GB"/>
        </w:rPr>
        <w:t xml:space="preserve"> question</w:t>
      </w:r>
      <w:r w:rsidRPr="00A70D9A">
        <w:rPr>
          <w:rFonts w:ascii="Arial" w:hAnsi="Arial" w:cs="Arial"/>
          <w:bCs/>
          <w:lang w:val="en-GB"/>
        </w:rPr>
        <w:t xml:space="preserve"> used in the survey</w:t>
      </w:r>
    </w:p>
    <w:sectPr w:rsidR="006C4602" w:rsidRPr="00A70D9A" w:rsidSect="00990CCC">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0DEA7" w14:textId="77777777" w:rsidR="00A70D9A" w:rsidRDefault="00A70D9A" w:rsidP="00DC6224">
      <w:pPr>
        <w:spacing w:after="0" w:line="240" w:lineRule="auto"/>
      </w:pPr>
      <w:r>
        <w:separator/>
      </w:r>
    </w:p>
  </w:endnote>
  <w:endnote w:type="continuationSeparator" w:id="0">
    <w:p w14:paraId="266E9D81" w14:textId="77777777" w:rsidR="00A70D9A" w:rsidRDefault="00A70D9A" w:rsidP="00DC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176939"/>
      <w:docPartObj>
        <w:docPartGallery w:val="Page Numbers (Bottom of Page)"/>
        <w:docPartUnique/>
      </w:docPartObj>
    </w:sdtPr>
    <w:sdtContent>
      <w:p w14:paraId="7B9715C9" w14:textId="77777777" w:rsidR="00A70D9A" w:rsidRDefault="00A70D9A">
        <w:pPr>
          <w:pStyle w:val="Rodap"/>
          <w:jc w:val="center"/>
        </w:pPr>
        <w:r>
          <w:fldChar w:fldCharType="begin"/>
        </w:r>
        <w:r>
          <w:instrText>PAGE   \* MERGEFORMAT</w:instrText>
        </w:r>
        <w:r>
          <w:fldChar w:fldCharType="separate"/>
        </w:r>
        <w:r>
          <w:rPr>
            <w:noProof/>
          </w:rPr>
          <w:t>10</w:t>
        </w:r>
        <w:r>
          <w:rPr>
            <w:noProof/>
          </w:rPr>
          <w:fldChar w:fldCharType="end"/>
        </w:r>
      </w:p>
    </w:sdtContent>
  </w:sdt>
  <w:p w14:paraId="6E2BB607" w14:textId="77777777" w:rsidR="00A70D9A" w:rsidRDefault="00A70D9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5F996" w14:textId="77777777" w:rsidR="00A70D9A" w:rsidRDefault="00A70D9A" w:rsidP="00DC6224">
      <w:pPr>
        <w:spacing w:after="0" w:line="240" w:lineRule="auto"/>
      </w:pPr>
      <w:r>
        <w:separator/>
      </w:r>
    </w:p>
  </w:footnote>
  <w:footnote w:type="continuationSeparator" w:id="0">
    <w:p w14:paraId="040D2CCB" w14:textId="77777777" w:rsidR="00A70D9A" w:rsidRDefault="00A70D9A" w:rsidP="00DC6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665D4"/>
    <w:multiLevelType w:val="multilevel"/>
    <w:tmpl w:val="A8401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9B"/>
    <w:rsid w:val="00015B2D"/>
    <w:rsid w:val="000177E2"/>
    <w:rsid w:val="00022079"/>
    <w:rsid w:val="00024FD9"/>
    <w:rsid w:val="000263B6"/>
    <w:rsid w:val="00036ADA"/>
    <w:rsid w:val="0003765C"/>
    <w:rsid w:val="00063FF0"/>
    <w:rsid w:val="00066897"/>
    <w:rsid w:val="00075DC5"/>
    <w:rsid w:val="00077313"/>
    <w:rsid w:val="00085378"/>
    <w:rsid w:val="0009318D"/>
    <w:rsid w:val="0009351B"/>
    <w:rsid w:val="00095DFB"/>
    <w:rsid w:val="000A31CD"/>
    <w:rsid w:val="000B230E"/>
    <w:rsid w:val="000B4535"/>
    <w:rsid w:val="000B6592"/>
    <w:rsid w:val="000C236F"/>
    <w:rsid w:val="000D3B98"/>
    <w:rsid w:val="000D60C6"/>
    <w:rsid w:val="000D7F54"/>
    <w:rsid w:val="000E61A6"/>
    <w:rsid w:val="00101DF7"/>
    <w:rsid w:val="00102D28"/>
    <w:rsid w:val="00105FE2"/>
    <w:rsid w:val="00116D65"/>
    <w:rsid w:val="001248BE"/>
    <w:rsid w:val="00140765"/>
    <w:rsid w:val="00141975"/>
    <w:rsid w:val="0014236F"/>
    <w:rsid w:val="00153836"/>
    <w:rsid w:val="001675EC"/>
    <w:rsid w:val="00172F19"/>
    <w:rsid w:val="00173143"/>
    <w:rsid w:val="001744C1"/>
    <w:rsid w:val="00181D43"/>
    <w:rsid w:val="00192F79"/>
    <w:rsid w:val="0019586C"/>
    <w:rsid w:val="001A127C"/>
    <w:rsid w:val="001A4D66"/>
    <w:rsid w:val="001B1D36"/>
    <w:rsid w:val="001B551B"/>
    <w:rsid w:val="001B6781"/>
    <w:rsid w:val="001C4ABC"/>
    <w:rsid w:val="001E1869"/>
    <w:rsid w:val="001E2C65"/>
    <w:rsid w:val="001E34F1"/>
    <w:rsid w:val="001E4F75"/>
    <w:rsid w:val="001F426B"/>
    <w:rsid w:val="001F57B7"/>
    <w:rsid w:val="001F66FB"/>
    <w:rsid w:val="001F7833"/>
    <w:rsid w:val="00206AF7"/>
    <w:rsid w:val="002154E5"/>
    <w:rsid w:val="00217C38"/>
    <w:rsid w:val="00220114"/>
    <w:rsid w:val="00225C6A"/>
    <w:rsid w:val="00234B31"/>
    <w:rsid w:val="00244A0C"/>
    <w:rsid w:val="00251ADE"/>
    <w:rsid w:val="0025233F"/>
    <w:rsid w:val="00253568"/>
    <w:rsid w:val="00254D8B"/>
    <w:rsid w:val="002633C3"/>
    <w:rsid w:val="002732AE"/>
    <w:rsid w:val="002737CB"/>
    <w:rsid w:val="00274B3B"/>
    <w:rsid w:val="00275616"/>
    <w:rsid w:val="00276CB2"/>
    <w:rsid w:val="00284261"/>
    <w:rsid w:val="00285BC2"/>
    <w:rsid w:val="002933DE"/>
    <w:rsid w:val="00296C39"/>
    <w:rsid w:val="00297FB3"/>
    <w:rsid w:val="002A1AFD"/>
    <w:rsid w:val="002A4033"/>
    <w:rsid w:val="002B742F"/>
    <w:rsid w:val="002C6A6D"/>
    <w:rsid w:val="002D004F"/>
    <w:rsid w:val="002D01E8"/>
    <w:rsid w:val="002D11AB"/>
    <w:rsid w:val="002D53FB"/>
    <w:rsid w:val="002D71C2"/>
    <w:rsid w:val="002E2159"/>
    <w:rsid w:val="002E6A0E"/>
    <w:rsid w:val="002E6DB6"/>
    <w:rsid w:val="00313AD4"/>
    <w:rsid w:val="0032173B"/>
    <w:rsid w:val="00323352"/>
    <w:rsid w:val="003303A5"/>
    <w:rsid w:val="00332FD0"/>
    <w:rsid w:val="00337B3B"/>
    <w:rsid w:val="00351C40"/>
    <w:rsid w:val="0035295E"/>
    <w:rsid w:val="0036630C"/>
    <w:rsid w:val="00371B6E"/>
    <w:rsid w:val="003867C4"/>
    <w:rsid w:val="0039231E"/>
    <w:rsid w:val="003924C5"/>
    <w:rsid w:val="00392CE5"/>
    <w:rsid w:val="003A0961"/>
    <w:rsid w:val="003B593C"/>
    <w:rsid w:val="003D2259"/>
    <w:rsid w:val="003D31F5"/>
    <w:rsid w:val="003D5499"/>
    <w:rsid w:val="003D58DE"/>
    <w:rsid w:val="003F02A2"/>
    <w:rsid w:val="003F3BF9"/>
    <w:rsid w:val="003F6092"/>
    <w:rsid w:val="003F7B43"/>
    <w:rsid w:val="00402ED9"/>
    <w:rsid w:val="0041318C"/>
    <w:rsid w:val="00414F0F"/>
    <w:rsid w:val="00422B00"/>
    <w:rsid w:val="0044173E"/>
    <w:rsid w:val="00441950"/>
    <w:rsid w:val="0045223D"/>
    <w:rsid w:val="00463195"/>
    <w:rsid w:val="00470D6B"/>
    <w:rsid w:val="00471C75"/>
    <w:rsid w:val="0048319A"/>
    <w:rsid w:val="004854A9"/>
    <w:rsid w:val="00486CE0"/>
    <w:rsid w:val="00487428"/>
    <w:rsid w:val="004A7392"/>
    <w:rsid w:val="004B1EBA"/>
    <w:rsid w:val="004B4290"/>
    <w:rsid w:val="004B78B0"/>
    <w:rsid w:val="004C1971"/>
    <w:rsid w:val="004C3BF3"/>
    <w:rsid w:val="004C564A"/>
    <w:rsid w:val="004D0196"/>
    <w:rsid w:val="004D2728"/>
    <w:rsid w:val="004D2A42"/>
    <w:rsid w:val="004E1F67"/>
    <w:rsid w:val="004E2401"/>
    <w:rsid w:val="004E2FF1"/>
    <w:rsid w:val="004E30A5"/>
    <w:rsid w:val="004F27D7"/>
    <w:rsid w:val="004F538D"/>
    <w:rsid w:val="005025C6"/>
    <w:rsid w:val="0050542F"/>
    <w:rsid w:val="005145BB"/>
    <w:rsid w:val="0052050D"/>
    <w:rsid w:val="00520B33"/>
    <w:rsid w:val="005238B8"/>
    <w:rsid w:val="005465CC"/>
    <w:rsid w:val="00547E98"/>
    <w:rsid w:val="00557D02"/>
    <w:rsid w:val="005663C4"/>
    <w:rsid w:val="0057665E"/>
    <w:rsid w:val="00587044"/>
    <w:rsid w:val="005873DD"/>
    <w:rsid w:val="00587A4F"/>
    <w:rsid w:val="00593756"/>
    <w:rsid w:val="005A2E96"/>
    <w:rsid w:val="005A5933"/>
    <w:rsid w:val="005A7623"/>
    <w:rsid w:val="005B21D9"/>
    <w:rsid w:val="005B38F1"/>
    <w:rsid w:val="005B6E77"/>
    <w:rsid w:val="005B7AA9"/>
    <w:rsid w:val="005C19E0"/>
    <w:rsid w:val="005C58B8"/>
    <w:rsid w:val="005D0FE6"/>
    <w:rsid w:val="005D12C7"/>
    <w:rsid w:val="005E43FE"/>
    <w:rsid w:val="00600581"/>
    <w:rsid w:val="00602521"/>
    <w:rsid w:val="0061248A"/>
    <w:rsid w:val="00616384"/>
    <w:rsid w:val="00624833"/>
    <w:rsid w:val="00625BE4"/>
    <w:rsid w:val="006312B6"/>
    <w:rsid w:val="00631583"/>
    <w:rsid w:val="00631F0D"/>
    <w:rsid w:val="006358A2"/>
    <w:rsid w:val="00636FE9"/>
    <w:rsid w:val="006407A8"/>
    <w:rsid w:val="00645F60"/>
    <w:rsid w:val="00647AAE"/>
    <w:rsid w:val="00656E74"/>
    <w:rsid w:val="006576BB"/>
    <w:rsid w:val="006618EF"/>
    <w:rsid w:val="00671857"/>
    <w:rsid w:val="0068444B"/>
    <w:rsid w:val="00685645"/>
    <w:rsid w:val="00694F1A"/>
    <w:rsid w:val="00696E13"/>
    <w:rsid w:val="006A2F4A"/>
    <w:rsid w:val="006A62C0"/>
    <w:rsid w:val="006C4602"/>
    <w:rsid w:val="006C4E9A"/>
    <w:rsid w:val="006C62B9"/>
    <w:rsid w:val="006C7732"/>
    <w:rsid w:val="006D1F21"/>
    <w:rsid w:val="006E39D9"/>
    <w:rsid w:val="006E4866"/>
    <w:rsid w:val="006E4CB8"/>
    <w:rsid w:val="006E75B9"/>
    <w:rsid w:val="006E7F46"/>
    <w:rsid w:val="006F4F2C"/>
    <w:rsid w:val="00702C3A"/>
    <w:rsid w:val="00704726"/>
    <w:rsid w:val="00704886"/>
    <w:rsid w:val="00711C35"/>
    <w:rsid w:val="0071594C"/>
    <w:rsid w:val="00720736"/>
    <w:rsid w:val="0072390A"/>
    <w:rsid w:val="00723AB3"/>
    <w:rsid w:val="00725369"/>
    <w:rsid w:val="007423B3"/>
    <w:rsid w:val="00757E6F"/>
    <w:rsid w:val="00761B8A"/>
    <w:rsid w:val="00763E30"/>
    <w:rsid w:val="00775322"/>
    <w:rsid w:val="00781649"/>
    <w:rsid w:val="00784A4D"/>
    <w:rsid w:val="00785809"/>
    <w:rsid w:val="007868A0"/>
    <w:rsid w:val="007939D1"/>
    <w:rsid w:val="007A18E8"/>
    <w:rsid w:val="007A2961"/>
    <w:rsid w:val="007A6B7A"/>
    <w:rsid w:val="007A72F2"/>
    <w:rsid w:val="007C044F"/>
    <w:rsid w:val="007D3E3B"/>
    <w:rsid w:val="007E4F1A"/>
    <w:rsid w:val="00815FBE"/>
    <w:rsid w:val="00816F5E"/>
    <w:rsid w:val="008324EF"/>
    <w:rsid w:val="00851093"/>
    <w:rsid w:val="00852A7A"/>
    <w:rsid w:val="0086203A"/>
    <w:rsid w:val="00866FE0"/>
    <w:rsid w:val="008707BC"/>
    <w:rsid w:val="00873208"/>
    <w:rsid w:val="008C0E43"/>
    <w:rsid w:val="008C0F18"/>
    <w:rsid w:val="008C40A8"/>
    <w:rsid w:val="008E228E"/>
    <w:rsid w:val="008E51D1"/>
    <w:rsid w:val="008E7A65"/>
    <w:rsid w:val="008F2E56"/>
    <w:rsid w:val="009003D5"/>
    <w:rsid w:val="00900CBA"/>
    <w:rsid w:val="00906483"/>
    <w:rsid w:val="00910052"/>
    <w:rsid w:val="009166E7"/>
    <w:rsid w:val="00916A14"/>
    <w:rsid w:val="00922164"/>
    <w:rsid w:val="0092526D"/>
    <w:rsid w:val="00927F28"/>
    <w:rsid w:val="00931CB4"/>
    <w:rsid w:val="009342E4"/>
    <w:rsid w:val="009345BA"/>
    <w:rsid w:val="0094287C"/>
    <w:rsid w:val="00944096"/>
    <w:rsid w:val="00950030"/>
    <w:rsid w:val="0095520E"/>
    <w:rsid w:val="00961F40"/>
    <w:rsid w:val="0096454C"/>
    <w:rsid w:val="00966AF5"/>
    <w:rsid w:val="00975910"/>
    <w:rsid w:val="0098254E"/>
    <w:rsid w:val="009836D4"/>
    <w:rsid w:val="009854AD"/>
    <w:rsid w:val="009870B4"/>
    <w:rsid w:val="00990CCC"/>
    <w:rsid w:val="009920B1"/>
    <w:rsid w:val="009960A8"/>
    <w:rsid w:val="009964CE"/>
    <w:rsid w:val="00997247"/>
    <w:rsid w:val="00997BBD"/>
    <w:rsid w:val="009A05FB"/>
    <w:rsid w:val="009A6A98"/>
    <w:rsid w:val="009B3DAF"/>
    <w:rsid w:val="009B7ADB"/>
    <w:rsid w:val="009B7AED"/>
    <w:rsid w:val="009C00AE"/>
    <w:rsid w:val="009C6B90"/>
    <w:rsid w:val="009C71B2"/>
    <w:rsid w:val="009D304F"/>
    <w:rsid w:val="009D7501"/>
    <w:rsid w:val="009F00C8"/>
    <w:rsid w:val="00A047C8"/>
    <w:rsid w:val="00A066B4"/>
    <w:rsid w:val="00A139F2"/>
    <w:rsid w:val="00A151E5"/>
    <w:rsid w:val="00A15395"/>
    <w:rsid w:val="00A26C8C"/>
    <w:rsid w:val="00A31223"/>
    <w:rsid w:val="00A35241"/>
    <w:rsid w:val="00A53095"/>
    <w:rsid w:val="00A572A4"/>
    <w:rsid w:val="00A6376F"/>
    <w:rsid w:val="00A65C09"/>
    <w:rsid w:val="00A70D9A"/>
    <w:rsid w:val="00A850C7"/>
    <w:rsid w:val="00AA4547"/>
    <w:rsid w:val="00AA7E79"/>
    <w:rsid w:val="00AB3AE0"/>
    <w:rsid w:val="00AB4F31"/>
    <w:rsid w:val="00AD109C"/>
    <w:rsid w:val="00AE29E9"/>
    <w:rsid w:val="00AE2AB9"/>
    <w:rsid w:val="00AE711A"/>
    <w:rsid w:val="00AF48B5"/>
    <w:rsid w:val="00AF5337"/>
    <w:rsid w:val="00B01979"/>
    <w:rsid w:val="00B03748"/>
    <w:rsid w:val="00B062C9"/>
    <w:rsid w:val="00B1247D"/>
    <w:rsid w:val="00B154C9"/>
    <w:rsid w:val="00B323B3"/>
    <w:rsid w:val="00B33EDD"/>
    <w:rsid w:val="00B42539"/>
    <w:rsid w:val="00B53B71"/>
    <w:rsid w:val="00B53BD0"/>
    <w:rsid w:val="00B64651"/>
    <w:rsid w:val="00B82CC7"/>
    <w:rsid w:val="00B83004"/>
    <w:rsid w:val="00B91B04"/>
    <w:rsid w:val="00B920F5"/>
    <w:rsid w:val="00BA0FA7"/>
    <w:rsid w:val="00BA5622"/>
    <w:rsid w:val="00BA73E9"/>
    <w:rsid w:val="00BC0AE0"/>
    <w:rsid w:val="00BD2880"/>
    <w:rsid w:val="00BD4735"/>
    <w:rsid w:val="00BD4C01"/>
    <w:rsid w:val="00BD70D6"/>
    <w:rsid w:val="00BD7F8D"/>
    <w:rsid w:val="00BE4F07"/>
    <w:rsid w:val="00BE5E0C"/>
    <w:rsid w:val="00BF02EA"/>
    <w:rsid w:val="00BF1241"/>
    <w:rsid w:val="00BF2599"/>
    <w:rsid w:val="00BF6CE2"/>
    <w:rsid w:val="00BF6D22"/>
    <w:rsid w:val="00C035D3"/>
    <w:rsid w:val="00C137EE"/>
    <w:rsid w:val="00C171A4"/>
    <w:rsid w:val="00C204F1"/>
    <w:rsid w:val="00C22492"/>
    <w:rsid w:val="00C2458B"/>
    <w:rsid w:val="00C302D5"/>
    <w:rsid w:val="00C31DFE"/>
    <w:rsid w:val="00C35338"/>
    <w:rsid w:val="00C44FFF"/>
    <w:rsid w:val="00C525D4"/>
    <w:rsid w:val="00C546D4"/>
    <w:rsid w:val="00C54912"/>
    <w:rsid w:val="00C76B6B"/>
    <w:rsid w:val="00C83C50"/>
    <w:rsid w:val="00C87FE0"/>
    <w:rsid w:val="00C93FC2"/>
    <w:rsid w:val="00C948B9"/>
    <w:rsid w:val="00C962A2"/>
    <w:rsid w:val="00CA659C"/>
    <w:rsid w:val="00CB498C"/>
    <w:rsid w:val="00CB7599"/>
    <w:rsid w:val="00CC2B7F"/>
    <w:rsid w:val="00CC31D3"/>
    <w:rsid w:val="00CC4264"/>
    <w:rsid w:val="00CD1EB7"/>
    <w:rsid w:val="00CD5904"/>
    <w:rsid w:val="00CD79D7"/>
    <w:rsid w:val="00CE6F77"/>
    <w:rsid w:val="00CF351C"/>
    <w:rsid w:val="00D07CE7"/>
    <w:rsid w:val="00D13127"/>
    <w:rsid w:val="00D208A2"/>
    <w:rsid w:val="00D2473C"/>
    <w:rsid w:val="00D2675F"/>
    <w:rsid w:val="00D35B86"/>
    <w:rsid w:val="00D45E57"/>
    <w:rsid w:val="00D5410A"/>
    <w:rsid w:val="00D55A4B"/>
    <w:rsid w:val="00D5633A"/>
    <w:rsid w:val="00D63FBE"/>
    <w:rsid w:val="00D701F3"/>
    <w:rsid w:val="00D72893"/>
    <w:rsid w:val="00D77348"/>
    <w:rsid w:val="00D92192"/>
    <w:rsid w:val="00D9656F"/>
    <w:rsid w:val="00D976FC"/>
    <w:rsid w:val="00DA11A4"/>
    <w:rsid w:val="00DA1C08"/>
    <w:rsid w:val="00DA51B2"/>
    <w:rsid w:val="00DB48EA"/>
    <w:rsid w:val="00DB62F7"/>
    <w:rsid w:val="00DB759B"/>
    <w:rsid w:val="00DC4C3C"/>
    <w:rsid w:val="00DC6224"/>
    <w:rsid w:val="00DC773F"/>
    <w:rsid w:val="00DD0A74"/>
    <w:rsid w:val="00DD7DFE"/>
    <w:rsid w:val="00DF1A4E"/>
    <w:rsid w:val="00E0050C"/>
    <w:rsid w:val="00E258E1"/>
    <w:rsid w:val="00E34D3F"/>
    <w:rsid w:val="00E40152"/>
    <w:rsid w:val="00E447D2"/>
    <w:rsid w:val="00E45293"/>
    <w:rsid w:val="00E51499"/>
    <w:rsid w:val="00E66180"/>
    <w:rsid w:val="00E675A2"/>
    <w:rsid w:val="00E707DB"/>
    <w:rsid w:val="00E80287"/>
    <w:rsid w:val="00E84BA7"/>
    <w:rsid w:val="00E91994"/>
    <w:rsid w:val="00EB109A"/>
    <w:rsid w:val="00EB3400"/>
    <w:rsid w:val="00EC1023"/>
    <w:rsid w:val="00EC3B36"/>
    <w:rsid w:val="00EC57ED"/>
    <w:rsid w:val="00EC7216"/>
    <w:rsid w:val="00ED145D"/>
    <w:rsid w:val="00ED17DE"/>
    <w:rsid w:val="00ED1FBD"/>
    <w:rsid w:val="00ED797F"/>
    <w:rsid w:val="00EF0383"/>
    <w:rsid w:val="00EF1DF0"/>
    <w:rsid w:val="00EF63DE"/>
    <w:rsid w:val="00F0044C"/>
    <w:rsid w:val="00F012ED"/>
    <w:rsid w:val="00F02E11"/>
    <w:rsid w:val="00F03A2A"/>
    <w:rsid w:val="00F04DAA"/>
    <w:rsid w:val="00F1673D"/>
    <w:rsid w:val="00F16E25"/>
    <w:rsid w:val="00F220F3"/>
    <w:rsid w:val="00F265F8"/>
    <w:rsid w:val="00F32651"/>
    <w:rsid w:val="00F44EE7"/>
    <w:rsid w:val="00F47113"/>
    <w:rsid w:val="00F47623"/>
    <w:rsid w:val="00F51720"/>
    <w:rsid w:val="00F52726"/>
    <w:rsid w:val="00F861E6"/>
    <w:rsid w:val="00F91334"/>
    <w:rsid w:val="00F96011"/>
    <w:rsid w:val="00FA2B83"/>
    <w:rsid w:val="00FB0F81"/>
    <w:rsid w:val="00FB73B3"/>
    <w:rsid w:val="00FB76AA"/>
    <w:rsid w:val="00FF5B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8C3319"/>
  <w15:docId w15:val="{CB542B1C-2DD5-42DC-913E-69D0B43E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CC"/>
  </w:style>
  <w:style w:type="paragraph" w:styleId="Ttulo3">
    <w:name w:val="heading 3"/>
    <w:basedOn w:val="Normal"/>
    <w:link w:val="Ttulo3Carter"/>
    <w:uiPriority w:val="9"/>
    <w:qFormat/>
    <w:rsid w:val="006576BB"/>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9836D4"/>
    <w:rPr>
      <w:color w:val="0000FF"/>
      <w:u w:val="single"/>
    </w:rPr>
  </w:style>
  <w:style w:type="character" w:styleId="Refdecomentrio">
    <w:name w:val="annotation reference"/>
    <w:basedOn w:val="Tipodeletrapredefinidodopargrafo"/>
    <w:uiPriority w:val="99"/>
    <w:semiHidden/>
    <w:unhideWhenUsed/>
    <w:rsid w:val="00B323B3"/>
    <w:rPr>
      <w:sz w:val="16"/>
      <w:szCs w:val="16"/>
    </w:rPr>
  </w:style>
  <w:style w:type="paragraph" w:styleId="Textodecomentrio">
    <w:name w:val="annotation text"/>
    <w:basedOn w:val="Normal"/>
    <w:link w:val="TextodecomentrioCarter"/>
    <w:uiPriority w:val="99"/>
    <w:semiHidden/>
    <w:unhideWhenUsed/>
    <w:rsid w:val="00B323B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B323B3"/>
    <w:rPr>
      <w:sz w:val="20"/>
      <w:szCs w:val="20"/>
    </w:rPr>
  </w:style>
  <w:style w:type="paragraph" w:styleId="Assuntodecomentrio">
    <w:name w:val="annotation subject"/>
    <w:basedOn w:val="Textodecomentrio"/>
    <w:next w:val="Textodecomentrio"/>
    <w:link w:val="AssuntodecomentrioCarter"/>
    <w:uiPriority w:val="99"/>
    <w:semiHidden/>
    <w:unhideWhenUsed/>
    <w:rsid w:val="00B323B3"/>
    <w:rPr>
      <w:b/>
      <w:bCs/>
    </w:rPr>
  </w:style>
  <w:style w:type="character" w:customStyle="1" w:styleId="AssuntodecomentrioCarter">
    <w:name w:val="Assunto de comentário Caráter"/>
    <w:basedOn w:val="TextodecomentrioCarter"/>
    <w:link w:val="Assuntodecomentrio"/>
    <w:uiPriority w:val="99"/>
    <w:semiHidden/>
    <w:rsid w:val="00B323B3"/>
    <w:rPr>
      <w:b/>
      <w:bCs/>
      <w:sz w:val="20"/>
      <w:szCs w:val="20"/>
    </w:rPr>
  </w:style>
  <w:style w:type="paragraph" w:styleId="Textodebalo">
    <w:name w:val="Balloon Text"/>
    <w:basedOn w:val="Normal"/>
    <w:link w:val="TextodebaloCarter"/>
    <w:uiPriority w:val="99"/>
    <w:semiHidden/>
    <w:unhideWhenUsed/>
    <w:rsid w:val="00B323B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323B3"/>
    <w:rPr>
      <w:rFonts w:ascii="Tahoma" w:hAnsi="Tahoma" w:cs="Tahoma"/>
      <w:sz w:val="16"/>
      <w:szCs w:val="16"/>
    </w:rPr>
  </w:style>
  <w:style w:type="paragraph" w:styleId="Reviso">
    <w:name w:val="Revision"/>
    <w:hidden/>
    <w:uiPriority w:val="99"/>
    <w:semiHidden/>
    <w:rsid w:val="005A2E96"/>
    <w:pPr>
      <w:spacing w:after="0" w:line="240" w:lineRule="auto"/>
    </w:pPr>
  </w:style>
  <w:style w:type="table" w:styleId="TabelacomGrelha">
    <w:name w:val="Table Grid"/>
    <w:basedOn w:val="Tabelanormal"/>
    <w:uiPriority w:val="39"/>
    <w:rsid w:val="00E40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31">
    <w:name w:val="Tabela Simples 31"/>
    <w:basedOn w:val="Tabelanormal"/>
    <w:uiPriority w:val="43"/>
    <w:rsid w:val="00E401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7A6B7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DC622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C6224"/>
  </w:style>
  <w:style w:type="paragraph" w:styleId="Rodap">
    <w:name w:val="footer"/>
    <w:basedOn w:val="Normal"/>
    <w:link w:val="RodapCarter"/>
    <w:uiPriority w:val="99"/>
    <w:unhideWhenUsed/>
    <w:rsid w:val="00DC622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C6224"/>
  </w:style>
  <w:style w:type="character" w:customStyle="1" w:styleId="MenoNoResolvida1">
    <w:name w:val="Menção Não Resolvida1"/>
    <w:basedOn w:val="Tipodeletrapredefinidodopargrafo"/>
    <w:uiPriority w:val="99"/>
    <w:semiHidden/>
    <w:unhideWhenUsed/>
    <w:rsid w:val="00785809"/>
    <w:rPr>
      <w:color w:val="605E5C"/>
      <w:shd w:val="clear" w:color="auto" w:fill="E1DFDD"/>
    </w:rPr>
  </w:style>
  <w:style w:type="character" w:customStyle="1" w:styleId="Ttulo3Carter">
    <w:name w:val="Título 3 Caráter"/>
    <w:basedOn w:val="Tipodeletrapredefinidodopargrafo"/>
    <w:link w:val="Ttulo3"/>
    <w:uiPriority w:val="9"/>
    <w:rsid w:val="006576BB"/>
    <w:rPr>
      <w:rFonts w:ascii="Times New Roman" w:eastAsia="Times New Roman" w:hAnsi="Times New Roman" w:cs="Times New Roman"/>
      <w:b/>
      <w:bCs/>
      <w:sz w:val="27"/>
      <w:szCs w:val="27"/>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765">
      <w:bodyDiv w:val="1"/>
      <w:marLeft w:val="0"/>
      <w:marRight w:val="0"/>
      <w:marTop w:val="0"/>
      <w:marBottom w:val="0"/>
      <w:divBdr>
        <w:top w:val="none" w:sz="0" w:space="0" w:color="auto"/>
        <w:left w:val="none" w:sz="0" w:space="0" w:color="auto"/>
        <w:bottom w:val="none" w:sz="0" w:space="0" w:color="auto"/>
        <w:right w:val="none" w:sz="0" w:space="0" w:color="auto"/>
      </w:divBdr>
    </w:div>
    <w:div w:id="117190739">
      <w:bodyDiv w:val="1"/>
      <w:marLeft w:val="0"/>
      <w:marRight w:val="0"/>
      <w:marTop w:val="0"/>
      <w:marBottom w:val="0"/>
      <w:divBdr>
        <w:top w:val="none" w:sz="0" w:space="0" w:color="auto"/>
        <w:left w:val="none" w:sz="0" w:space="0" w:color="auto"/>
        <w:bottom w:val="none" w:sz="0" w:space="0" w:color="auto"/>
        <w:right w:val="none" w:sz="0" w:space="0" w:color="auto"/>
      </w:divBdr>
    </w:div>
    <w:div w:id="274489240">
      <w:bodyDiv w:val="1"/>
      <w:marLeft w:val="0"/>
      <w:marRight w:val="0"/>
      <w:marTop w:val="0"/>
      <w:marBottom w:val="0"/>
      <w:divBdr>
        <w:top w:val="none" w:sz="0" w:space="0" w:color="auto"/>
        <w:left w:val="none" w:sz="0" w:space="0" w:color="auto"/>
        <w:bottom w:val="none" w:sz="0" w:space="0" w:color="auto"/>
        <w:right w:val="none" w:sz="0" w:space="0" w:color="auto"/>
      </w:divBdr>
    </w:div>
    <w:div w:id="279188103">
      <w:bodyDiv w:val="1"/>
      <w:marLeft w:val="0"/>
      <w:marRight w:val="0"/>
      <w:marTop w:val="0"/>
      <w:marBottom w:val="0"/>
      <w:divBdr>
        <w:top w:val="none" w:sz="0" w:space="0" w:color="auto"/>
        <w:left w:val="none" w:sz="0" w:space="0" w:color="auto"/>
        <w:bottom w:val="none" w:sz="0" w:space="0" w:color="auto"/>
        <w:right w:val="none" w:sz="0" w:space="0" w:color="auto"/>
      </w:divBdr>
    </w:div>
    <w:div w:id="332495055">
      <w:bodyDiv w:val="1"/>
      <w:marLeft w:val="0"/>
      <w:marRight w:val="0"/>
      <w:marTop w:val="0"/>
      <w:marBottom w:val="0"/>
      <w:divBdr>
        <w:top w:val="none" w:sz="0" w:space="0" w:color="auto"/>
        <w:left w:val="none" w:sz="0" w:space="0" w:color="auto"/>
        <w:bottom w:val="none" w:sz="0" w:space="0" w:color="auto"/>
        <w:right w:val="none" w:sz="0" w:space="0" w:color="auto"/>
      </w:divBdr>
    </w:div>
    <w:div w:id="619142711">
      <w:bodyDiv w:val="1"/>
      <w:marLeft w:val="0"/>
      <w:marRight w:val="0"/>
      <w:marTop w:val="0"/>
      <w:marBottom w:val="0"/>
      <w:divBdr>
        <w:top w:val="none" w:sz="0" w:space="0" w:color="auto"/>
        <w:left w:val="none" w:sz="0" w:space="0" w:color="auto"/>
        <w:bottom w:val="none" w:sz="0" w:space="0" w:color="auto"/>
        <w:right w:val="none" w:sz="0" w:space="0" w:color="auto"/>
      </w:divBdr>
    </w:div>
    <w:div w:id="1058866776">
      <w:bodyDiv w:val="1"/>
      <w:marLeft w:val="0"/>
      <w:marRight w:val="0"/>
      <w:marTop w:val="0"/>
      <w:marBottom w:val="0"/>
      <w:divBdr>
        <w:top w:val="none" w:sz="0" w:space="0" w:color="auto"/>
        <w:left w:val="none" w:sz="0" w:space="0" w:color="auto"/>
        <w:bottom w:val="none" w:sz="0" w:space="0" w:color="auto"/>
        <w:right w:val="none" w:sz="0" w:space="0" w:color="auto"/>
      </w:divBdr>
    </w:div>
    <w:div w:id="1198661715">
      <w:bodyDiv w:val="1"/>
      <w:marLeft w:val="0"/>
      <w:marRight w:val="0"/>
      <w:marTop w:val="0"/>
      <w:marBottom w:val="0"/>
      <w:divBdr>
        <w:top w:val="none" w:sz="0" w:space="0" w:color="auto"/>
        <w:left w:val="none" w:sz="0" w:space="0" w:color="auto"/>
        <w:bottom w:val="none" w:sz="0" w:space="0" w:color="auto"/>
        <w:right w:val="none" w:sz="0" w:space="0" w:color="auto"/>
      </w:divBdr>
    </w:div>
    <w:div w:id="1612055241">
      <w:bodyDiv w:val="1"/>
      <w:marLeft w:val="0"/>
      <w:marRight w:val="0"/>
      <w:marTop w:val="0"/>
      <w:marBottom w:val="0"/>
      <w:divBdr>
        <w:top w:val="none" w:sz="0" w:space="0" w:color="auto"/>
        <w:left w:val="none" w:sz="0" w:space="0" w:color="auto"/>
        <w:bottom w:val="none" w:sz="0" w:space="0" w:color="auto"/>
        <w:right w:val="none" w:sz="0" w:space="0" w:color="auto"/>
      </w:divBdr>
    </w:div>
    <w:div w:id="1638299241">
      <w:bodyDiv w:val="1"/>
      <w:marLeft w:val="0"/>
      <w:marRight w:val="0"/>
      <w:marTop w:val="0"/>
      <w:marBottom w:val="0"/>
      <w:divBdr>
        <w:top w:val="none" w:sz="0" w:space="0" w:color="auto"/>
        <w:left w:val="none" w:sz="0" w:space="0" w:color="auto"/>
        <w:bottom w:val="none" w:sz="0" w:space="0" w:color="auto"/>
        <w:right w:val="none" w:sz="0" w:space="0" w:color="auto"/>
      </w:divBdr>
    </w:div>
    <w:div w:id="1669946730">
      <w:bodyDiv w:val="1"/>
      <w:marLeft w:val="0"/>
      <w:marRight w:val="0"/>
      <w:marTop w:val="0"/>
      <w:marBottom w:val="0"/>
      <w:divBdr>
        <w:top w:val="none" w:sz="0" w:space="0" w:color="auto"/>
        <w:left w:val="none" w:sz="0" w:space="0" w:color="auto"/>
        <w:bottom w:val="none" w:sz="0" w:space="0" w:color="auto"/>
        <w:right w:val="none" w:sz="0" w:space="0" w:color="auto"/>
      </w:divBdr>
    </w:div>
    <w:div w:id="1714843126">
      <w:bodyDiv w:val="1"/>
      <w:marLeft w:val="0"/>
      <w:marRight w:val="0"/>
      <w:marTop w:val="0"/>
      <w:marBottom w:val="0"/>
      <w:divBdr>
        <w:top w:val="none" w:sz="0" w:space="0" w:color="auto"/>
        <w:left w:val="none" w:sz="0" w:space="0" w:color="auto"/>
        <w:bottom w:val="none" w:sz="0" w:space="0" w:color="auto"/>
        <w:right w:val="none" w:sz="0" w:space="0" w:color="auto"/>
      </w:divBdr>
    </w:div>
    <w:div w:id="1948803413">
      <w:bodyDiv w:val="1"/>
      <w:marLeft w:val="0"/>
      <w:marRight w:val="0"/>
      <w:marTop w:val="0"/>
      <w:marBottom w:val="0"/>
      <w:divBdr>
        <w:top w:val="none" w:sz="0" w:space="0" w:color="auto"/>
        <w:left w:val="none" w:sz="0" w:space="0" w:color="auto"/>
        <w:bottom w:val="none" w:sz="0" w:space="0" w:color="auto"/>
        <w:right w:val="none" w:sz="0" w:space="0" w:color="auto"/>
      </w:divBdr>
    </w:div>
    <w:div w:id="19675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cotrim.figueiredo@hbeatrizangelo.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111/apa.15376" TargetMode="External"/><Relationship Id="rId4" Type="http://schemas.openxmlformats.org/officeDocument/2006/relationships/settings" Target="settings.xml"/><Relationship Id="rId9" Type="http://schemas.openxmlformats.org/officeDocument/2006/relationships/hyperlink" Target="https://dx.doi.org/10.1002%2Fpbc.28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2C881F-3C01-44E5-8F13-43A427B5AFBD}">
  <we:reference id="wa104382081" version="1.14.0.0" store="en-001" storeType="OMEX"/>
  <we:alternateReferences>
    <we:reference id="WA104382081" version="1.14.0.0" store=""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77B1C-8545-477F-AB26-374AEF74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29492</Words>
  <Characters>159262</Characters>
  <Application>Microsoft Office Word</Application>
  <DocSecurity>0</DocSecurity>
  <Lines>1327</Lines>
  <Paragraphs>376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Espirito Santo Saude</Company>
  <LinksUpToDate>false</LinksUpToDate>
  <CharactersWithSpaces>188378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Figueiredo</dc:creator>
  <cp:lastModifiedBy>Mariana Poppe Figueiredo</cp:lastModifiedBy>
  <cp:revision>5</cp:revision>
  <cp:lastPrinted>2020-06-21T18:09:00Z</cp:lastPrinted>
  <dcterms:created xsi:type="dcterms:W3CDTF">2021-02-26T16:42:00Z</dcterms:created>
  <dcterms:modified xsi:type="dcterms:W3CDTF">2021-02-26T18:51:00Z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http://csl.mendeley.com/styles/201123191/ActaMedicaPort</vt:lpwstr>
  </property>
  <property fmtid="{D5CDD505-2E9C-101B-9397-08002B2CF9AE}" pid="5" name="Mendeley Recent Style Name 1_1">
    <vt:lpwstr>American Medical Association 11th edition - Mariana Figueiredo</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http://csl.mendeley.com/styles/201123191/ActaMedicaPortuguesa</vt:lpwstr>
  </property>
  <property fmtid="{D5CDD505-2E9C-101B-9397-08002B2CF9AE}" pid="19" name="Mendeley Recent Style Name 8_1">
    <vt:lpwstr>Nature Publishing Group - Vancouver - Mariana Figueiredo</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1bb1910e-2cc2-384f-8019-1a26c6743c02</vt:lpwstr>
  </property>
  <property fmtid="{D5CDD505-2E9C-101B-9397-08002B2CF9AE}" pid="24" name="Mendeley Citation Style_1">
    <vt:lpwstr>http://csl.mendeley.com/styles/201123191/ActaMedicaPort</vt:lpwstr>
  </property>
</Properties>
</file>