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1CA28" w14:textId="77777777" w:rsidR="009D446A" w:rsidRDefault="009D446A" w:rsidP="00E62772">
      <w:pPr>
        <w:spacing w:line="240" w:lineRule="auto"/>
        <w:jc w:val="both"/>
        <w:rPr>
          <w:rFonts w:ascii="Arial" w:hAnsi="Arial" w:cs="Arial"/>
        </w:rPr>
      </w:pPr>
      <w:r>
        <w:rPr>
          <w:rFonts w:ascii="Arial" w:hAnsi="Arial" w:cs="Arial"/>
        </w:rPr>
        <w:t>Dear Editor in Chief,</w:t>
      </w:r>
    </w:p>
    <w:p w14:paraId="0305434A" w14:textId="3ADAEF04" w:rsidR="00EF1AEF" w:rsidRPr="00B859E5" w:rsidRDefault="00EF1AEF" w:rsidP="00E62772">
      <w:pPr>
        <w:spacing w:line="240" w:lineRule="auto"/>
        <w:jc w:val="both"/>
        <w:rPr>
          <w:rFonts w:ascii="Arial" w:hAnsi="Arial" w:cs="Arial"/>
        </w:rPr>
      </w:pPr>
      <w:r w:rsidRPr="00B859E5">
        <w:rPr>
          <w:rFonts w:ascii="Arial" w:hAnsi="Arial" w:cs="Arial"/>
        </w:rPr>
        <w:t>Thank you for the opportunity to revise our</w:t>
      </w:r>
      <w:r w:rsidR="008831A3" w:rsidRPr="00B859E5">
        <w:rPr>
          <w:rFonts w:ascii="Arial" w:hAnsi="Arial" w:cs="Arial"/>
        </w:rPr>
        <w:t xml:space="preserve"> original article</w:t>
      </w:r>
      <w:r w:rsidR="007638F1">
        <w:rPr>
          <w:rFonts w:ascii="Arial" w:hAnsi="Arial" w:cs="Arial"/>
        </w:rPr>
        <w:t xml:space="preserve"> </w:t>
      </w:r>
      <w:r w:rsidR="00B9293F" w:rsidRPr="00B859E5">
        <w:rPr>
          <w:rFonts w:ascii="Arial" w:hAnsi="Arial" w:cs="Arial"/>
        </w:rPr>
        <w:t xml:space="preserve">in </w:t>
      </w:r>
      <w:r w:rsidR="00B9293F" w:rsidRPr="00B859E5">
        <w:rPr>
          <w:rFonts w:ascii="Arial" w:hAnsi="Arial" w:cs="Arial"/>
          <w:i/>
        </w:rPr>
        <w:t xml:space="preserve">Acta </w:t>
      </w:r>
      <w:proofErr w:type="spellStart"/>
      <w:r w:rsidR="002A4C86">
        <w:rPr>
          <w:rFonts w:ascii="Arial" w:hAnsi="Arial" w:cs="Arial"/>
          <w:i/>
        </w:rPr>
        <w:t>Médica</w:t>
      </w:r>
      <w:proofErr w:type="spellEnd"/>
      <w:r w:rsidR="002A4C86">
        <w:rPr>
          <w:rFonts w:ascii="Arial" w:hAnsi="Arial" w:cs="Arial"/>
          <w:i/>
        </w:rPr>
        <w:t xml:space="preserve"> </w:t>
      </w:r>
      <w:r w:rsidR="00B9293F" w:rsidRPr="00B859E5">
        <w:rPr>
          <w:rFonts w:ascii="Arial" w:hAnsi="Arial" w:cs="Arial"/>
          <w:i/>
        </w:rPr>
        <w:t>Portuguesa</w:t>
      </w:r>
      <w:r w:rsidR="005D3EC4" w:rsidRPr="00B859E5">
        <w:rPr>
          <w:rFonts w:ascii="Arial" w:hAnsi="Arial" w:cs="Arial"/>
        </w:rPr>
        <w:t xml:space="preserve">. </w:t>
      </w:r>
      <w:r w:rsidRPr="00B859E5">
        <w:rPr>
          <w:rFonts w:ascii="Arial" w:hAnsi="Arial" w:cs="Arial"/>
        </w:rPr>
        <w:t>The suggestions offered by the reviewers have been helpful, and we also appreciate your insightful comments on revising the paper</w:t>
      </w:r>
      <w:r w:rsidR="001F1C8A">
        <w:rPr>
          <w:rFonts w:ascii="Arial" w:hAnsi="Arial" w:cs="Arial"/>
        </w:rPr>
        <w:t>,</w:t>
      </w:r>
      <w:r w:rsidR="00B9293F" w:rsidRPr="00B859E5">
        <w:rPr>
          <w:rFonts w:ascii="Arial" w:hAnsi="Arial" w:cs="Arial"/>
        </w:rPr>
        <w:t xml:space="preserve"> which enable</w:t>
      </w:r>
      <w:r w:rsidR="001F1C8A">
        <w:rPr>
          <w:rFonts w:ascii="Arial" w:hAnsi="Arial" w:cs="Arial"/>
        </w:rPr>
        <w:t>d</w:t>
      </w:r>
      <w:r w:rsidR="00B9293F" w:rsidRPr="00B859E5">
        <w:rPr>
          <w:rFonts w:ascii="Arial" w:hAnsi="Arial" w:cs="Arial"/>
        </w:rPr>
        <w:t xml:space="preserve"> us to improve its quality.</w:t>
      </w:r>
    </w:p>
    <w:p w14:paraId="7BF330CA" w14:textId="2E5850B6" w:rsidR="00EF1AEF" w:rsidRPr="00B859E5" w:rsidRDefault="00D949FB" w:rsidP="00E62772">
      <w:pPr>
        <w:spacing w:line="240" w:lineRule="auto"/>
        <w:jc w:val="both"/>
        <w:rPr>
          <w:rFonts w:ascii="Arial" w:hAnsi="Arial" w:cs="Arial"/>
        </w:rPr>
      </w:pPr>
      <w:r w:rsidRPr="00B859E5">
        <w:rPr>
          <w:rFonts w:ascii="Arial" w:hAnsi="Arial" w:cs="Arial"/>
        </w:rPr>
        <w:t>We</w:t>
      </w:r>
      <w:r w:rsidR="00EF1AEF" w:rsidRPr="00B859E5">
        <w:rPr>
          <w:rFonts w:ascii="Arial" w:hAnsi="Arial" w:cs="Arial"/>
        </w:rPr>
        <w:t xml:space="preserve"> have included the reviewer</w:t>
      </w:r>
      <w:r w:rsidR="000F62D5" w:rsidRPr="00B859E5">
        <w:rPr>
          <w:rFonts w:ascii="Arial" w:hAnsi="Arial" w:cs="Arial"/>
        </w:rPr>
        <w:t>s’</w:t>
      </w:r>
      <w:r w:rsidR="00EF1AEF" w:rsidRPr="00B859E5">
        <w:rPr>
          <w:rFonts w:ascii="Arial" w:hAnsi="Arial" w:cs="Arial"/>
        </w:rPr>
        <w:t xml:space="preserve"> comments immediately after this letter and responded to </w:t>
      </w:r>
      <w:r w:rsidR="0023475F">
        <w:rPr>
          <w:rFonts w:ascii="Arial" w:hAnsi="Arial" w:cs="Arial"/>
        </w:rPr>
        <w:t>all of each reviewers’ questions and concerns</w:t>
      </w:r>
      <w:r w:rsidR="001F1C8A">
        <w:rPr>
          <w:rFonts w:ascii="Arial" w:hAnsi="Arial" w:cs="Arial"/>
        </w:rPr>
        <w:t xml:space="preserve">, </w:t>
      </w:r>
      <w:r w:rsidR="0023475F">
        <w:rPr>
          <w:rFonts w:ascii="Arial" w:hAnsi="Arial" w:cs="Arial"/>
        </w:rPr>
        <w:t>also</w:t>
      </w:r>
      <w:r w:rsidR="001F1C8A">
        <w:rPr>
          <w:rFonts w:ascii="Arial" w:hAnsi="Arial" w:cs="Arial"/>
        </w:rPr>
        <w:t xml:space="preserve"> indicating</w:t>
      </w:r>
      <w:r w:rsidR="0023475F">
        <w:rPr>
          <w:rFonts w:ascii="Arial" w:hAnsi="Arial" w:cs="Arial"/>
        </w:rPr>
        <w:t xml:space="preserve"> </w:t>
      </w:r>
      <w:r w:rsidR="00EF1AEF" w:rsidRPr="00B859E5">
        <w:rPr>
          <w:rFonts w:ascii="Arial" w:hAnsi="Arial" w:cs="Arial"/>
        </w:rPr>
        <w:t xml:space="preserve">how we addressed each </w:t>
      </w:r>
      <w:r w:rsidR="0023475F">
        <w:rPr>
          <w:rFonts w:ascii="Arial" w:hAnsi="Arial" w:cs="Arial"/>
        </w:rPr>
        <w:t>one by</w:t>
      </w:r>
      <w:r w:rsidR="00EF1AEF" w:rsidRPr="00B859E5">
        <w:rPr>
          <w:rFonts w:ascii="Arial" w:hAnsi="Arial" w:cs="Arial"/>
        </w:rPr>
        <w:t xml:space="preserve"> describing the changes we have </w:t>
      </w:r>
      <w:r w:rsidR="00957A6B">
        <w:rPr>
          <w:rFonts w:ascii="Arial" w:hAnsi="Arial" w:cs="Arial"/>
        </w:rPr>
        <w:t>incorporated</w:t>
      </w:r>
      <w:r w:rsidR="0023475F">
        <w:rPr>
          <w:rFonts w:ascii="Arial" w:hAnsi="Arial" w:cs="Arial"/>
        </w:rPr>
        <w:t xml:space="preserve"> in the revised manuscript</w:t>
      </w:r>
      <w:r w:rsidR="00EF1AEF" w:rsidRPr="00B859E5">
        <w:rPr>
          <w:rFonts w:ascii="Arial" w:hAnsi="Arial" w:cs="Arial"/>
        </w:rPr>
        <w:t>.</w:t>
      </w:r>
      <w:r w:rsidR="005333FD" w:rsidRPr="00B859E5">
        <w:rPr>
          <w:rFonts w:ascii="Arial" w:hAnsi="Arial" w:cs="Arial"/>
        </w:rPr>
        <w:t xml:space="preserve"> </w:t>
      </w:r>
      <w:r w:rsidR="00B859E5" w:rsidRPr="00B859E5">
        <w:rPr>
          <w:rFonts w:ascii="Arial" w:hAnsi="Arial" w:cs="Arial"/>
        </w:rPr>
        <w:t>The</w:t>
      </w:r>
      <w:r w:rsidR="00EF1AEF" w:rsidRPr="00B859E5">
        <w:rPr>
          <w:rFonts w:ascii="Arial" w:hAnsi="Arial" w:cs="Arial"/>
        </w:rPr>
        <w:t xml:space="preserve"> revised </w:t>
      </w:r>
      <w:r w:rsidR="002A4C86">
        <w:rPr>
          <w:rFonts w:ascii="Arial" w:hAnsi="Arial" w:cs="Arial"/>
        </w:rPr>
        <w:t>article is</w:t>
      </w:r>
      <w:r w:rsidR="00EF1AEF" w:rsidRPr="00B859E5">
        <w:rPr>
          <w:rFonts w:ascii="Arial" w:hAnsi="Arial" w:cs="Arial"/>
        </w:rPr>
        <w:t xml:space="preserve"> att</w:t>
      </w:r>
      <w:r w:rsidR="001F1C8A">
        <w:rPr>
          <w:rFonts w:ascii="Arial" w:hAnsi="Arial" w:cs="Arial"/>
        </w:rPr>
        <w:t xml:space="preserve">ached </w:t>
      </w:r>
      <w:r w:rsidR="00B859E5" w:rsidRPr="00B859E5">
        <w:rPr>
          <w:rFonts w:ascii="Arial" w:hAnsi="Arial" w:cs="Arial"/>
        </w:rPr>
        <w:t>with this letter to the resubmission form.</w:t>
      </w:r>
    </w:p>
    <w:p w14:paraId="3BA3BD75" w14:textId="7C104C95" w:rsidR="00EF1AEF" w:rsidRDefault="00EF1AEF" w:rsidP="00E62772">
      <w:pPr>
        <w:spacing w:line="240" w:lineRule="auto"/>
        <w:jc w:val="both"/>
        <w:rPr>
          <w:rFonts w:ascii="Arial" w:hAnsi="Arial" w:cs="Arial"/>
        </w:rPr>
      </w:pPr>
      <w:r w:rsidRPr="00B859E5">
        <w:rPr>
          <w:rFonts w:ascii="Arial" w:hAnsi="Arial" w:cs="Arial"/>
        </w:rPr>
        <w:t>We hope the revised manuscript will better suit the</w:t>
      </w:r>
      <w:r w:rsidR="003011EE" w:rsidRPr="00B859E5">
        <w:rPr>
          <w:rFonts w:ascii="Arial" w:hAnsi="Arial" w:cs="Arial"/>
        </w:rPr>
        <w:t xml:space="preserve"> </w:t>
      </w:r>
      <w:r w:rsidR="003011EE" w:rsidRPr="006324AA">
        <w:rPr>
          <w:rFonts w:ascii="Arial" w:hAnsi="Arial" w:cs="Arial"/>
          <w:i/>
        </w:rPr>
        <w:t xml:space="preserve">Acta </w:t>
      </w:r>
      <w:proofErr w:type="spellStart"/>
      <w:r w:rsidR="002A4C86">
        <w:rPr>
          <w:rFonts w:ascii="Arial" w:hAnsi="Arial" w:cs="Arial"/>
          <w:i/>
        </w:rPr>
        <w:t>Médica</w:t>
      </w:r>
      <w:proofErr w:type="spellEnd"/>
      <w:r w:rsidR="003011EE" w:rsidRPr="006324AA">
        <w:rPr>
          <w:rFonts w:ascii="Arial" w:hAnsi="Arial" w:cs="Arial"/>
          <w:i/>
        </w:rPr>
        <w:t xml:space="preserve"> </w:t>
      </w:r>
      <w:r w:rsidR="00D14214" w:rsidRPr="006324AA">
        <w:rPr>
          <w:rFonts w:ascii="Arial" w:hAnsi="Arial" w:cs="Arial"/>
          <w:i/>
        </w:rPr>
        <w:t>Portuguesa</w:t>
      </w:r>
      <w:r w:rsidR="00D14214" w:rsidRPr="00B859E5">
        <w:rPr>
          <w:rFonts w:ascii="Arial" w:hAnsi="Arial" w:cs="Arial"/>
        </w:rPr>
        <w:t>,</w:t>
      </w:r>
      <w:r w:rsidRPr="00B859E5">
        <w:rPr>
          <w:rFonts w:ascii="Arial" w:hAnsi="Arial" w:cs="Arial"/>
        </w:rPr>
        <w:t xml:space="preserve"> but </w:t>
      </w:r>
      <w:r w:rsidR="00D14214">
        <w:rPr>
          <w:rFonts w:ascii="Arial" w:hAnsi="Arial" w:cs="Arial"/>
        </w:rPr>
        <w:t xml:space="preserve">we </w:t>
      </w:r>
      <w:r w:rsidRPr="00B859E5">
        <w:rPr>
          <w:rFonts w:ascii="Arial" w:hAnsi="Arial" w:cs="Arial"/>
        </w:rPr>
        <w:t>are happy to consider further revisions, and we thank you for your continued interest in our research.</w:t>
      </w:r>
    </w:p>
    <w:p w14:paraId="45AE36D3" w14:textId="77777777" w:rsidR="007638F1" w:rsidRDefault="007638F1" w:rsidP="00E62772">
      <w:pPr>
        <w:spacing w:line="240" w:lineRule="auto"/>
        <w:jc w:val="both"/>
        <w:rPr>
          <w:rFonts w:ascii="Arial" w:hAnsi="Arial" w:cs="Arial"/>
        </w:rPr>
      </w:pPr>
      <w:r>
        <w:rPr>
          <w:rFonts w:ascii="Arial" w:hAnsi="Arial" w:cs="Arial"/>
        </w:rPr>
        <w:t xml:space="preserve">Please note, that given the concerns regarding the definition of risk by the reviewer, we suggest to change the article’s title to: </w:t>
      </w:r>
      <w:r w:rsidRPr="007638F1">
        <w:rPr>
          <w:rFonts w:ascii="Arial" w:hAnsi="Arial" w:cs="Arial"/>
        </w:rPr>
        <w:t>POPULATION-BASED ESTIMATES FOR THE HIGHEST RISK OF SEVERE COVID-19 DISEASE DUE TO AGE AND UNDERLYING HEALTH CONDITIONS</w:t>
      </w:r>
      <w:r>
        <w:rPr>
          <w:rFonts w:ascii="Arial" w:hAnsi="Arial" w:cs="Arial"/>
        </w:rPr>
        <w:t>”.</w:t>
      </w:r>
    </w:p>
    <w:p w14:paraId="1856F20F" w14:textId="4D59117F" w:rsidR="007638F1" w:rsidRPr="00B859E5" w:rsidRDefault="007638F1" w:rsidP="00E62772">
      <w:pPr>
        <w:spacing w:line="240" w:lineRule="auto"/>
        <w:jc w:val="both"/>
        <w:rPr>
          <w:rFonts w:ascii="Arial" w:hAnsi="Arial" w:cs="Arial"/>
        </w:rPr>
      </w:pPr>
      <w:r>
        <w:rPr>
          <w:rFonts w:ascii="Arial" w:hAnsi="Arial" w:cs="Arial"/>
        </w:rPr>
        <w:t xml:space="preserve">We believe this title highlights the focus on the highest group and thereby better addresses the reviewer’s concerns. </w:t>
      </w:r>
    </w:p>
    <w:p w14:paraId="13A7F6AA" w14:textId="77777777" w:rsidR="00EF1AEF" w:rsidRPr="00C35478" w:rsidRDefault="00EF1AEF" w:rsidP="00E62772">
      <w:pPr>
        <w:spacing w:line="240" w:lineRule="auto"/>
        <w:jc w:val="both"/>
        <w:rPr>
          <w:rFonts w:ascii="Arial" w:hAnsi="Arial" w:cs="Arial"/>
          <w:lang w:val="pt-PT"/>
        </w:rPr>
      </w:pPr>
      <w:r w:rsidRPr="00C35478">
        <w:rPr>
          <w:rFonts w:ascii="Arial" w:hAnsi="Arial" w:cs="Arial"/>
          <w:lang w:val="pt-PT"/>
        </w:rPr>
        <w:t>Sincerely,</w:t>
      </w:r>
    </w:p>
    <w:p w14:paraId="2DAEA456" w14:textId="721AB4D4" w:rsidR="00957A6B" w:rsidRPr="00C35478" w:rsidRDefault="00F53B84" w:rsidP="00E62772">
      <w:pPr>
        <w:spacing w:line="240" w:lineRule="auto"/>
        <w:jc w:val="both"/>
        <w:rPr>
          <w:rFonts w:ascii="Arial" w:hAnsi="Arial" w:cs="Arial"/>
          <w:lang w:val="pt-PT"/>
        </w:rPr>
      </w:pPr>
      <w:r w:rsidRPr="00C35478">
        <w:rPr>
          <w:rFonts w:ascii="Arial" w:hAnsi="Arial" w:cs="Arial"/>
          <w:lang w:val="pt-PT"/>
        </w:rPr>
        <w:t xml:space="preserve">Pedro </w:t>
      </w:r>
      <w:r w:rsidR="00E93B79" w:rsidRPr="00C35478">
        <w:rPr>
          <w:rFonts w:ascii="Arial" w:hAnsi="Arial" w:cs="Arial"/>
          <w:lang w:val="pt-PT"/>
        </w:rPr>
        <w:t xml:space="preserve">A. </w:t>
      </w:r>
      <w:r w:rsidRPr="00C35478">
        <w:rPr>
          <w:rFonts w:ascii="Arial" w:hAnsi="Arial" w:cs="Arial"/>
          <w:lang w:val="pt-PT"/>
        </w:rPr>
        <w:t>Laire</w:t>
      </w:r>
      <w:r w:rsidR="0023475F" w:rsidRPr="00C35478">
        <w:rPr>
          <w:rFonts w:ascii="Arial" w:hAnsi="Arial" w:cs="Arial"/>
          <w:lang w:val="pt-PT"/>
        </w:rPr>
        <w:t>s</w:t>
      </w:r>
      <w:r w:rsidR="002A4C86" w:rsidRPr="00C35478">
        <w:rPr>
          <w:rFonts w:ascii="Arial" w:hAnsi="Arial" w:cs="Arial"/>
          <w:lang w:val="pt-PT"/>
        </w:rPr>
        <w:t xml:space="preserve"> &amp; Carla Nunes</w:t>
      </w:r>
    </w:p>
    <w:p w14:paraId="22BCF353" w14:textId="77777777" w:rsidR="00431EB5" w:rsidRPr="00C35478" w:rsidRDefault="00431EB5" w:rsidP="00431EB5">
      <w:pPr>
        <w:pStyle w:val="PlainText"/>
        <w:rPr>
          <w:lang w:val="pt-PT"/>
        </w:rPr>
      </w:pPr>
    </w:p>
    <w:p w14:paraId="450BC830" w14:textId="1D79D9BF" w:rsidR="00431EB5" w:rsidRPr="00431EB5" w:rsidRDefault="00431EB5" w:rsidP="00431EB5">
      <w:pPr>
        <w:pStyle w:val="PlainText"/>
        <w:rPr>
          <w:b/>
          <w:sz w:val="24"/>
        </w:rPr>
      </w:pPr>
      <w:r>
        <w:rPr>
          <w:b/>
          <w:sz w:val="24"/>
        </w:rPr>
        <w:t>Reviewer</w:t>
      </w:r>
      <w:r w:rsidRPr="00431EB5">
        <w:rPr>
          <w:b/>
          <w:sz w:val="24"/>
        </w:rPr>
        <w:t xml:space="preserve"> 1</w:t>
      </w:r>
    </w:p>
    <w:p w14:paraId="774AD75B" w14:textId="77777777" w:rsidR="00431EB5" w:rsidRDefault="00431EB5" w:rsidP="00431EB5">
      <w:pPr>
        <w:pStyle w:val="PlainText"/>
      </w:pPr>
    </w:p>
    <w:p w14:paraId="76DC8874" w14:textId="05E3FF77" w:rsidR="00431EB5" w:rsidRDefault="00431EB5" w:rsidP="00431EB5">
      <w:pPr>
        <w:pStyle w:val="PlainText"/>
        <w:jc w:val="both"/>
      </w:pPr>
      <w:r w:rsidRPr="00431EB5">
        <w:rPr>
          <w:b/>
        </w:rPr>
        <w:t>Comment 1:</w:t>
      </w:r>
      <w:r>
        <w:t xml:space="preserve"> Adding a paragraph in the methodology justifying the proposed novel definition where they clearly state the potential underestimation of the proportion of the population at increased risk of severe illness.</w:t>
      </w:r>
    </w:p>
    <w:p w14:paraId="2284B830" w14:textId="77777777" w:rsidR="00431EB5" w:rsidRDefault="00431EB5" w:rsidP="00431EB5">
      <w:pPr>
        <w:pStyle w:val="PlainText"/>
        <w:jc w:val="both"/>
      </w:pPr>
    </w:p>
    <w:p w14:paraId="6C9E4AE0" w14:textId="56DBD4E3" w:rsidR="00431EB5" w:rsidRPr="00431EB5" w:rsidRDefault="00431EB5" w:rsidP="00431EB5">
      <w:pPr>
        <w:pStyle w:val="PlainText"/>
        <w:jc w:val="both"/>
        <w:rPr>
          <w:color w:val="1F3864" w:themeColor="accent1" w:themeShade="80"/>
        </w:rPr>
      </w:pPr>
      <w:r w:rsidRPr="00431EB5">
        <w:rPr>
          <w:b/>
          <w:color w:val="1F3864" w:themeColor="accent1" w:themeShade="80"/>
        </w:rPr>
        <w:t>Response:</w:t>
      </w:r>
      <w:r w:rsidRPr="00431EB5">
        <w:rPr>
          <w:color w:val="1F3864" w:themeColor="accent1" w:themeShade="80"/>
        </w:rPr>
        <w:t xml:space="preserve"> Manuscript changed accordingly.</w:t>
      </w:r>
    </w:p>
    <w:p w14:paraId="5174C323" w14:textId="076EF6C0" w:rsidR="00431EB5" w:rsidRDefault="00431EB5" w:rsidP="00431EB5">
      <w:pPr>
        <w:pStyle w:val="PlainText"/>
        <w:jc w:val="both"/>
      </w:pPr>
    </w:p>
    <w:p w14:paraId="4B1DE890" w14:textId="3EF25513" w:rsidR="00431EB5" w:rsidRDefault="00431EB5" w:rsidP="00431EB5">
      <w:pPr>
        <w:pStyle w:val="PlainText"/>
        <w:jc w:val="both"/>
      </w:pPr>
      <w:r>
        <w:rPr>
          <w:b/>
        </w:rPr>
        <w:t>Comment 2</w:t>
      </w:r>
      <w:r w:rsidRPr="00431EB5">
        <w:rPr>
          <w:b/>
        </w:rPr>
        <w:t>:</w:t>
      </w:r>
      <w:r>
        <w:t xml:space="preserve"> Showing results from the same analysis but using the classical definition (maybe as supplementary material), so that the readers are better informed of the impact of the author choice.</w:t>
      </w:r>
    </w:p>
    <w:p w14:paraId="46FCDFD8" w14:textId="77777777" w:rsidR="00431EB5" w:rsidRDefault="00431EB5" w:rsidP="00431EB5">
      <w:pPr>
        <w:pStyle w:val="PlainText"/>
        <w:jc w:val="both"/>
      </w:pPr>
    </w:p>
    <w:p w14:paraId="3DAEFB69" w14:textId="21C89CCD" w:rsidR="00431EB5" w:rsidRDefault="00431EB5" w:rsidP="00431EB5">
      <w:pPr>
        <w:pStyle w:val="PlainText"/>
        <w:jc w:val="both"/>
        <w:rPr>
          <w:b/>
        </w:rPr>
      </w:pPr>
      <w:r w:rsidRPr="00431EB5">
        <w:rPr>
          <w:b/>
          <w:color w:val="1F3864" w:themeColor="accent1" w:themeShade="80"/>
        </w:rPr>
        <w:t xml:space="preserve">Response: </w:t>
      </w:r>
      <w:r w:rsidRPr="00431EB5">
        <w:rPr>
          <w:color w:val="1F3864" w:themeColor="accent1" w:themeShade="80"/>
        </w:rPr>
        <w:t xml:space="preserve">We attached a </w:t>
      </w:r>
      <w:r w:rsidRPr="00FA3AB0">
        <w:rPr>
          <w:color w:val="1F3864" w:themeColor="accent1" w:themeShade="80"/>
        </w:rPr>
        <w:t>supplementary file</w:t>
      </w:r>
      <w:r w:rsidRPr="00431EB5">
        <w:rPr>
          <w:color w:val="1F3864" w:themeColor="accent1" w:themeShade="80"/>
        </w:rPr>
        <w:t xml:space="preserve"> with those results.</w:t>
      </w:r>
      <w:r w:rsidRPr="00431EB5">
        <w:rPr>
          <w:b/>
          <w:color w:val="1F3864" w:themeColor="accent1" w:themeShade="80"/>
        </w:rPr>
        <w:t xml:space="preserve"> </w:t>
      </w:r>
      <w:r>
        <w:rPr>
          <w:b/>
        </w:rPr>
        <w:t xml:space="preserve"> </w:t>
      </w:r>
    </w:p>
    <w:p w14:paraId="28341A33" w14:textId="71DDD311" w:rsidR="00431EB5" w:rsidRDefault="00431EB5" w:rsidP="00431EB5">
      <w:pPr>
        <w:pStyle w:val="PlainText"/>
        <w:jc w:val="both"/>
        <w:rPr>
          <w:b/>
        </w:rPr>
      </w:pPr>
    </w:p>
    <w:p w14:paraId="73C97C78" w14:textId="50EC34D1" w:rsidR="00431EB5" w:rsidRDefault="00431EB5" w:rsidP="00431EB5">
      <w:pPr>
        <w:pStyle w:val="PlainText"/>
        <w:jc w:val="both"/>
      </w:pPr>
      <w:r>
        <w:rPr>
          <w:b/>
        </w:rPr>
        <w:t>Comment 3</w:t>
      </w:r>
      <w:r w:rsidRPr="00431EB5">
        <w:rPr>
          <w:b/>
        </w:rPr>
        <w:t>:</w:t>
      </w:r>
      <w:r>
        <w:t xml:space="preserve"> Adding a sentence to the discussion (both in the abstract and in the main text) highlighting their uncommon choice of high risk definition, such as: "Even considering a restrictive definition of high risk for severe illness, we estimated..."</w:t>
      </w:r>
    </w:p>
    <w:p w14:paraId="7D0D76FA" w14:textId="38B77164" w:rsidR="00431EB5" w:rsidRDefault="00431EB5" w:rsidP="00431EB5">
      <w:pPr>
        <w:pStyle w:val="PlainText"/>
        <w:jc w:val="both"/>
      </w:pPr>
    </w:p>
    <w:p w14:paraId="089A5507" w14:textId="5659EB72" w:rsidR="00431EB5" w:rsidRDefault="00431EB5" w:rsidP="00560ACC">
      <w:pPr>
        <w:pStyle w:val="PlainText"/>
        <w:jc w:val="both"/>
        <w:rPr>
          <w:b/>
        </w:rPr>
      </w:pPr>
      <w:r w:rsidRPr="00431EB5">
        <w:rPr>
          <w:b/>
          <w:color w:val="1F3864" w:themeColor="accent1" w:themeShade="80"/>
        </w:rPr>
        <w:t xml:space="preserve">Response: </w:t>
      </w:r>
      <w:r w:rsidRPr="00431EB5">
        <w:rPr>
          <w:color w:val="1F3864" w:themeColor="accent1" w:themeShade="80"/>
        </w:rPr>
        <w:t>Manuscript changed accordingly.</w:t>
      </w:r>
    </w:p>
    <w:p w14:paraId="65F72A62" w14:textId="77777777" w:rsidR="00431EB5" w:rsidRDefault="00431EB5" w:rsidP="00560ACC">
      <w:pPr>
        <w:pStyle w:val="PlainText"/>
        <w:jc w:val="both"/>
      </w:pPr>
    </w:p>
    <w:p w14:paraId="43D35091" w14:textId="0466E132" w:rsidR="00FF48BC" w:rsidRDefault="00FF48BC" w:rsidP="00560ACC">
      <w:pPr>
        <w:pStyle w:val="PlainText"/>
        <w:jc w:val="both"/>
      </w:pPr>
      <w:r>
        <w:rPr>
          <w:b/>
        </w:rPr>
        <w:t>Comment 4</w:t>
      </w:r>
      <w:r w:rsidRPr="00431EB5">
        <w:rPr>
          <w:b/>
        </w:rPr>
        <w:t>:</w:t>
      </w:r>
      <w:r>
        <w:t xml:space="preserve"> </w:t>
      </w:r>
      <w:r w:rsidR="00F154FD">
        <w:t>H</w:t>
      </w:r>
      <w:r>
        <w:t>ighlighting better which proportion of the population is being considered in the Introduction (in the abstract and in the main text). For example, something in the lines of: "We considered a restrictive definition of high risk to estimate (...) at the very high risk..."</w:t>
      </w:r>
    </w:p>
    <w:p w14:paraId="4BD3365D" w14:textId="728A6F0E" w:rsidR="00FF48BC" w:rsidRDefault="00FF48BC" w:rsidP="00560ACC">
      <w:pPr>
        <w:pStyle w:val="PlainText"/>
        <w:jc w:val="both"/>
      </w:pPr>
    </w:p>
    <w:p w14:paraId="2D9A6B9F" w14:textId="27D71B23" w:rsidR="00FF48BC" w:rsidRDefault="00FF48BC" w:rsidP="00560ACC">
      <w:pPr>
        <w:pStyle w:val="PlainText"/>
        <w:jc w:val="both"/>
        <w:rPr>
          <w:color w:val="1F3864" w:themeColor="accent1" w:themeShade="80"/>
        </w:rPr>
      </w:pPr>
      <w:r w:rsidRPr="00431EB5">
        <w:rPr>
          <w:b/>
          <w:color w:val="1F3864" w:themeColor="accent1" w:themeShade="80"/>
        </w:rPr>
        <w:t xml:space="preserve">Response: </w:t>
      </w:r>
      <w:r w:rsidRPr="00431EB5">
        <w:rPr>
          <w:color w:val="1F3864" w:themeColor="accent1" w:themeShade="80"/>
        </w:rPr>
        <w:t>Manuscript changed accordingly.</w:t>
      </w:r>
    </w:p>
    <w:p w14:paraId="0238D367" w14:textId="5912C70C" w:rsidR="00560ACC" w:rsidRDefault="00560ACC" w:rsidP="00FF48BC">
      <w:pPr>
        <w:pStyle w:val="PlainText"/>
        <w:jc w:val="both"/>
        <w:rPr>
          <w:color w:val="1F3864" w:themeColor="accent1" w:themeShade="80"/>
        </w:rPr>
      </w:pPr>
    </w:p>
    <w:p w14:paraId="34EA488C" w14:textId="681F2546" w:rsidR="00560ACC" w:rsidRPr="00C35478" w:rsidRDefault="00560ACC" w:rsidP="00560ACC">
      <w:pPr>
        <w:pStyle w:val="PlainText"/>
        <w:jc w:val="both"/>
        <w:rPr>
          <w:lang w:val="pt-PT"/>
        </w:rPr>
      </w:pPr>
      <w:r>
        <w:rPr>
          <w:b/>
        </w:rPr>
        <w:t>Comment 5</w:t>
      </w:r>
      <w:r w:rsidRPr="00431EB5">
        <w:rPr>
          <w:b/>
        </w:rPr>
        <w:t>:</w:t>
      </w:r>
      <w:r>
        <w:t xml:space="preserve"> </w:t>
      </w:r>
      <w:r w:rsidR="00F154FD">
        <w:t>R</w:t>
      </w:r>
      <w:r>
        <w:t xml:space="preserve">eplacing the expressions "due to old age and ..." by "due to both old age and ..." </w:t>
      </w:r>
      <w:proofErr w:type="spellStart"/>
      <w:r>
        <w:t>a long</w:t>
      </w:r>
      <w:proofErr w:type="spellEnd"/>
      <w:r>
        <w:t xml:space="preserve"> the manuscript. This is </w:t>
      </w:r>
      <w:proofErr w:type="spellStart"/>
      <w:proofErr w:type="gramStart"/>
      <w:r>
        <w:t>specially</w:t>
      </w:r>
      <w:proofErr w:type="spellEnd"/>
      <w:proofErr w:type="gramEnd"/>
      <w:r>
        <w:t xml:space="preserve"> important since, as the authors shown in their reply regarding the Canadian Health Authorities, without the proper phrasing these sentences out-of-context can be </w:t>
      </w:r>
      <w:r>
        <w:lastRenderedPageBreak/>
        <w:t xml:space="preserve">misleading. </w:t>
      </w:r>
      <w:r w:rsidRPr="00C35478">
        <w:rPr>
          <w:lang w:val="pt-PT"/>
        </w:rPr>
        <w:t>The same goes for the Resumo Portguês, where "os mais envelhecidos e expostos" should be replaced by "os mais envelhecidos que estão expostos a determinadas doenças crónicas", and "devido à idade e a determinadas condições crónicas pré-existentes" should be replaced by "considerando conjuntamente a idade e determinadas condições crónicas pré-existentes".</w:t>
      </w:r>
    </w:p>
    <w:p w14:paraId="7898C541" w14:textId="17D45377" w:rsidR="00560ACC" w:rsidRPr="00C35478" w:rsidRDefault="00560ACC" w:rsidP="00560ACC">
      <w:pPr>
        <w:pStyle w:val="PlainText"/>
        <w:jc w:val="both"/>
        <w:rPr>
          <w:lang w:val="pt-PT"/>
        </w:rPr>
      </w:pPr>
    </w:p>
    <w:p w14:paraId="61B64110" w14:textId="77777777" w:rsidR="00560ACC" w:rsidRPr="00C35478" w:rsidRDefault="00560ACC" w:rsidP="00560ACC">
      <w:pPr>
        <w:pStyle w:val="PlainText"/>
        <w:jc w:val="both"/>
        <w:rPr>
          <w:lang w:val="pt-PT"/>
        </w:rPr>
      </w:pPr>
    </w:p>
    <w:p w14:paraId="27EAE425" w14:textId="77777777" w:rsidR="00560ACC" w:rsidRDefault="00560ACC" w:rsidP="00560ACC">
      <w:pPr>
        <w:pStyle w:val="PlainText"/>
        <w:jc w:val="both"/>
        <w:rPr>
          <w:color w:val="1F3864" w:themeColor="accent1" w:themeShade="80"/>
        </w:rPr>
      </w:pPr>
      <w:r w:rsidRPr="00431EB5">
        <w:rPr>
          <w:b/>
          <w:color w:val="1F3864" w:themeColor="accent1" w:themeShade="80"/>
        </w:rPr>
        <w:t xml:space="preserve">Response: </w:t>
      </w:r>
      <w:r w:rsidRPr="00431EB5">
        <w:rPr>
          <w:color w:val="1F3864" w:themeColor="accent1" w:themeShade="80"/>
        </w:rPr>
        <w:t>Manuscript changed accordingly.</w:t>
      </w:r>
    </w:p>
    <w:p w14:paraId="4792B1A7" w14:textId="77777777" w:rsidR="00560ACC" w:rsidRDefault="00560ACC" w:rsidP="00560ACC">
      <w:pPr>
        <w:pStyle w:val="PlainText"/>
        <w:jc w:val="both"/>
      </w:pPr>
    </w:p>
    <w:p w14:paraId="49498F67" w14:textId="156D67AB" w:rsidR="00F848DA" w:rsidRPr="00C35478" w:rsidRDefault="00F848DA" w:rsidP="000267DB">
      <w:pPr>
        <w:pStyle w:val="PlainText"/>
        <w:jc w:val="both"/>
        <w:rPr>
          <w:lang w:val="pt-PT"/>
        </w:rPr>
      </w:pPr>
      <w:r>
        <w:rPr>
          <w:b/>
        </w:rPr>
        <w:t>Comment 6</w:t>
      </w:r>
      <w:r w:rsidRPr="00431EB5">
        <w:rPr>
          <w:b/>
        </w:rPr>
        <w:t>:</w:t>
      </w:r>
      <w:r>
        <w:t xml:space="preserve"> </w:t>
      </w:r>
      <w:r w:rsidR="00F154FD">
        <w:t>R</w:t>
      </w:r>
      <w:r>
        <w:t xml:space="preserve">eplacing the expressions "due to old age and ..." by "due to both old age and ..." </w:t>
      </w:r>
      <w:proofErr w:type="spellStart"/>
      <w:r>
        <w:t>a long</w:t>
      </w:r>
      <w:proofErr w:type="spellEnd"/>
      <w:r>
        <w:t xml:space="preserve"> the manuscript. This is </w:t>
      </w:r>
      <w:proofErr w:type="spellStart"/>
      <w:proofErr w:type="gramStart"/>
      <w:r>
        <w:t>specially</w:t>
      </w:r>
      <w:proofErr w:type="spellEnd"/>
      <w:proofErr w:type="gramEnd"/>
      <w:r>
        <w:t xml:space="preserve"> important since, as the authors shown in their reply regarding the Canadian Health Authorities, without the proper phrasing these sentences out-of-context can be misleading. </w:t>
      </w:r>
      <w:r w:rsidRPr="00C35478">
        <w:rPr>
          <w:lang w:val="pt-PT"/>
        </w:rPr>
        <w:t>The same goes for the Resumo Port</w:t>
      </w:r>
      <w:r w:rsidR="00AF3F94">
        <w:rPr>
          <w:lang w:val="pt-PT"/>
        </w:rPr>
        <w:t>u</w:t>
      </w:r>
      <w:r w:rsidRPr="00C35478">
        <w:rPr>
          <w:lang w:val="pt-PT"/>
        </w:rPr>
        <w:t>guês, where "os mais envelhecidos e expostos" should be replaced by "os mais envelhecidos que estão expostos a determinadas doenças crónicas", and "devido à idade e a determinadas condições crónicas pré-existentes" should be replaced by "considerando conjuntamente a idade e determinadas condições crónicas pré-existentes".</w:t>
      </w:r>
    </w:p>
    <w:p w14:paraId="260F325E" w14:textId="77777777" w:rsidR="00F848DA" w:rsidRPr="00C35478" w:rsidRDefault="00F848DA" w:rsidP="000267DB">
      <w:pPr>
        <w:pStyle w:val="PlainText"/>
        <w:jc w:val="both"/>
        <w:rPr>
          <w:lang w:val="pt-PT"/>
        </w:rPr>
      </w:pPr>
    </w:p>
    <w:p w14:paraId="300C12B9" w14:textId="77777777" w:rsidR="00F848DA" w:rsidRPr="00C35478" w:rsidRDefault="00F848DA" w:rsidP="000267DB">
      <w:pPr>
        <w:pStyle w:val="PlainText"/>
        <w:jc w:val="both"/>
        <w:rPr>
          <w:lang w:val="pt-PT"/>
        </w:rPr>
      </w:pPr>
    </w:p>
    <w:p w14:paraId="5A36FD20" w14:textId="77777777" w:rsidR="00F848DA" w:rsidRDefault="00F848DA" w:rsidP="000267DB">
      <w:pPr>
        <w:pStyle w:val="PlainText"/>
        <w:jc w:val="both"/>
        <w:rPr>
          <w:color w:val="1F3864" w:themeColor="accent1" w:themeShade="80"/>
        </w:rPr>
      </w:pPr>
      <w:r w:rsidRPr="00431EB5">
        <w:rPr>
          <w:b/>
          <w:color w:val="1F3864" w:themeColor="accent1" w:themeShade="80"/>
        </w:rPr>
        <w:t xml:space="preserve">Response: </w:t>
      </w:r>
      <w:r w:rsidRPr="00431EB5">
        <w:rPr>
          <w:color w:val="1F3864" w:themeColor="accent1" w:themeShade="80"/>
        </w:rPr>
        <w:t>Manuscript changed accordingly.</w:t>
      </w:r>
    </w:p>
    <w:p w14:paraId="406AECC8" w14:textId="77777777" w:rsidR="00560ACC" w:rsidRDefault="00560ACC" w:rsidP="000267DB">
      <w:pPr>
        <w:pStyle w:val="PlainText"/>
        <w:jc w:val="both"/>
        <w:rPr>
          <w:b/>
        </w:rPr>
      </w:pPr>
    </w:p>
    <w:p w14:paraId="029F623A" w14:textId="348A324F" w:rsidR="00D3518C" w:rsidRDefault="00D3518C" w:rsidP="000267DB">
      <w:pPr>
        <w:pStyle w:val="PlainText"/>
        <w:jc w:val="both"/>
      </w:pPr>
      <w:r w:rsidRPr="00C41B7B">
        <w:rPr>
          <w:b/>
        </w:rPr>
        <w:t>Comment 7:</w:t>
      </w:r>
      <w:r>
        <w:t xml:space="preserve"> </w:t>
      </w:r>
      <w:r w:rsidR="00F154FD">
        <w:t>D</w:t>
      </w:r>
      <w:r>
        <w:t>isclosing in the Methods which comorbidities are not being considered, namely chronic kidney diseases, chronic liver disease, hemoglobin disorder, immunocompromised, severe obesity (CDC Health Guidelines). The reasoning for choosing specific comorbidities from (Wang et al 2020 Aging) is fine, but the readers should be informed about which are being left behind.</w:t>
      </w:r>
    </w:p>
    <w:p w14:paraId="668F1340" w14:textId="77777777" w:rsidR="00D3518C" w:rsidRDefault="00D3518C" w:rsidP="000267DB">
      <w:pPr>
        <w:pStyle w:val="PlainText"/>
        <w:jc w:val="both"/>
        <w:rPr>
          <w:b/>
          <w:color w:val="1F3864" w:themeColor="accent1" w:themeShade="80"/>
        </w:rPr>
      </w:pPr>
    </w:p>
    <w:p w14:paraId="1FBA4777" w14:textId="7EE484D4" w:rsidR="00D3518C" w:rsidRDefault="00D3518C" w:rsidP="000267DB">
      <w:pPr>
        <w:pStyle w:val="PlainText"/>
        <w:jc w:val="both"/>
        <w:rPr>
          <w:color w:val="1F3864" w:themeColor="accent1" w:themeShade="80"/>
        </w:rPr>
      </w:pPr>
      <w:r w:rsidRPr="00431EB5">
        <w:rPr>
          <w:b/>
          <w:color w:val="1F3864" w:themeColor="accent1" w:themeShade="80"/>
        </w:rPr>
        <w:t xml:space="preserve">Response: </w:t>
      </w:r>
      <w:r w:rsidRPr="00431EB5">
        <w:rPr>
          <w:color w:val="1F3864" w:themeColor="accent1" w:themeShade="80"/>
        </w:rPr>
        <w:t>Manuscript changed accordingly.</w:t>
      </w:r>
    </w:p>
    <w:p w14:paraId="1FC8BCF7" w14:textId="77777777" w:rsidR="00F154FD" w:rsidRDefault="00F154FD" w:rsidP="000267DB">
      <w:pPr>
        <w:pStyle w:val="PlainText"/>
        <w:jc w:val="both"/>
        <w:rPr>
          <w:color w:val="1F3864" w:themeColor="accent1" w:themeShade="80"/>
        </w:rPr>
      </w:pPr>
    </w:p>
    <w:p w14:paraId="217510A5" w14:textId="4E70B70D" w:rsidR="00F154FD" w:rsidRDefault="00F154FD" w:rsidP="005D5BFA">
      <w:pPr>
        <w:pStyle w:val="PlainText"/>
        <w:jc w:val="both"/>
      </w:pPr>
      <w:r>
        <w:rPr>
          <w:b/>
        </w:rPr>
        <w:t>Comment 8</w:t>
      </w:r>
      <w:r w:rsidRPr="00C41B7B">
        <w:rPr>
          <w:b/>
        </w:rPr>
        <w:t>:</w:t>
      </w:r>
      <w:r>
        <w:t xml:space="preserve"> The caveats of using epidemiological characterization of a population using data from 6 years ago should not be ignored. The authors make a good case for not overcomplicating the projection estimates, and simply using the</w:t>
      </w:r>
      <w:r w:rsidR="005D5BFA">
        <w:t xml:space="preserve"> </w:t>
      </w:r>
      <w:r>
        <w:t xml:space="preserve">2014 sample as if it was from a population characterized by the 2018 demographic parameters. To be clear, this was not my suggestion. What I suggest is adding a paragraph in the discussion on the trends of the comorbidities within </w:t>
      </w:r>
      <w:proofErr w:type="gramStart"/>
      <w:r>
        <w:t>this 6 years</w:t>
      </w:r>
      <w:proofErr w:type="gramEnd"/>
      <w:r>
        <w:t xml:space="preserve"> gap by using Official data on Causes of Death in Deaths by Diabetes, Cardiovascular Diseases, Cerebrovascular Diseases and Chronic Obstructive </w:t>
      </w:r>
      <w:proofErr w:type="spellStart"/>
      <w:r>
        <w:t>Pulmonar</w:t>
      </w:r>
      <w:proofErr w:type="spellEnd"/>
      <w:r>
        <w:t xml:space="preserve"> Diseases. The expected differences between the "evolution" of prevalence and death can also be highlight to the readers, and is very relevant.</w:t>
      </w:r>
    </w:p>
    <w:p w14:paraId="0CC07A47" w14:textId="77777777" w:rsidR="00F154FD" w:rsidRDefault="00F154FD" w:rsidP="00F154FD">
      <w:pPr>
        <w:pStyle w:val="PlainText"/>
        <w:jc w:val="both"/>
        <w:rPr>
          <w:b/>
          <w:color w:val="1F3864" w:themeColor="accent1" w:themeShade="80"/>
        </w:rPr>
      </w:pPr>
    </w:p>
    <w:p w14:paraId="6364A53F" w14:textId="208BE3A4" w:rsidR="005D5BFA" w:rsidRDefault="00F154FD" w:rsidP="00337D0B">
      <w:pPr>
        <w:pStyle w:val="PlainText"/>
        <w:jc w:val="both"/>
        <w:rPr>
          <w:color w:val="1F3864" w:themeColor="accent1" w:themeShade="80"/>
        </w:rPr>
      </w:pPr>
      <w:r w:rsidRPr="00431EB5">
        <w:rPr>
          <w:b/>
          <w:color w:val="1F3864" w:themeColor="accent1" w:themeShade="80"/>
        </w:rPr>
        <w:t xml:space="preserve">Response: </w:t>
      </w:r>
      <w:r w:rsidR="005D5BFA" w:rsidRPr="005D5BFA">
        <w:rPr>
          <w:color w:val="1F3864" w:themeColor="accent1" w:themeShade="80"/>
        </w:rPr>
        <w:t xml:space="preserve">We have </w:t>
      </w:r>
      <w:r w:rsidRPr="00431EB5">
        <w:rPr>
          <w:color w:val="1F3864" w:themeColor="accent1" w:themeShade="80"/>
        </w:rPr>
        <w:t xml:space="preserve">changed </w:t>
      </w:r>
      <w:r w:rsidR="005D5BFA">
        <w:rPr>
          <w:color w:val="1F3864" w:themeColor="accent1" w:themeShade="80"/>
        </w:rPr>
        <w:t xml:space="preserve">the manuscript by adding to the Limitations section the following sentence, which highlights </w:t>
      </w:r>
      <w:r w:rsidR="00337D0B">
        <w:rPr>
          <w:color w:val="1F3864" w:themeColor="accent1" w:themeShade="80"/>
        </w:rPr>
        <w:t xml:space="preserve">how likely the </w:t>
      </w:r>
      <w:r w:rsidR="005D5BFA">
        <w:rPr>
          <w:color w:val="1F3864" w:themeColor="accent1" w:themeShade="80"/>
        </w:rPr>
        <w:t xml:space="preserve">prevalence </w:t>
      </w:r>
      <w:r w:rsidR="00337D0B">
        <w:rPr>
          <w:color w:val="1F3864" w:themeColor="accent1" w:themeShade="80"/>
        </w:rPr>
        <w:t xml:space="preserve">must </w:t>
      </w:r>
      <w:r w:rsidR="005D5BFA">
        <w:rPr>
          <w:color w:val="1F3864" w:themeColor="accent1" w:themeShade="80"/>
        </w:rPr>
        <w:t xml:space="preserve">have increased during this time gap: </w:t>
      </w:r>
    </w:p>
    <w:p w14:paraId="0054A2FD" w14:textId="3FD9C98E" w:rsidR="00617376" w:rsidRDefault="00337D0B" w:rsidP="00337D0B">
      <w:pPr>
        <w:spacing w:beforeLines="60" w:before="144" w:afterLines="160" w:after="384" w:line="240" w:lineRule="auto"/>
        <w:jc w:val="both"/>
        <w:rPr>
          <w:rFonts w:ascii="Arial" w:eastAsia="Times New Roman" w:hAnsi="Arial"/>
          <w:color w:val="1F3864" w:themeColor="accent1" w:themeShade="80"/>
          <w:sz w:val="20"/>
          <w:szCs w:val="21"/>
        </w:rPr>
      </w:pPr>
      <w:r>
        <w:rPr>
          <w:rFonts w:ascii="Arial" w:eastAsia="Times New Roman" w:hAnsi="Arial"/>
          <w:color w:val="1F3864" w:themeColor="accent1" w:themeShade="80"/>
          <w:sz w:val="20"/>
          <w:szCs w:val="21"/>
        </w:rPr>
        <w:t>“</w:t>
      </w:r>
      <w:r w:rsidRPr="00337D0B">
        <w:rPr>
          <w:rFonts w:ascii="Arial" w:eastAsia="Times New Roman" w:hAnsi="Arial"/>
          <w:color w:val="1F3864" w:themeColor="accent1" w:themeShade="80"/>
          <w:sz w:val="20"/>
          <w:szCs w:val="21"/>
        </w:rPr>
        <w:t xml:space="preserve">Thirdly, the INS included only noninstitutionalized adults and is from 2014, which likely leads to underestimation of results. Prevalence of the analyzed chronic diseases must have increased in the meanwhile (for instance, </w:t>
      </w:r>
      <w:proofErr w:type="spellStart"/>
      <w:r w:rsidRPr="00337D0B">
        <w:rPr>
          <w:rFonts w:ascii="Arial" w:eastAsia="Times New Roman" w:hAnsi="Arial"/>
          <w:color w:val="1F3864" w:themeColor="accent1" w:themeShade="80"/>
          <w:sz w:val="20"/>
          <w:szCs w:val="21"/>
        </w:rPr>
        <w:t>Laires</w:t>
      </w:r>
      <w:proofErr w:type="spellEnd"/>
      <w:r w:rsidRPr="00337D0B">
        <w:rPr>
          <w:rFonts w:ascii="Arial" w:eastAsia="Times New Roman" w:hAnsi="Arial"/>
          <w:color w:val="1F3864" w:themeColor="accent1" w:themeShade="80"/>
          <w:sz w:val="20"/>
          <w:szCs w:val="21"/>
        </w:rPr>
        <w:t xml:space="preserve"> PA et al. estimated a 3.1% growth in the projected prevalence of multimorbidity between 2014 and 2020 in Portugal).</w:t>
      </w:r>
      <w:r>
        <w:rPr>
          <w:rFonts w:ascii="Arial" w:eastAsia="Times New Roman" w:hAnsi="Arial"/>
          <w:color w:val="1F3864" w:themeColor="accent1" w:themeShade="80"/>
          <w:sz w:val="20"/>
          <w:szCs w:val="21"/>
        </w:rPr>
        <w:t>”</w:t>
      </w:r>
    </w:p>
    <w:p w14:paraId="0A6B8E87" w14:textId="5228A5AF" w:rsidR="004C3EBF" w:rsidRPr="004A0E4F" w:rsidRDefault="004C3EBF" w:rsidP="004A0E4F">
      <w:pPr>
        <w:spacing w:beforeLines="60" w:before="144" w:afterLines="160" w:after="384" w:line="240" w:lineRule="auto"/>
        <w:jc w:val="both"/>
        <w:rPr>
          <w:rFonts w:ascii="Arial" w:eastAsia="Times New Roman" w:hAnsi="Arial"/>
          <w:sz w:val="20"/>
          <w:szCs w:val="21"/>
        </w:rPr>
      </w:pPr>
      <w:r>
        <w:rPr>
          <w:b/>
        </w:rPr>
        <w:t>Comment 9</w:t>
      </w:r>
      <w:r w:rsidRPr="00C41B7B">
        <w:rPr>
          <w:b/>
        </w:rPr>
        <w:t>:</w:t>
      </w:r>
      <w:r w:rsidR="004A0E4F" w:rsidRPr="004A0E4F">
        <w:t xml:space="preserve"> </w:t>
      </w:r>
      <w:r w:rsidR="004A0E4F" w:rsidRPr="004A0E4F">
        <w:rPr>
          <w:rFonts w:ascii="Arial" w:eastAsia="Times New Roman" w:hAnsi="Arial"/>
          <w:sz w:val="20"/>
          <w:szCs w:val="21"/>
        </w:rPr>
        <w:t>The comparison between the results of t</w:t>
      </w:r>
      <w:r w:rsidR="004A0E4F">
        <w:rPr>
          <w:rFonts w:ascii="Arial" w:eastAsia="Times New Roman" w:hAnsi="Arial"/>
          <w:sz w:val="20"/>
          <w:szCs w:val="21"/>
        </w:rPr>
        <w:t xml:space="preserve">he study and studies from other </w:t>
      </w:r>
      <w:r w:rsidR="004A0E4F" w:rsidRPr="004A0E4F">
        <w:rPr>
          <w:rFonts w:ascii="Arial" w:eastAsia="Times New Roman" w:hAnsi="Arial"/>
          <w:sz w:val="20"/>
          <w:szCs w:val="21"/>
        </w:rPr>
        <w:t>countries is important and should be available to the readers. Even with</w:t>
      </w:r>
      <w:r w:rsidR="004A0E4F">
        <w:rPr>
          <w:rFonts w:ascii="Arial" w:eastAsia="Times New Roman" w:hAnsi="Arial"/>
          <w:sz w:val="20"/>
          <w:szCs w:val="21"/>
        </w:rPr>
        <w:t xml:space="preserve"> </w:t>
      </w:r>
      <w:r w:rsidR="004A0E4F" w:rsidRPr="004A0E4F">
        <w:rPr>
          <w:rFonts w:ascii="Arial" w:eastAsia="Times New Roman" w:hAnsi="Arial"/>
          <w:sz w:val="20"/>
          <w:szCs w:val="21"/>
        </w:rPr>
        <w:t>different definitions of severe risk (or, actually, because of it), the</w:t>
      </w:r>
      <w:r w:rsidR="004A0E4F">
        <w:rPr>
          <w:rFonts w:ascii="Arial" w:eastAsia="Times New Roman" w:hAnsi="Arial"/>
          <w:sz w:val="20"/>
          <w:szCs w:val="21"/>
        </w:rPr>
        <w:t xml:space="preserve"> </w:t>
      </w:r>
      <w:r w:rsidR="004A0E4F" w:rsidRPr="004A0E4F">
        <w:rPr>
          <w:rFonts w:ascii="Arial" w:eastAsia="Times New Roman" w:hAnsi="Arial"/>
          <w:sz w:val="20"/>
          <w:szCs w:val="21"/>
        </w:rPr>
        <w:t xml:space="preserve">authors should compare their findings with the cited (Adams et al 2020 </w:t>
      </w:r>
      <w:proofErr w:type="spellStart"/>
      <w:r w:rsidR="004A0E4F" w:rsidRPr="004A0E4F">
        <w:rPr>
          <w:rFonts w:ascii="Arial" w:eastAsia="Times New Roman" w:hAnsi="Arial"/>
          <w:sz w:val="20"/>
          <w:szCs w:val="21"/>
        </w:rPr>
        <w:t>Emerg</w:t>
      </w:r>
      <w:proofErr w:type="spellEnd"/>
      <w:r w:rsidR="004A0E4F">
        <w:rPr>
          <w:rFonts w:ascii="Arial" w:eastAsia="Times New Roman" w:hAnsi="Arial"/>
          <w:sz w:val="20"/>
          <w:szCs w:val="21"/>
        </w:rPr>
        <w:t xml:space="preserve"> </w:t>
      </w:r>
      <w:r w:rsidR="004A0E4F" w:rsidRPr="004A0E4F">
        <w:rPr>
          <w:rFonts w:ascii="Arial" w:eastAsia="Times New Roman" w:hAnsi="Arial"/>
          <w:sz w:val="20"/>
          <w:szCs w:val="21"/>
        </w:rPr>
        <w:t>Infect Dis), which found 45.5% at increased risk in US. They should also</w:t>
      </w:r>
      <w:r w:rsidR="004A0E4F">
        <w:rPr>
          <w:rFonts w:ascii="Arial" w:eastAsia="Times New Roman" w:hAnsi="Arial"/>
          <w:sz w:val="20"/>
          <w:szCs w:val="21"/>
        </w:rPr>
        <w:t xml:space="preserve"> </w:t>
      </w:r>
      <w:r w:rsidR="004A0E4F" w:rsidRPr="004A0E4F">
        <w:rPr>
          <w:rFonts w:ascii="Arial" w:eastAsia="Times New Roman" w:hAnsi="Arial"/>
          <w:sz w:val="20"/>
          <w:szCs w:val="21"/>
        </w:rPr>
        <w:t>compare their results with (</w:t>
      </w:r>
      <w:proofErr w:type="spellStart"/>
      <w:r w:rsidR="004A0E4F" w:rsidRPr="004A0E4F">
        <w:rPr>
          <w:rFonts w:ascii="Arial" w:eastAsia="Times New Roman" w:hAnsi="Arial"/>
          <w:sz w:val="20"/>
          <w:szCs w:val="21"/>
        </w:rPr>
        <w:t>Kome</w:t>
      </w:r>
      <w:proofErr w:type="spellEnd"/>
      <w:r w:rsidR="004A0E4F" w:rsidRPr="004A0E4F">
        <w:rPr>
          <w:rFonts w:ascii="Arial" w:eastAsia="Times New Roman" w:hAnsi="Arial"/>
          <w:sz w:val="20"/>
          <w:szCs w:val="21"/>
        </w:rPr>
        <w:t xml:space="preserve"> et al 2020 KFF), cited by Adams. (Jordan</w:t>
      </w:r>
      <w:r w:rsidR="004A0E4F">
        <w:rPr>
          <w:rFonts w:ascii="Arial" w:eastAsia="Times New Roman" w:hAnsi="Arial"/>
          <w:sz w:val="20"/>
          <w:szCs w:val="21"/>
        </w:rPr>
        <w:t xml:space="preserve"> </w:t>
      </w:r>
      <w:r w:rsidR="004A0E4F" w:rsidRPr="004A0E4F">
        <w:rPr>
          <w:rFonts w:ascii="Arial" w:eastAsia="Times New Roman" w:hAnsi="Arial"/>
          <w:sz w:val="20"/>
          <w:szCs w:val="21"/>
        </w:rPr>
        <w:t>and Chang 2020 KFF) and (</w:t>
      </w:r>
      <w:proofErr w:type="spellStart"/>
      <w:r w:rsidR="004A0E4F" w:rsidRPr="004A0E4F">
        <w:rPr>
          <w:rFonts w:ascii="Arial" w:eastAsia="Times New Roman" w:hAnsi="Arial"/>
          <w:sz w:val="20"/>
          <w:szCs w:val="21"/>
        </w:rPr>
        <w:t>Banerge</w:t>
      </w:r>
      <w:proofErr w:type="spellEnd"/>
      <w:r w:rsidR="004A0E4F" w:rsidRPr="004A0E4F">
        <w:rPr>
          <w:rFonts w:ascii="Arial" w:eastAsia="Times New Roman" w:hAnsi="Arial"/>
          <w:sz w:val="20"/>
          <w:szCs w:val="21"/>
        </w:rPr>
        <w:t xml:space="preserve"> et al 2020 Lancet) also estimated the</w:t>
      </w:r>
      <w:r w:rsidR="004A0E4F">
        <w:rPr>
          <w:rFonts w:ascii="Arial" w:eastAsia="Times New Roman" w:hAnsi="Arial"/>
          <w:sz w:val="20"/>
          <w:szCs w:val="21"/>
        </w:rPr>
        <w:t xml:space="preserve"> </w:t>
      </w:r>
      <w:r w:rsidR="004A0E4F" w:rsidRPr="004A0E4F">
        <w:rPr>
          <w:rFonts w:ascii="Arial" w:eastAsia="Times New Roman" w:hAnsi="Arial"/>
          <w:sz w:val="20"/>
          <w:szCs w:val="21"/>
        </w:rPr>
        <w:t>proportion at severe risk in UK, and their results should be discussed.</w:t>
      </w:r>
      <w:r w:rsidR="004A0E4F">
        <w:rPr>
          <w:rFonts w:ascii="Arial" w:eastAsia="Times New Roman" w:hAnsi="Arial"/>
          <w:sz w:val="20"/>
          <w:szCs w:val="21"/>
        </w:rPr>
        <w:t xml:space="preserve"> </w:t>
      </w:r>
      <w:r w:rsidR="004A0E4F" w:rsidRPr="004A0E4F">
        <w:rPr>
          <w:rFonts w:ascii="Arial" w:eastAsia="Times New Roman" w:hAnsi="Arial"/>
          <w:sz w:val="20"/>
          <w:szCs w:val="21"/>
        </w:rPr>
        <w:t>Other studies from important EU countries (e.g. Italy, Spain, France or</w:t>
      </w:r>
      <w:r w:rsidR="004A0E4F">
        <w:rPr>
          <w:rFonts w:ascii="Arial" w:eastAsia="Times New Roman" w:hAnsi="Arial"/>
          <w:sz w:val="20"/>
          <w:szCs w:val="21"/>
        </w:rPr>
        <w:t xml:space="preserve"> </w:t>
      </w:r>
      <w:r w:rsidR="004A0E4F" w:rsidRPr="004A0E4F">
        <w:rPr>
          <w:rFonts w:ascii="Arial" w:eastAsia="Times New Roman" w:hAnsi="Arial"/>
          <w:sz w:val="20"/>
          <w:szCs w:val="21"/>
        </w:rPr>
        <w:t>Germany) may have been missed by the authors and should be looked into.</w:t>
      </w:r>
    </w:p>
    <w:p w14:paraId="2663CCE4" w14:textId="77777777" w:rsidR="004A0E4F" w:rsidRDefault="004A0E4F" w:rsidP="004A0E4F">
      <w:pPr>
        <w:pStyle w:val="PlainText"/>
        <w:jc w:val="both"/>
        <w:rPr>
          <w:b/>
          <w:color w:val="1F3864" w:themeColor="accent1" w:themeShade="80"/>
        </w:rPr>
      </w:pPr>
    </w:p>
    <w:p w14:paraId="5DB814AD" w14:textId="77777777" w:rsidR="004A0E4F" w:rsidRDefault="004A0E4F" w:rsidP="004A0E4F">
      <w:pPr>
        <w:pStyle w:val="PlainText"/>
        <w:jc w:val="both"/>
        <w:rPr>
          <w:color w:val="1F3864" w:themeColor="accent1" w:themeShade="80"/>
        </w:rPr>
      </w:pPr>
      <w:r w:rsidRPr="006618CD">
        <w:rPr>
          <w:b/>
          <w:color w:val="1F3864" w:themeColor="accent1" w:themeShade="80"/>
        </w:rPr>
        <w:t xml:space="preserve">Response: </w:t>
      </w:r>
      <w:r w:rsidRPr="006618CD">
        <w:rPr>
          <w:color w:val="1F3864" w:themeColor="accent1" w:themeShade="80"/>
        </w:rPr>
        <w:t>Manuscript changed accordingly.</w:t>
      </w:r>
    </w:p>
    <w:p w14:paraId="1C636896" w14:textId="77777777" w:rsidR="00F468BF" w:rsidRDefault="00F468BF" w:rsidP="00F468BF">
      <w:pPr>
        <w:pStyle w:val="PlainText"/>
        <w:jc w:val="both"/>
        <w:rPr>
          <w:b/>
        </w:rPr>
      </w:pPr>
    </w:p>
    <w:p w14:paraId="1E0D4A48" w14:textId="292F7334" w:rsidR="00F468BF" w:rsidRDefault="00F468BF" w:rsidP="00F468BF">
      <w:pPr>
        <w:pStyle w:val="PlainText"/>
        <w:jc w:val="both"/>
      </w:pPr>
      <w:r>
        <w:rPr>
          <w:b/>
        </w:rPr>
        <w:t>Comment 10</w:t>
      </w:r>
      <w:r w:rsidRPr="00C41B7B">
        <w:rPr>
          <w:b/>
        </w:rPr>
        <w:t>:</w:t>
      </w:r>
      <w:r w:rsidRPr="004A0E4F">
        <w:t xml:space="preserve"> </w:t>
      </w:r>
      <w:r>
        <w:t>When authors state that regions have "highest/lowest risk", they should state "highest/lowest proportion of high-risk population". Both terms should not be confused. A specific person in the North region does not have a highest risk for severe illness, rather there is a higher chance of find an individual at highest risk for severe illness in the North region.</w:t>
      </w:r>
    </w:p>
    <w:p w14:paraId="7BDCCACB" w14:textId="77777777" w:rsidR="00F468BF" w:rsidRDefault="00F468BF" w:rsidP="00F468BF">
      <w:pPr>
        <w:pStyle w:val="PlainText"/>
        <w:jc w:val="both"/>
        <w:rPr>
          <w:b/>
          <w:color w:val="1F3864" w:themeColor="accent1" w:themeShade="80"/>
          <w:highlight w:val="yellow"/>
        </w:rPr>
      </w:pPr>
    </w:p>
    <w:p w14:paraId="14E445BD" w14:textId="0FEE0FAC" w:rsidR="00F468BF" w:rsidRDefault="00F468BF" w:rsidP="00F468BF">
      <w:pPr>
        <w:pStyle w:val="PlainText"/>
        <w:jc w:val="both"/>
        <w:rPr>
          <w:color w:val="1F3864" w:themeColor="accent1" w:themeShade="80"/>
        </w:rPr>
      </w:pPr>
      <w:r w:rsidRPr="00F468BF">
        <w:rPr>
          <w:b/>
          <w:color w:val="1F3864" w:themeColor="accent1" w:themeShade="80"/>
        </w:rPr>
        <w:t xml:space="preserve">Response: </w:t>
      </w:r>
      <w:r w:rsidR="00C46914">
        <w:rPr>
          <w:color w:val="1F3864" w:themeColor="accent1" w:themeShade="80"/>
        </w:rPr>
        <w:t>We clarified this point and changed the manuscript accordingly.</w:t>
      </w:r>
    </w:p>
    <w:p w14:paraId="3ADBFA99" w14:textId="77777777" w:rsidR="00C46914" w:rsidRDefault="00C46914" w:rsidP="00F468BF">
      <w:pPr>
        <w:pStyle w:val="PlainText"/>
        <w:jc w:val="both"/>
        <w:rPr>
          <w:color w:val="1F3864" w:themeColor="accent1" w:themeShade="80"/>
        </w:rPr>
      </w:pPr>
    </w:p>
    <w:p w14:paraId="0F2273C9" w14:textId="4E01B77B" w:rsidR="00DF322A" w:rsidRDefault="00C46914" w:rsidP="00DF322A">
      <w:pPr>
        <w:pStyle w:val="PlainText"/>
        <w:jc w:val="both"/>
      </w:pPr>
      <w:r>
        <w:rPr>
          <w:b/>
        </w:rPr>
        <w:t>Comment 11</w:t>
      </w:r>
      <w:r w:rsidRPr="00C41B7B">
        <w:rPr>
          <w:b/>
        </w:rPr>
        <w:t>:</w:t>
      </w:r>
      <w:r w:rsidRPr="004A0E4F">
        <w:t xml:space="preserve"> </w:t>
      </w:r>
      <w:r w:rsidR="00DF322A">
        <w:t xml:space="preserve">Regarding the differences found between genders, I am happy with the changes. But I suggest citing (Sama et al 2020 Eur </w:t>
      </w:r>
      <w:proofErr w:type="spellStart"/>
      <w:r w:rsidR="00DF322A">
        <w:t>HeartJ</w:t>
      </w:r>
      <w:proofErr w:type="spellEnd"/>
      <w:r w:rsidR="00DF322A">
        <w:t>) on the concentrations of ACE2 in men and women, because further research on gender is indeed available.</w:t>
      </w:r>
    </w:p>
    <w:p w14:paraId="40668840" w14:textId="14E42314" w:rsidR="00C46914" w:rsidRDefault="00C46914" w:rsidP="00C46914">
      <w:pPr>
        <w:pStyle w:val="PlainText"/>
        <w:jc w:val="both"/>
      </w:pPr>
    </w:p>
    <w:p w14:paraId="03280A8C" w14:textId="1A5E3427" w:rsidR="00C46914" w:rsidRDefault="00C46914" w:rsidP="00C46914">
      <w:pPr>
        <w:pStyle w:val="PlainText"/>
        <w:jc w:val="both"/>
        <w:rPr>
          <w:color w:val="1F3864" w:themeColor="accent1" w:themeShade="80"/>
        </w:rPr>
      </w:pPr>
      <w:r w:rsidRPr="00F468BF">
        <w:rPr>
          <w:b/>
          <w:color w:val="1F3864" w:themeColor="accent1" w:themeShade="80"/>
        </w:rPr>
        <w:t xml:space="preserve">Response: </w:t>
      </w:r>
      <w:r>
        <w:rPr>
          <w:color w:val="1F3864" w:themeColor="accent1" w:themeShade="80"/>
        </w:rPr>
        <w:t xml:space="preserve">We </w:t>
      </w:r>
      <w:r w:rsidR="00DF322A">
        <w:rPr>
          <w:color w:val="1F3864" w:themeColor="accent1" w:themeShade="80"/>
        </w:rPr>
        <w:t>added t</w:t>
      </w:r>
      <w:r w:rsidR="007E67A0">
        <w:rPr>
          <w:color w:val="1F3864" w:themeColor="accent1" w:themeShade="80"/>
        </w:rPr>
        <w:t>his reference in the manuscript and changed the manuscript accordingly.</w:t>
      </w:r>
    </w:p>
    <w:p w14:paraId="32294EB0" w14:textId="77777777" w:rsidR="00C46914" w:rsidRDefault="00C46914" w:rsidP="00C46914">
      <w:pPr>
        <w:pStyle w:val="PlainText"/>
        <w:jc w:val="both"/>
        <w:rPr>
          <w:color w:val="1F3864" w:themeColor="accent1" w:themeShade="80"/>
        </w:rPr>
      </w:pPr>
    </w:p>
    <w:p w14:paraId="4FFA07C1" w14:textId="49F80146" w:rsidR="00AC2DC8" w:rsidRDefault="00AC2DC8" w:rsidP="00AC2DC8">
      <w:pPr>
        <w:pStyle w:val="PlainText"/>
      </w:pPr>
      <w:r>
        <w:rPr>
          <w:b/>
        </w:rPr>
        <w:t>Comment 12</w:t>
      </w:r>
      <w:r w:rsidRPr="00C41B7B">
        <w:rPr>
          <w:b/>
        </w:rPr>
        <w:t>:</w:t>
      </w:r>
      <w:r w:rsidRPr="004A0E4F">
        <w:t xml:space="preserve"> </w:t>
      </w:r>
      <w:r>
        <w:t xml:space="preserve">Statements regarding the start of the epidemic in the North should be avoided. On the 3rd March there were 2 cases in Norte, 1 in Centro and 1 in </w:t>
      </w:r>
      <w:proofErr w:type="spellStart"/>
      <w:r>
        <w:t>Lisboa</w:t>
      </w:r>
      <w:proofErr w:type="spellEnd"/>
      <w:r>
        <w:t xml:space="preserve"> e Vale do </w:t>
      </w:r>
      <w:proofErr w:type="spellStart"/>
      <w:r>
        <w:t>Tejo</w:t>
      </w:r>
      <w:proofErr w:type="spellEnd"/>
      <w:r>
        <w:t>. Furthermore, many countries are finding evidences of covid-19 cases before early reports. Stating "larger initial outbreak in Norte" is more reasonable.</w:t>
      </w:r>
    </w:p>
    <w:p w14:paraId="51685933" w14:textId="77777777" w:rsidR="00AC2DC8" w:rsidRDefault="00AC2DC8" w:rsidP="00AC2DC8">
      <w:pPr>
        <w:pStyle w:val="PlainText"/>
        <w:jc w:val="both"/>
        <w:rPr>
          <w:b/>
          <w:color w:val="1F3864" w:themeColor="accent1" w:themeShade="80"/>
        </w:rPr>
      </w:pPr>
    </w:p>
    <w:p w14:paraId="4B7AE5FB" w14:textId="44D59956" w:rsidR="00AC2DC8" w:rsidRDefault="00AC2DC8" w:rsidP="00AC2DC8">
      <w:pPr>
        <w:pStyle w:val="PlainText"/>
        <w:jc w:val="both"/>
        <w:rPr>
          <w:color w:val="1F3864" w:themeColor="accent1" w:themeShade="80"/>
        </w:rPr>
      </w:pPr>
      <w:r w:rsidRPr="00AC2DC8">
        <w:rPr>
          <w:b/>
          <w:color w:val="1F3864" w:themeColor="accent1" w:themeShade="80"/>
        </w:rPr>
        <w:t xml:space="preserve">Response: </w:t>
      </w:r>
      <w:r w:rsidRPr="00AC2DC8">
        <w:rPr>
          <w:color w:val="1F3864" w:themeColor="accent1" w:themeShade="80"/>
        </w:rPr>
        <w:t>Manuscript changed accordingly.</w:t>
      </w:r>
    </w:p>
    <w:p w14:paraId="46A6DE3B" w14:textId="77777777" w:rsidR="00AC2DC8" w:rsidRDefault="00AC2DC8" w:rsidP="00AC2DC8">
      <w:pPr>
        <w:pStyle w:val="PlainText"/>
        <w:rPr>
          <w:b/>
        </w:rPr>
      </w:pPr>
    </w:p>
    <w:p w14:paraId="1820C0FF" w14:textId="03CF0C6C" w:rsidR="00AC2DC8" w:rsidRDefault="00AC2DC8" w:rsidP="00AC2DC8">
      <w:pPr>
        <w:pStyle w:val="PlainText"/>
      </w:pPr>
      <w:r>
        <w:rPr>
          <w:b/>
        </w:rPr>
        <w:t>Comment 13</w:t>
      </w:r>
      <w:r w:rsidRPr="00C41B7B">
        <w:rPr>
          <w:b/>
        </w:rPr>
        <w:t>:</w:t>
      </w:r>
      <w:r w:rsidRPr="004A0E4F">
        <w:t xml:space="preserve"> </w:t>
      </w:r>
      <w:r>
        <w:t>In the limitations section, the authors should consider referring the potentially outdated data on the comorbidities.</w:t>
      </w:r>
    </w:p>
    <w:p w14:paraId="7105A209" w14:textId="77777777" w:rsidR="00AC2DC8" w:rsidRDefault="00AC2DC8" w:rsidP="00AC2DC8">
      <w:pPr>
        <w:pStyle w:val="PlainText"/>
        <w:jc w:val="both"/>
        <w:rPr>
          <w:b/>
          <w:color w:val="1F3864" w:themeColor="accent1" w:themeShade="80"/>
        </w:rPr>
      </w:pPr>
    </w:p>
    <w:p w14:paraId="002635CD" w14:textId="12576526" w:rsidR="00AC2DC8" w:rsidRDefault="00AC2DC8" w:rsidP="00AC2DC8">
      <w:pPr>
        <w:pStyle w:val="PlainText"/>
        <w:jc w:val="both"/>
        <w:rPr>
          <w:color w:val="1F3864" w:themeColor="accent1" w:themeShade="80"/>
        </w:rPr>
      </w:pPr>
      <w:r w:rsidRPr="00AC2DC8">
        <w:rPr>
          <w:b/>
          <w:color w:val="1F3864" w:themeColor="accent1" w:themeShade="80"/>
        </w:rPr>
        <w:t xml:space="preserve">Response: </w:t>
      </w:r>
      <w:r>
        <w:rPr>
          <w:color w:val="1F3864" w:themeColor="accent1" w:themeShade="80"/>
        </w:rPr>
        <w:t xml:space="preserve">We believe this is already covered, when highlighting the date from the INS (2014) and due limitation. </w:t>
      </w:r>
    </w:p>
    <w:p w14:paraId="3277835E" w14:textId="77777777" w:rsidR="002C784F" w:rsidRDefault="002C784F" w:rsidP="002C784F">
      <w:pPr>
        <w:pStyle w:val="PlainText"/>
        <w:rPr>
          <w:b/>
        </w:rPr>
      </w:pPr>
    </w:p>
    <w:p w14:paraId="3F13F7A5" w14:textId="3885942C" w:rsidR="002C784F" w:rsidRDefault="002C784F" w:rsidP="002C784F">
      <w:pPr>
        <w:pStyle w:val="PlainText"/>
        <w:jc w:val="both"/>
      </w:pPr>
      <w:r>
        <w:rPr>
          <w:b/>
        </w:rPr>
        <w:t>Comment 14</w:t>
      </w:r>
      <w:r w:rsidRPr="00C41B7B">
        <w:rPr>
          <w:b/>
        </w:rPr>
        <w:t>:</w:t>
      </w:r>
      <w:r w:rsidRPr="004A0E4F">
        <w:t xml:space="preserve"> </w:t>
      </w:r>
      <w:r>
        <w:t>A section on the strengths of the study following the limitations section reads awkwardly. Perhaps, this could be stated in the last paragraph of the introduction or in the methodology. However, I discord with the statement saying that the comorbidities adopted are the ones where available evidence exists. The authors chose comorbidities from a meta-analysis using Chinese epidemiology, which is fine. But I challenge the fact that these are all the comorbidities with available evidence. In fact, the authors cite a study by CDC's Covid-19 Response Team which shows evidences for increased proportion of ICU admissions (compared to non-hospitalized) in "Immunocompromised condition", "Chronic renal disease" and "other chronic disease", "Neurologic disorder" and "Former smokers". Furthermore, other studies show evidences, for example, of "morbid obesity" as a comorbidity (Lighter et al 2020 Clin Infect Dis).</w:t>
      </w:r>
    </w:p>
    <w:p w14:paraId="7C1053F2" w14:textId="77777777" w:rsidR="002C784F" w:rsidRDefault="002C784F" w:rsidP="002C784F">
      <w:pPr>
        <w:pStyle w:val="PlainText"/>
        <w:jc w:val="both"/>
        <w:rPr>
          <w:b/>
          <w:color w:val="1F3864" w:themeColor="accent1" w:themeShade="80"/>
        </w:rPr>
      </w:pPr>
    </w:p>
    <w:p w14:paraId="261743A2" w14:textId="5240E5EE" w:rsidR="004A0E4F" w:rsidRDefault="002C784F" w:rsidP="000D2FD0">
      <w:pPr>
        <w:pStyle w:val="PlainText"/>
        <w:jc w:val="both"/>
        <w:rPr>
          <w:color w:val="1F3864" w:themeColor="accent1" w:themeShade="80"/>
        </w:rPr>
      </w:pPr>
      <w:r w:rsidRPr="00AC2DC8">
        <w:rPr>
          <w:b/>
          <w:color w:val="1F3864" w:themeColor="accent1" w:themeShade="80"/>
        </w:rPr>
        <w:t xml:space="preserve">Response: </w:t>
      </w:r>
      <w:r w:rsidR="000D2FD0" w:rsidRPr="00AC2DC8">
        <w:rPr>
          <w:color w:val="1F3864" w:themeColor="accent1" w:themeShade="80"/>
        </w:rPr>
        <w:t>Manuscript changed accordingly.</w:t>
      </w:r>
    </w:p>
    <w:p w14:paraId="37DC46A7" w14:textId="77777777" w:rsidR="000D2FD0" w:rsidRDefault="000D2FD0" w:rsidP="000D2FD0">
      <w:pPr>
        <w:pStyle w:val="PlainText"/>
        <w:rPr>
          <w:b/>
        </w:rPr>
      </w:pPr>
    </w:p>
    <w:p w14:paraId="782D9BB9" w14:textId="77777777" w:rsidR="000D2FD0" w:rsidRDefault="000D2FD0" w:rsidP="000D2FD0">
      <w:pPr>
        <w:pStyle w:val="PlainText"/>
        <w:rPr>
          <w:b/>
          <w:sz w:val="24"/>
        </w:rPr>
      </w:pPr>
    </w:p>
    <w:p w14:paraId="1CA61205" w14:textId="12838C3E" w:rsidR="000D2FD0" w:rsidRPr="00431EB5" w:rsidRDefault="000D2FD0" w:rsidP="000D2FD0">
      <w:pPr>
        <w:pStyle w:val="PlainText"/>
        <w:rPr>
          <w:b/>
          <w:sz w:val="24"/>
        </w:rPr>
      </w:pPr>
      <w:r>
        <w:rPr>
          <w:b/>
          <w:sz w:val="24"/>
        </w:rPr>
        <w:t>Reviewer 2</w:t>
      </w:r>
    </w:p>
    <w:p w14:paraId="137BF348" w14:textId="77777777" w:rsidR="000D2FD0" w:rsidRPr="000D2FD0" w:rsidRDefault="000D2FD0" w:rsidP="000D2FD0">
      <w:pPr>
        <w:pStyle w:val="PlainText"/>
        <w:jc w:val="both"/>
        <w:rPr>
          <w:b/>
        </w:rPr>
      </w:pPr>
    </w:p>
    <w:p w14:paraId="0C41BD86" w14:textId="3B14B283" w:rsidR="000D2FD0" w:rsidRDefault="000D2FD0" w:rsidP="000D2FD0">
      <w:pPr>
        <w:pStyle w:val="PlainText"/>
        <w:jc w:val="both"/>
      </w:pPr>
      <w:r>
        <w:rPr>
          <w:b/>
        </w:rPr>
        <w:t>Comment 1</w:t>
      </w:r>
      <w:r w:rsidRPr="00C41B7B">
        <w:rPr>
          <w:b/>
        </w:rPr>
        <w:t>:</w:t>
      </w:r>
      <w:r w:rsidRPr="004A0E4F">
        <w:t xml:space="preserve"> </w:t>
      </w:r>
      <w:r>
        <w:t>Bar</w:t>
      </w:r>
      <w:r w:rsidRPr="000D2FD0">
        <w:t xml:space="preserve">/line chart can be improved for better </w:t>
      </w:r>
      <w:r>
        <w:t xml:space="preserve">understanding. For this kind of </w:t>
      </w:r>
      <w:r w:rsidRPr="000D2FD0">
        <w:t>data lines are not advised.</w:t>
      </w:r>
    </w:p>
    <w:p w14:paraId="24110CA1" w14:textId="77777777" w:rsidR="00D152BD" w:rsidRDefault="00D152BD" w:rsidP="000D2FD0">
      <w:pPr>
        <w:pStyle w:val="PlainText"/>
        <w:jc w:val="both"/>
      </w:pPr>
    </w:p>
    <w:p w14:paraId="47B7CC20" w14:textId="77777777" w:rsidR="00D152BD" w:rsidRDefault="000D2FD0" w:rsidP="000D2FD0">
      <w:pPr>
        <w:pStyle w:val="PlainText"/>
        <w:jc w:val="both"/>
        <w:rPr>
          <w:color w:val="1F3864" w:themeColor="accent1" w:themeShade="80"/>
        </w:rPr>
      </w:pPr>
      <w:r w:rsidRPr="00AC2DC8">
        <w:rPr>
          <w:b/>
          <w:color w:val="1F3864" w:themeColor="accent1" w:themeShade="80"/>
        </w:rPr>
        <w:t xml:space="preserve">Response: </w:t>
      </w:r>
      <w:r w:rsidR="00D152BD" w:rsidRPr="00AC2DC8">
        <w:rPr>
          <w:color w:val="1F3864" w:themeColor="accent1" w:themeShade="80"/>
        </w:rPr>
        <w:t>Manuscript changed accordingly.</w:t>
      </w:r>
    </w:p>
    <w:p w14:paraId="51108563" w14:textId="79DDA960" w:rsidR="000D2FD0" w:rsidRPr="000D2FD0" w:rsidRDefault="000D2FD0" w:rsidP="000D2FD0">
      <w:pPr>
        <w:pStyle w:val="PlainText"/>
        <w:jc w:val="both"/>
        <w:rPr>
          <w:b/>
        </w:rPr>
      </w:pPr>
      <w:r>
        <w:rPr>
          <w:color w:val="1F3864" w:themeColor="accent1" w:themeShade="80"/>
        </w:rPr>
        <w:t xml:space="preserve">  </w:t>
      </w:r>
    </w:p>
    <w:p w14:paraId="22639BC3" w14:textId="27A46BF4" w:rsidR="000D2FD0" w:rsidRDefault="00D152BD" w:rsidP="000D2FD0">
      <w:pPr>
        <w:pStyle w:val="PlainText"/>
        <w:jc w:val="both"/>
      </w:pPr>
      <w:r>
        <w:rPr>
          <w:b/>
        </w:rPr>
        <w:t xml:space="preserve">Comment </w:t>
      </w:r>
      <w:r w:rsidR="00F72499">
        <w:rPr>
          <w:b/>
        </w:rPr>
        <w:t>2</w:t>
      </w:r>
      <w:r w:rsidRPr="00C41B7B">
        <w:rPr>
          <w:b/>
        </w:rPr>
        <w:t>:</w:t>
      </w:r>
      <w:r w:rsidRPr="004A0E4F">
        <w:t xml:space="preserve"> </w:t>
      </w:r>
      <w:r w:rsidR="000D2FD0" w:rsidRPr="00D152BD">
        <w:t>Too many categories for a pie chart. Data is hard to be visualized for</w:t>
      </w:r>
      <w:r>
        <w:t xml:space="preserve"> </w:t>
      </w:r>
      <w:r w:rsidR="000D2FD0" w:rsidRPr="00D152BD">
        <w:t>smaller categories.</w:t>
      </w:r>
    </w:p>
    <w:p w14:paraId="1B2CA85E" w14:textId="77777777" w:rsidR="00D152BD" w:rsidRDefault="00D152BD" w:rsidP="00D152BD">
      <w:pPr>
        <w:pStyle w:val="PlainText"/>
        <w:jc w:val="both"/>
      </w:pPr>
    </w:p>
    <w:p w14:paraId="1B43E1D0" w14:textId="6DCB41BD" w:rsidR="00D152BD" w:rsidRDefault="00D152BD" w:rsidP="00D152BD">
      <w:pPr>
        <w:pStyle w:val="PlainText"/>
        <w:jc w:val="both"/>
        <w:rPr>
          <w:color w:val="1F3864" w:themeColor="accent1" w:themeShade="80"/>
        </w:rPr>
      </w:pPr>
      <w:r w:rsidRPr="00AC2DC8">
        <w:rPr>
          <w:b/>
          <w:color w:val="1F3864" w:themeColor="accent1" w:themeShade="80"/>
        </w:rPr>
        <w:t xml:space="preserve">Response: </w:t>
      </w:r>
      <w:r>
        <w:rPr>
          <w:color w:val="1F3864" w:themeColor="accent1" w:themeShade="80"/>
        </w:rPr>
        <w:t xml:space="preserve">We respectfully disagree with the reviewer’s comment since we consider the pie chart to be appropriate (not too many categories and easy to understand), but we leave the final decision to the editor. We may change it to a bar type graph. </w:t>
      </w:r>
    </w:p>
    <w:p w14:paraId="625B4821" w14:textId="77777777" w:rsidR="000D2FD0" w:rsidRPr="000D2FD0" w:rsidRDefault="000D2FD0" w:rsidP="000D2FD0">
      <w:pPr>
        <w:pStyle w:val="PlainText"/>
        <w:jc w:val="both"/>
        <w:rPr>
          <w:b/>
        </w:rPr>
      </w:pPr>
    </w:p>
    <w:p w14:paraId="5A246E2D" w14:textId="1DA458C0" w:rsidR="00914F6E" w:rsidRDefault="00914F6E" w:rsidP="00914F6E">
      <w:pPr>
        <w:pStyle w:val="PlainText"/>
        <w:jc w:val="both"/>
      </w:pPr>
      <w:r>
        <w:rPr>
          <w:b/>
        </w:rPr>
        <w:t>Comment 2</w:t>
      </w:r>
      <w:r w:rsidRPr="00C41B7B">
        <w:rPr>
          <w:b/>
        </w:rPr>
        <w:t>:</w:t>
      </w:r>
      <w:r w:rsidRPr="004A0E4F">
        <w:t xml:space="preserve"> </w:t>
      </w:r>
      <w:r>
        <w:t>Regional and sex data could be standardized, allowing a better comparison between regions - which has a dimension bias, as authors mentioned.</w:t>
      </w:r>
    </w:p>
    <w:p w14:paraId="6794C2D9" w14:textId="77777777" w:rsidR="00914F6E" w:rsidRDefault="00914F6E" w:rsidP="00914F6E">
      <w:pPr>
        <w:pStyle w:val="PlainText"/>
        <w:jc w:val="both"/>
        <w:rPr>
          <w:b/>
          <w:color w:val="1F3864" w:themeColor="accent1" w:themeShade="80"/>
        </w:rPr>
      </w:pPr>
    </w:p>
    <w:p w14:paraId="3DBE13EE" w14:textId="60304B9D" w:rsidR="00D152BD" w:rsidRPr="004A0E4F" w:rsidRDefault="00914F6E" w:rsidP="000D2FD0">
      <w:pPr>
        <w:pStyle w:val="PlainText"/>
        <w:jc w:val="both"/>
      </w:pPr>
      <w:r w:rsidRPr="00AC2DC8">
        <w:rPr>
          <w:b/>
          <w:color w:val="1F3864" w:themeColor="accent1" w:themeShade="80"/>
        </w:rPr>
        <w:t xml:space="preserve">Response: </w:t>
      </w:r>
      <w:r w:rsidRPr="00914F6E">
        <w:rPr>
          <w:bCs/>
          <w:color w:val="1F3864" w:themeColor="accent1" w:themeShade="80"/>
        </w:rPr>
        <w:t xml:space="preserve">We understand the reviewer’s suggestion, but </w:t>
      </w:r>
      <w:r>
        <w:rPr>
          <w:color w:val="1F3864" w:themeColor="accent1" w:themeShade="80"/>
        </w:rPr>
        <w:t xml:space="preserve">our approach required age- and sex-specific prevalence data in order to estimate the population at the highest risk. Therefore, we did not consider to be appropriate to use age and sex standardized prevalence estimates. Regarding comparisons across regions we actually explicitly wanted to compare the raw prevalence of underlying conditions and the population at highest risk.  </w:t>
      </w:r>
    </w:p>
    <w:sectPr w:rsidR="00D152BD" w:rsidRPr="004A0E4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C3288" w14:textId="77777777" w:rsidR="00D44084" w:rsidRDefault="00D44084" w:rsidP="00BA0E3E">
      <w:pPr>
        <w:spacing w:after="0" w:line="240" w:lineRule="auto"/>
      </w:pPr>
      <w:r>
        <w:separator/>
      </w:r>
    </w:p>
  </w:endnote>
  <w:endnote w:type="continuationSeparator" w:id="0">
    <w:p w14:paraId="77B1BD96" w14:textId="77777777" w:rsidR="00D44084" w:rsidRDefault="00D44084" w:rsidP="00BA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4D6CC" w14:textId="77777777" w:rsidR="00D44084" w:rsidRDefault="00D44084" w:rsidP="00BA0E3E">
      <w:pPr>
        <w:spacing w:after="0" w:line="240" w:lineRule="auto"/>
      </w:pPr>
      <w:r>
        <w:separator/>
      </w:r>
    </w:p>
  </w:footnote>
  <w:footnote w:type="continuationSeparator" w:id="0">
    <w:p w14:paraId="7E945A05" w14:textId="77777777" w:rsidR="00D44084" w:rsidRDefault="00D44084" w:rsidP="00BA0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To Do" style="width:3in;height:3in;visibility:visible;mso-wrap-style:square" o:bullet="t">
        <v:imagedata r:id="rId1" o:title="To Do"/>
      </v:shape>
    </w:pict>
  </w:numPicBullet>
  <w:abstractNum w:abstractNumId="0" w15:restartNumberingAfterBreak="0">
    <w:nsid w:val="01B10E2D"/>
    <w:multiLevelType w:val="hybridMultilevel"/>
    <w:tmpl w:val="A23A35E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335B3"/>
    <w:multiLevelType w:val="hybridMultilevel"/>
    <w:tmpl w:val="9444813E"/>
    <w:lvl w:ilvl="0" w:tplc="5B86B1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F724C"/>
    <w:multiLevelType w:val="hybridMultilevel"/>
    <w:tmpl w:val="4AC86F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9C119F"/>
    <w:multiLevelType w:val="hybridMultilevel"/>
    <w:tmpl w:val="2A52131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31797C"/>
    <w:multiLevelType w:val="hybridMultilevel"/>
    <w:tmpl w:val="35B6DE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F56BA"/>
    <w:multiLevelType w:val="hybridMultilevel"/>
    <w:tmpl w:val="2292A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E23FD"/>
    <w:multiLevelType w:val="hybridMultilevel"/>
    <w:tmpl w:val="161ED3A2"/>
    <w:lvl w:ilvl="0" w:tplc="35160A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538A5"/>
    <w:multiLevelType w:val="hybridMultilevel"/>
    <w:tmpl w:val="B55E6406"/>
    <w:lvl w:ilvl="0" w:tplc="CBD8A3F8">
      <w:start w:val="1"/>
      <w:numFmt w:val="bullet"/>
      <w:lvlText w:val=""/>
      <w:lvlPicBulletId w:val="0"/>
      <w:lvlJc w:val="left"/>
      <w:pPr>
        <w:tabs>
          <w:tab w:val="num" w:pos="720"/>
        </w:tabs>
        <w:ind w:left="720" w:hanging="360"/>
      </w:pPr>
      <w:rPr>
        <w:rFonts w:ascii="Symbol" w:hAnsi="Symbol" w:hint="default"/>
      </w:rPr>
    </w:lvl>
    <w:lvl w:ilvl="1" w:tplc="01C2E888" w:tentative="1">
      <w:start w:val="1"/>
      <w:numFmt w:val="bullet"/>
      <w:lvlText w:val=""/>
      <w:lvlJc w:val="left"/>
      <w:pPr>
        <w:tabs>
          <w:tab w:val="num" w:pos="1440"/>
        </w:tabs>
        <w:ind w:left="1440" w:hanging="360"/>
      </w:pPr>
      <w:rPr>
        <w:rFonts w:ascii="Symbol" w:hAnsi="Symbol" w:hint="default"/>
      </w:rPr>
    </w:lvl>
    <w:lvl w:ilvl="2" w:tplc="54EC567C" w:tentative="1">
      <w:start w:val="1"/>
      <w:numFmt w:val="bullet"/>
      <w:lvlText w:val=""/>
      <w:lvlJc w:val="left"/>
      <w:pPr>
        <w:tabs>
          <w:tab w:val="num" w:pos="2160"/>
        </w:tabs>
        <w:ind w:left="2160" w:hanging="360"/>
      </w:pPr>
      <w:rPr>
        <w:rFonts w:ascii="Symbol" w:hAnsi="Symbol" w:hint="default"/>
      </w:rPr>
    </w:lvl>
    <w:lvl w:ilvl="3" w:tplc="570858BA" w:tentative="1">
      <w:start w:val="1"/>
      <w:numFmt w:val="bullet"/>
      <w:lvlText w:val=""/>
      <w:lvlJc w:val="left"/>
      <w:pPr>
        <w:tabs>
          <w:tab w:val="num" w:pos="2880"/>
        </w:tabs>
        <w:ind w:left="2880" w:hanging="360"/>
      </w:pPr>
      <w:rPr>
        <w:rFonts w:ascii="Symbol" w:hAnsi="Symbol" w:hint="default"/>
      </w:rPr>
    </w:lvl>
    <w:lvl w:ilvl="4" w:tplc="518AA8E8" w:tentative="1">
      <w:start w:val="1"/>
      <w:numFmt w:val="bullet"/>
      <w:lvlText w:val=""/>
      <w:lvlJc w:val="left"/>
      <w:pPr>
        <w:tabs>
          <w:tab w:val="num" w:pos="3600"/>
        </w:tabs>
        <w:ind w:left="3600" w:hanging="360"/>
      </w:pPr>
      <w:rPr>
        <w:rFonts w:ascii="Symbol" w:hAnsi="Symbol" w:hint="default"/>
      </w:rPr>
    </w:lvl>
    <w:lvl w:ilvl="5" w:tplc="65ACE7DE" w:tentative="1">
      <w:start w:val="1"/>
      <w:numFmt w:val="bullet"/>
      <w:lvlText w:val=""/>
      <w:lvlJc w:val="left"/>
      <w:pPr>
        <w:tabs>
          <w:tab w:val="num" w:pos="4320"/>
        </w:tabs>
        <w:ind w:left="4320" w:hanging="360"/>
      </w:pPr>
      <w:rPr>
        <w:rFonts w:ascii="Symbol" w:hAnsi="Symbol" w:hint="default"/>
      </w:rPr>
    </w:lvl>
    <w:lvl w:ilvl="6" w:tplc="EC2AD030" w:tentative="1">
      <w:start w:val="1"/>
      <w:numFmt w:val="bullet"/>
      <w:lvlText w:val=""/>
      <w:lvlJc w:val="left"/>
      <w:pPr>
        <w:tabs>
          <w:tab w:val="num" w:pos="5040"/>
        </w:tabs>
        <w:ind w:left="5040" w:hanging="360"/>
      </w:pPr>
      <w:rPr>
        <w:rFonts w:ascii="Symbol" w:hAnsi="Symbol" w:hint="default"/>
      </w:rPr>
    </w:lvl>
    <w:lvl w:ilvl="7" w:tplc="65A84FF8" w:tentative="1">
      <w:start w:val="1"/>
      <w:numFmt w:val="bullet"/>
      <w:lvlText w:val=""/>
      <w:lvlJc w:val="left"/>
      <w:pPr>
        <w:tabs>
          <w:tab w:val="num" w:pos="5760"/>
        </w:tabs>
        <w:ind w:left="5760" w:hanging="360"/>
      </w:pPr>
      <w:rPr>
        <w:rFonts w:ascii="Symbol" w:hAnsi="Symbol" w:hint="default"/>
      </w:rPr>
    </w:lvl>
    <w:lvl w:ilvl="8" w:tplc="556207F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1">
    <w:nsid w:val="28393A3F"/>
    <w:multiLevelType w:val="hybridMultilevel"/>
    <w:tmpl w:val="5752470E"/>
    <w:lvl w:ilvl="0" w:tplc="41361590">
      <w:start w:val="1"/>
      <w:numFmt w:val="decimal"/>
      <w:lvlText w:val="%1)"/>
      <w:lvlJc w:val="left"/>
      <w:pPr>
        <w:ind w:left="360" w:hanging="360"/>
      </w:pPr>
      <w:rPr>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8590D4C"/>
    <w:multiLevelType w:val="hybridMultilevel"/>
    <w:tmpl w:val="F4E8F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E4BA0"/>
    <w:multiLevelType w:val="hybridMultilevel"/>
    <w:tmpl w:val="4B520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254BA"/>
    <w:multiLevelType w:val="hybridMultilevel"/>
    <w:tmpl w:val="A23A35E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5F72BF"/>
    <w:multiLevelType w:val="hybridMultilevel"/>
    <w:tmpl w:val="BC5CA3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D7063E"/>
    <w:multiLevelType w:val="hybridMultilevel"/>
    <w:tmpl w:val="8402DD3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E55A0B"/>
    <w:multiLevelType w:val="hybridMultilevel"/>
    <w:tmpl w:val="4B5206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E26CF2"/>
    <w:multiLevelType w:val="hybridMultilevel"/>
    <w:tmpl w:val="1B10A066"/>
    <w:lvl w:ilvl="0" w:tplc="04090017">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1C5C45"/>
    <w:multiLevelType w:val="hybridMultilevel"/>
    <w:tmpl w:val="35B6DE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831BC"/>
    <w:multiLevelType w:val="hybridMultilevel"/>
    <w:tmpl w:val="0FA4499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5A5CBD"/>
    <w:multiLevelType w:val="hybridMultilevel"/>
    <w:tmpl w:val="2292AC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853F40"/>
    <w:multiLevelType w:val="hybridMultilevel"/>
    <w:tmpl w:val="A23A3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D34FD"/>
    <w:multiLevelType w:val="hybridMultilevel"/>
    <w:tmpl w:val="A23A35E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545B86"/>
    <w:multiLevelType w:val="hybridMultilevel"/>
    <w:tmpl w:val="36EC46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D52B7E"/>
    <w:multiLevelType w:val="hybridMultilevel"/>
    <w:tmpl w:val="8402D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E93FB5"/>
    <w:multiLevelType w:val="hybridMultilevel"/>
    <w:tmpl w:val="16AAB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61A49"/>
    <w:multiLevelType w:val="hybridMultilevel"/>
    <w:tmpl w:val="6DCCA02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A03F7A"/>
    <w:multiLevelType w:val="hybridMultilevel"/>
    <w:tmpl w:val="925E94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FB5126"/>
    <w:multiLevelType w:val="hybridMultilevel"/>
    <w:tmpl w:val="6AD4E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0"/>
  </w:num>
  <w:num w:numId="4">
    <w:abstractNumId w:val="21"/>
  </w:num>
  <w:num w:numId="5">
    <w:abstractNumId w:val="24"/>
  </w:num>
  <w:num w:numId="6">
    <w:abstractNumId w:val="12"/>
  </w:num>
  <w:num w:numId="7">
    <w:abstractNumId w:val="3"/>
  </w:num>
  <w:num w:numId="8">
    <w:abstractNumId w:val="26"/>
  </w:num>
  <w:num w:numId="9">
    <w:abstractNumId w:val="18"/>
  </w:num>
  <w:num w:numId="10">
    <w:abstractNumId w:val="5"/>
  </w:num>
  <w:num w:numId="11">
    <w:abstractNumId w:val="13"/>
  </w:num>
  <w:num w:numId="12">
    <w:abstractNumId w:val="22"/>
  </w:num>
  <w:num w:numId="13">
    <w:abstractNumId w:val="25"/>
  </w:num>
  <w:num w:numId="14">
    <w:abstractNumId w:val="0"/>
  </w:num>
  <w:num w:numId="15">
    <w:abstractNumId w:val="16"/>
  </w:num>
  <w:num w:numId="16">
    <w:abstractNumId w:val="4"/>
  </w:num>
  <w:num w:numId="17">
    <w:abstractNumId w:val="17"/>
  </w:num>
  <w:num w:numId="18">
    <w:abstractNumId w:val="11"/>
  </w:num>
  <w:num w:numId="19">
    <w:abstractNumId w:val="19"/>
  </w:num>
  <w:num w:numId="20">
    <w:abstractNumId w:val="20"/>
  </w:num>
  <w:num w:numId="21">
    <w:abstractNumId w:val="9"/>
  </w:num>
  <w:num w:numId="22">
    <w:abstractNumId w:val="1"/>
  </w:num>
  <w:num w:numId="23">
    <w:abstractNumId w:val="23"/>
  </w:num>
  <w:num w:numId="24">
    <w:abstractNumId w:val="8"/>
  </w:num>
  <w:num w:numId="25">
    <w:abstractNumId w:val="15"/>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49"/>
    <w:rsid w:val="000141EA"/>
    <w:rsid w:val="00015C55"/>
    <w:rsid w:val="000267DB"/>
    <w:rsid w:val="00032B2F"/>
    <w:rsid w:val="0004475C"/>
    <w:rsid w:val="00053297"/>
    <w:rsid w:val="000602E8"/>
    <w:rsid w:val="00074F74"/>
    <w:rsid w:val="000B7BCF"/>
    <w:rsid w:val="000D2FD0"/>
    <w:rsid w:val="000D4C0E"/>
    <w:rsid w:val="000E08D0"/>
    <w:rsid w:val="000E1D8C"/>
    <w:rsid w:val="000E7D44"/>
    <w:rsid w:val="000F62D5"/>
    <w:rsid w:val="00140ED3"/>
    <w:rsid w:val="0014679F"/>
    <w:rsid w:val="001518C8"/>
    <w:rsid w:val="0018766D"/>
    <w:rsid w:val="00190374"/>
    <w:rsid w:val="00193B3F"/>
    <w:rsid w:val="001B622B"/>
    <w:rsid w:val="001C10A2"/>
    <w:rsid w:val="001E2C80"/>
    <w:rsid w:val="001F1C8A"/>
    <w:rsid w:val="001F3DD1"/>
    <w:rsid w:val="00210DC9"/>
    <w:rsid w:val="00232141"/>
    <w:rsid w:val="0023475F"/>
    <w:rsid w:val="002A468A"/>
    <w:rsid w:val="002A4C86"/>
    <w:rsid w:val="002C784F"/>
    <w:rsid w:val="003011EE"/>
    <w:rsid w:val="0030208E"/>
    <w:rsid w:val="0030210C"/>
    <w:rsid w:val="00304956"/>
    <w:rsid w:val="00311048"/>
    <w:rsid w:val="00312FB4"/>
    <w:rsid w:val="00337D0B"/>
    <w:rsid w:val="00351AEA"/>
    <w:rsid w:val="003707D1"/>
    <w:rsid w:val="00372787"/>
    <w:rsid w:val="003753B8"/>
    <w:rsid w:val="0038726B"/>
    <w:rsid w:val="003C0BEC"/>
    <w:rsid w:val="003E7534"/>
    <w:rsid w:val="003E7A90"/>
    <w:rsid w:val="003F4F8A"/>
    <w:rsid w:val="0041311D"/>
    <w:rsid w:val="00414981"/>
    <w:rsid w:val="00431EB5"/>
    <w:rsid w:val="004442D8"/>
    <w:rsid w:val="004526F0"/>
    <w:rsid w:val="00470C11"/>
    <w:rsid w:val="00475D6C"/>
    <w:rsid w:val="00481CC8"/>
    <w:rsid w:val="00487D03"/>
    <w:rsid w:val="00495AD8"/>
    <w:rsid w:val="004A0E4F"/>
    <w:rsid w:val="004C08DF"/>
    <w:rsid w:val="004C3EBF"/>
    <w:rsid w:val="004C3ED0"/>
    <w:rsid w:val="004D7906"/>
    <w:rsid w:val="004E1C37"/>
    <w:rsid w:val="004F4DDD"/>
    <w:rsid w:val="005054F1"/>
    <w:rsid w:val="005160DB"/>
    <w:rsid w:val="005333FD"/>
    <w:rsid w:val="005473A0"/>
    <w:rsid w:val="00560045"/>
    <w:rsid w:val="00560ACC"/>
    <w:rsid w:val="005630A4"/>
    <w:rsid w:val="0056432B"/>
    <w:rsid w:val="00573E53"/>
    <w:rsid w:val="005A22A9"/>
    <w:rsid w:val="005C7A86"/>
    <w:rsid w:val="005D3EC4"/>
    <w:rsid w:val="005D5BFA"/>
    <w:rsid w:val="005F384C"/>
    <w:rsid w:val="00617376"/>
    <w:rsid w:val="0063030E"/>
    <w:rsid w:val="006324AA"/>
    <w:rsid w:val="006404C8"/>
    <w:rsid w:val="00644750"/>
    <w:rsid w:val="00652D3F"/>
    <w:rsid w:val="006618CD"/>
    <w:rsid w:val="006664AD"/>
    <w:rsid w:val="00671B19"/>
    <w:rsid w:val="00685A30"/>
    <w:rsid w:val="006A2FD1"/>
    <w:rsid w:val="006A4BB0"/>
    <w:rsid w:val="006C5B49"/>
    <w:rsid w:val="006D5508"/>
    <w:rsid w:val="006E171C"/>
    <w:rsid w:val="006F6D4F"/>
    <w:rsid w:val="0070404B"/>
    <w:rsid w:val="00711462"/>
    <w:rsid w:val="00723EA8"/>
    <w:rsid w:val="00731F3F"/>
    <w:rsid w:val="00741060"/>
    <w:rsid w:val="0074149C"/>
    <w:rsid w:val="007638F1"/>
    <w:rsid w:val="007C2D67"/>
    <w:rsid w:val="007C75B9"/>
    <w:rsid w:val="007D5D7E"/>
    <w:rsid w:val="007E0638"/>
    <w:rsid w:val="007E67A0"/>
    <w:rsid w:val="007F5DA2"/>
    <w:rsid w:val="00816F46"/>
    <w:rsid w:val="00856DE3"/>
    <w:rsid w:val="008772F7"/>
    <w:rsid w:val="008831A3"/>
    <w:rsid w:val="008918EF"/>
    <w:rsid w:val="0089615A"/>
    <w:rsid w:val="008A2F59"/>
    <w:rsid w:val="008B3A9D"/>
    <w:rsid w:val="00914F6E"/>
    <w:rsid w:val="0092128B"/>
    <w:rsid w:val="00922054"/>
    <w:rsid w:val="009503AC"/>
    <w:rsid w:val="00957A6B"/>
    <w:rsid w:val="00966C1C"/>
    <w:rsid w:val="0097030D"/>
    <w:rsid w:val="0098469D"/>
    <w:rsid w:val="0098683B"/>
    <w:rsid w:val="00993E64"/>
    <w:rsid w:val="00994769"/>
    <w:rsid w:val="009A443D"/>
    <w:rsid w:val="009A6B91"/>
    <w:rsid w:val="009D446A"/>
    <w:rsid w:val="00A01E81"/>
    <w:rsid w:val="00A0607D"/>
    <w:rsid w:val="00A31F69"/>
    <w:rsid w:val="00A33B6E"/>
    <w:rsid w:val="00A559B6"/>
    <w:rsid w:val="00A640C9"/>
    <w:rsid w:val="00A71B97"/>
    <w:rsid w:val="00A72E0B"/>
    <w:rsid w:val="00A86A74"/>
    <w:rsid w:val="00AB1D21"/>
    <w:rsid w:val="00AC2DC8"/>
    <w:rsid w:val="00AE0152"/>
    <w:rsid w:val="00AF3F94"/>
    <w:rsid w:val="00B031E1"/>
    <w:rsid w:val="00B0673B"/>
    <w:rsid w:val="00B1152C"/>
    <w:rsid w:val="00B133B0"/>
    <w:rsid w:val="00B135B0"/>
    <w:rsid w:val="00B652A2"/>
    <w:rsid w:val="00B72E54"/>
    <w:rsid w:val="00B73677"/>
    <w:rsid w:val="00B859E5"/>
    <w:rsid w:val="00B9293F"/>
    <w:rsid w:val="00B93E62"/>
    <w:rsid w:val="00BA0E3E"/>
    <w:rsid w:val="00BB0F3C"/>
    <w:rsid w:val="00BB24AB"/>
    <w:rsid w:val="00BB3EC6"/>
    <w:rsid w:val="00BE24CA"/>
    <w:rsid w:val="00C169D7"/>
    <w:rsid w:val="00C32FA0"/>
    <w:rsid w:val="00C33244"/>
    <w:rsid w:val="00C35478"/>
    <w:rsid w:val="00C41B7B"/>
    <w:rsid w:val="00C46914"/>
    <w:rsid w:val="00C50AAF"/>
    <w:rsid w:val="00C52204"/>
    <w:rsid w:val="00C668CF"/>
    <w:rsid w:val="00C82FE3"/>
    <w:rsid w:val="00C8561B"/>
    <w:rsid w:val="00C943FE"/>
    <w:rsid w:val="00CA0143"/>
    <w:rsid w:val="00CC0449"/>
    <w:rsid w:val="00CC4C0B"/>
    <w:rsid w:val="00CF2BC8"/>
    <w:rsid w:val="00D070EB"/>
    <w:rsid w:val="00D07916"/>
    <w:rsid w:val="00D11480"/>
    <w:rsid w:val="00D14214"/>
    <w:rsid w:val="00D152BD"/>
    <w:rsid w:val="00D260BE"/>
    <w:rsid w:val="00D32268"/>
    <w:rsid w:val="00D32557"/>
    <w:rsid w:val="00D3518C"/>
    <w:rsid w:val="00D37A38"/>
    <w:rsid w:val="00D37FFC"/>
    <w:rsid w:val="00D44084"/>
    <w:rsid w:val="00D93766"/>
    <w:rsid w:val="00D949FB"/>
    <w:rsid w:val="00D954B4"/>
    <w:rsid w:val="00D972E4"/>
    <w:rsid w:val="00DA7E40"/>
    <w:rsid w:val="00DB60FD"/>
    <w:rsid w:val="00DD1352"/>
    <w:rsid w:val="00DD2B88"/>
    <w:rsid w:val="00DE35C5"/>
    <w:rsid w:val="00DF322A"/>
    <w:rsid w:val="00DF6D5B"/>
    <w:rsid w:val="00E005E4"/>
    <w:rsid w:val="00E2156E"/>
    <w:rsid w:val="00E46523"/>
    <w:rsid w:val="00E62772"/>
    <w:rsid w:val="00E878B9"/>
    <w:rsid w:val="00E93B79"/>
    <w:rsid w:val="00E93C97"/>
    <w:rsid w:val="00E96FEF"/>
    <w:rsid w:val="00EC164E"/>
    <w:rsid w:val="00EF1AEF"/>
    <w:rsid w:val="00F154FD"/>
    <w:rsid w:val="00F2507C"/>
    <w:rsid w:val="00F26B97"/>
    <w:rsid w:val="00F3071C"/>
    <w:rsid w:val="00F46430"/>
    <w:rsid w:val="00F468BF"/>
    <w:rsid w:val="00F5309F"/>
    <w:rsid w:val="00F53B84"/>
    <w:rsid w:val="00F72499"/>
    <w:rsid w:val="00F8163E"/>
    <w:rsid w:val="00F8355C"/>
    <w:rsid w:val="00F84473"/>
    <w:rsid w:val="00F848DA"/>
    <w:rsid w:val="00FA3AB0"/>
    <w:rsid w:val="00FC031B"/>
    <w:rsid w:val="00FF4772"/>
    <w:rsid w:val="00FF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A9FA"/>
  <w15:chartTrackingRefBased/>
  <w15:docId w15:val="{58E123AC-3C38-4A7A-9595-A52557E9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AEF"/>
    <w:pPr>
      <w:ind w:left="720"/>
      <w:contextualSpacing/>
    </w:pPr>
  </w:style>
  <w:style w:type="table" w:styleId="TableGrid">
    <w:name w:val="Table Grid"/>
    <w:basedOn w:val="TableNormal"/>
    <w:uiPriority w:val="39"/>
    <w:rsid w:val="00D972E4"/>
    <w:pPr>
      <w:spacing w:after="0" w:line="240" w:lineRule="auto"/>
    </w:pPr>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5A30"/>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741060"/>
    <w:pPr>
      <w:spacing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741060"/>
    <w:rPr>
      <w:rFonts w:ascii="Arial" w:eastAsia="Arial" w:hAnsi="Arial" w:cs="Arial"/>
      <w:sz w:val="20"/>
      <w:szCs w:val="20"/>
    </w:rPr>
  </w:style>
  <w:style w:type="character" w:styleId="CommentReference">
    <w:name w:val="annotation reference"/>
    <w:basedOn w:val="DefaultParagraphFont"/>
    <w:uiPriority w:val="99"/>
    <w:semiHidden/>
    <w:unhideWhenUsed/>
    <w:rsid w:val="00741060"/>
    <w:rPr>
      <w:sz w:val="16"/>
      <w:szCs w:val="16"/>
    </w:rPr>
  </w:style>
  <w:style w:type="paragraph" w:styleId="BalloonText">
    <w:name w:val="Balloon Text"/>
    <w:basedOn w:val="Normal"/>
    <w:link w:val="BalloonTextChar"/>
    <w:uiPriority w:val="99"/>
    <w:semiHidden/>
    <w:unhideWhenUsed/>
    <w:rsid w:val="00741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F3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B0F3C"/>
    <w:rPr>
      <w:rFonts w:ascii="Arial" w:eastAsia="Arial" w:hAnsi="Arial" w:cs="Arial"/>
      <w:b/>
      <w:bCs/>
      <w:sz w:val="20"/>
      <w:szCs w:val="20"/>
    </w:rPr>
  </w:style>
  <w:style w:type="paragraph" w:styleId="EndnoteText">
    <w:name w:val="endnote text"/>
    <w:basedOn w:val="Normal"/>
    <w:link w:val="EndnoteTextChar"/>
    <w:uiPriority w:val="99"/>
    <w:unhideWhenUsed/>
    <w:rsid w:val="00BA0E3E"/>
    <w:pPr>
      <w:spacing w:after="0" w:line="240" w:lineRule="auto"/>
      <w:jc w:val="both"/>
    </w:pPr>
    <w:rPr>
      <w:rFonts w:eastAsiaTheme="minorEastAsia"/>
      <w:sz w:val="20"/>
      <w:szCs w:val="20"/>
    </w:rPr>
  </w:style>
  <w:style w:type="character" w:customStyle="1" w:styleId="EndnoteTextChar">
    <w:name w:val="Endnote Text Char"/>
    <w:basedOn w:val="DefaultParagraphFont"/>
    <w:link w:val="EndnoteText"/>
    <w:uiPriority w:val="99"/>
    <w:rsid w:val="00BA0E3E"/>
    <w:rPr>
      <w:rFonts w:eastAsiaTheme="minorEastAsia"/>
      <w:sz w:val="20"/>
      <w:szCs w:val="20"/>
    </w:rPr>
  </w:style>
  <w:style w:type="character" w:styleId="EndnoteReference">
    <w:name w:val="endnote reference"/>
    <w:basedOn w:val="DefaultParagraphFont"/>
    <w:uiPriority w:val="99"/>
    <w:semiHidden/>
    <w:unhideWhenUsed/>
    <w:rsid w:val="00BA0E3E"/>
    <w:rPr>
      <w:vertAlign w:val="superscript"/>
    </w:rPr>
  </w:style>
  <w:style w:type="character" w:styleId="Hyperlink">
    <w:name w:val="Hyperlink"/>
    <w:basedOn w:val="DefaultParagraphFont"/>
    <w:uiPriority w:val="99"/>
    <w:unhideWhenUsed/>
    <w:rsid w:val="00A640C9"/>
    <w:rPr>
      <w:color w:val="0000FF"/>
      <w:u w:val="single"/>
    </w:rPr>
  </w:style>
  <w:style w:type="paragraph" w:styleId="PlainText">
    <w:name w:val="Plain Text"/>
    <w:basedOn w:val="Normal"/>
    <w:link w:val="PlainTextChar"/>
    <w:uiPriority w:val="99"/>
    <w:unhideWhenUsed/>
    <w:rsid w:val="00431EB5"/>
    <w:pPr>
      <w:spacing w:after="0" w:line="240" w:lineRule="auto"/>
    </w:pPr>
    <w:rPr>
      <w:rFonts w:ascii="Arial" w:eastAsia="Times New Roman" w:hAnsi="Arial"/>
      <w:sz w:val="20"/>
      <w:szCs w:val="21"/>
    </w:rPr>
  </w:style>
  <w:style w:type="character" w:customStyle="1" w:styleId="PlainTextChar">
    <w:name w:val="Plain Text Char"/>
    <w:basedOn w:val="DefaultParagraphFont"/>
    <w:link w:val="PlainText"/>
    <w:uiPriority w:val="99"/>
    <w:rsid w:val="00431EB5"/>
    <w:rPr>
      <w:rFonts w:ascii="Arial" w:eastAsia="Times New Roman"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781">
      <w:bodyDiv w:val="1"/>
      <w:marLeft w:val="0"/>
      <w:marRight w:val="0"/>
      <w:marTop w:val="0"/>
      <w:marBottom w:val="0"/>
      <w:divBdr>
        <w:top w:val="none" w:sz="0" w:space="0" w:color="auto"/>
        <w:left w:val="none" w:sz="0" w:space="0" w:color="auto"/>
        <w:bottom w:val="none" w:sz="0" w:space="0" w:color="auto"/>
        <w:right w:val="none" w:sz="0" w:space="0" w:color="auto"/>
      </w:divBdr>
    </w:div>
    <w:div w:id="266734853">
      <w:bodyDiv w:val="1"/>
      <w:marLeft w:val="0"/>
      <w:marRight w:val="0"/>
      <w:marTop w:val="0"/>
      <w:marBottom w:val="0"/>
      <w:divBdr>
        <w:top w:val="none" w:sz="0" w:space="0" w:color="auto"/>
        <w:left w:val="none" w:sz="0" w:space="0" w:color="auto"/>
        <w:bottom w:val="none" w:sz="0" w:space="0" w:color="auto"/>
        <w:right w:val="none" w:sz="0" w:space="0" w:color="auto"/>
      </w:divBdr>
    </w:div>
    <w:div w:id="282660497">
      <w:bodyDiv w:val="1"/>
      <w:marLeft w:val="0"/>
      <w:marRight w:val="0"/>
      <w:marTop w:val="0"/>
      <w:marBottom w:val="0"/>
      <w:divBdr>
        <w:top w:val="none" w:sz="0" w:space="0" w:color="auto"/>
        <w:left w:val="none" w:sz="0" w:space="0" w:color="auto"/>
        <w:bottom w:val="none" w:sz="0" w:space="0" w:color="auto"/>
        <w:right w:val="none" w:sz="0" w:space="0" w:color="auto"/>
      </w:divBdr>
    </w:div>
    <w:div w:id="289628954">
      <w:bodyDiv w:val="1"/>
      <w:marLeft w:val="0"/>
      <w:marRight w:val="0"/>
      <w:marTop w:val="0"/>
      <w:marBottom w:val="0"/>
      <w:divBdr>
        <w:top w:val="none" w:sz="0" w:space="0" w:color="auto"/>
        <w:left w:val="none" w:sz="0" w:space="0" w:color="auto"/>
        <w:bottom w:val="none" w:sz="0" w:space="0" w:color="auto"/>
        <w:right w:val="none" w:sz="0" w:space="0" w:color="auto"/>
      </w:divBdr>
    </w:div>
    <w:div w:id="300354685">
      <w:bodyDiv w:val="1"/>
      <w:marLeft w:val="0"/>
      <w:marRight w:val="0"/>
      <w:marTop w:val="0"/>
      <w:marBottom w:val="0"/>
      <w:divBdr>
        <w:top w:val="none" w:sz="0" w:space="0" w:color="auto"/>
        <w:left w:val="none" w:sz="0" w:space="0" w:color="auto"/>
        <w:bottom w:val="none" w:sz="0" w:space="0" w:color="auto"/>
        <w:right w:val="none" w:sz="0" w:space="0" w:color="auto"/>
      </w:divBdr>
    </w:div>
    <w:div w:id="336811488">
      <w:bodyDiv w:val="1"/>
      <w:marLeft w:val="0"/>
      <w:marRight w:val="0"/>
      <w:marTop w:val="0"/>
      <w:marBottom w:val="0"/>
      <w:divBdr>
        <w:top w:val="none" w:sz="0" w:space="0" w:color="auto"/>
        <w:left w:val="none" w:sz="0" w:space="0" w:color="auto"/>
        <w:bottom w:val="none" w:sz="0" w:space="0" w:color="auto"/>
        <w:right w:val="none" w:sz="0" w:space="0" w:color="auto"/>
      </w:divBdr>
    </w:div>
    <w:div w:id="543177486">
      <w:bodyDiv w:val="1"/>
      <w:marLeft w:val="0"/>
      <w:marRight w:val="0"/>
      <w:marTop w:val="0"/>
      <w:marBottom w:val="0"/>
      <w:divBdr>
        <w:top w:val="none" w:sz="0" w:space="0" w:color="auto"/>
        <w:left w:val="none" w:sz="0" w:space="0" w:color="auto"/>
        <w:bottom w:val="none" w:sz="0" w:space="0" w:color="auto"/>
        <w:right w:val="none" w:sz="0" w:space="0" w:color="auto"/>
      </w:divBdr>
    </w:div>
    <w:div w:id="569656148">
      <w:bodyDiv w:val="1"/>
      <w:marLeft w:val="0"/>
      <w:marRight w:val="0"/>
      <w:marTop w:val="0"/>
      <w:marBottom w:val="0"/>
      <w:divBdr>
        <w:top w:val="none" w:sz="0" w:space="0" w:color="auto"/>
        <w:left w:val="none" w:sz="0" w:space="0" w:color="auto"/>
        <w:bottom w:val="none" w:sz="0" w:space="0" w:color="auto"/>
        <w:right w:val="none" w:sz="0" w:space="0" w:color="auto"/>
      </w:divBdr>
    </w:div>
    <w:div w:id="661734565">
      <w:bodyDiv w:val="1"/>
      <w:marLeft w:val="0"/>
      <w:marRight w:val="0"/>
      <w:marTop w:val="0"/>
      <w:marBottom w:val="0"/>
      <w:divBdr>
        <w:top w:val="none" w:sz="0" w:space="0" w:color="auto"/>
        <w:left w:val="none" w:sz="0" w:space="0" w:color="auto"/>
        <w:bottom w:val="none" w:sz="0" w:space="0" w:color="auto"/>
        <w:right w:val="none" w:sz="0" w:space="0" w:color="auto"/>
      </w:divBdr>
    </w:div>
    <w:div w:id="676426773">
      <w:bodyDiv w:val="1"/>
      <w:marLeft w:val="0"/>
      <w:marRight w:val="0"/>
      <w:marTop w:val="0"/>
      <w:marBottom w:val="0"/>
      <w:divBdr>
        <w:top w:val="none" w:sz="0" w:space="0" w:color="auto"/>
        <w:left w:val="none" w:sz="0" w:space="0" w:color="auto"/>
        <w:bottom w:val="none" w:sz="0" w:space="0" w:color="auto"/>
        <w:right w:val="none" w:sz="0" w:space="0" w:color="auto"/>
      </w:divBdr>
      <w:divsChild>
        <w:div w:id="930351633">
          <w:marLeft w:val="0"/>
          <w:marRight w:val="0"/>
          <w:marTop w:val="0"/>
          <w:marBottom w:val="0"/>
          <w:divBdr>
            <w:top w:val="none" w:sz="0" w:space="0" w:color="auto"/>
            <w:left w:val="none" w:sz="0" w:space="0" w:color="auto"/>
            <w:bottom w:val="none" w:sz="0" w:space="0" w:color="auto"/>
            <w:right w:val="none" w:sz="0" w:space="0" w:color="auto"/>
          </w:divBdr>
          <w:divsChild>
            <w:div w:id="1127553104">
              <w:marLeft w:val="0"/>
              <w:marRight w:val="0"/>
              <w:marTop w:val="0"/>
              <w:marBottom w:val="0"/>
              <w:divBdr>
                <w:top w:val="none" w:sz="0" w:space="0" w:color="auto"/>
                <w:left w:val="none" w:sz="0" w:space="0" w:color="auto"/>
                <w:bottom w:val="none" w:sz="0" w:space="0" w:color="auto"/>
                <w:right w:val="none" w:sz="0" w:space="0" w:color="auto"/>
              </w:divBdr>
              <w:divsChild>
                <w:div w:id="2142456846">
                  <w:marLeft w:val="0"/>
                  <w:marRight w:val="0"/>
                  <w:marTop w:val="0"/>
                  <w:marBottom w:val="0"/>
                  <w:divBdr>
                    <w:top w:val="none" w:sz="0" w:space="0" w:color="auto"/>
                    <w:left w:val="none" w:sz="0" w:space="0" w:color="auto"/>
                    <w:bottom w:val="none" w:sz="0" w:space="0" w:color="auto"/>
                    <w:right w:val="none" w:sz="0" w:space="0" w:color="auto"/>
                  </w:divBdr>
                  <w:divsChild>
                    <w:div w:id="1261642721">
                      <w:marLeft w:val="0"/>
                      <w:marRight w:val="0"/>
                      <w:marTop w:val="0"/>
                      <w:marBottom w:val="0"/>
                      <w:divBdr>
                        <w:top w:val="none" w:sz="0" w:space="0" w:color="auto"/>
                        <w:left w:val="none" w:sz="0" w:space="0" w:color="auto"/>
                        <w:bottom w:val="none" w:sz="0" w:space="0" w:color="auto"/>
                        <w:right w:val="none" w:sz="0" w:space="0" w:color="auto"/>
                      </w:divBdr>
                      <w:divsChild>
                        <w:div w:id="12247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2138">
                  <w:marLeft w:val="0"/>
                  <w:marRight w:val="0"/>
                  <w:marTop w:val="0"/>
                  <w:marBottom w:val="0"/>
                  <w:divBdr>
                    <w:top w:val="none" w:sz="0" w:space="0" w:color="auto"/>
                    <w:left w:val="none" w:sz="0" w:space="0" w:color="auto"/>
                    <w:bottom w:val="none" w:sz="0" w:space="0" w:color="auto"/>
                    <w:right w:val="none" w:sz="0" w:space="0" w:color="auto"/>
                  </w:divBdr>
                  <w:divsChild>
                    <w:div w:id="119879430">
                      <w:marLeft w:val="0"/>
                      <w:marRight w:val="0"/>
                      <w:marTop w:val="0"/>
                      <w:marBottom w:val="0"/>
                      <w:divBdr>
                        <w:top w:val="none" w:sz="0" w:space="0" w:color="auto"/>
                        <w:left w:val="none" w:sz="0" w:space="0" w:color="auto"/>
                        <w:bottom w:val="none" w:sz="0" w:space="0" w:color="auto"/>
                        <w:right w:val="none" w:sz="0" w:space="0" w:color="auto"/>
                      </w:divBdr>
                      <w:divsChild>
                        <w:div w:id="506673633">
                          <w:marLeft w:val="0"/>
                          <w:marRight w:val="0"/>
                          <w:marTop w:val="0"/>
                          <w:marBottom w:val="0"/>
                          <w:divBdr>
                            <w:top w:val="none" w:sz="0" w:space="0" w:color="auto"/>
                            <w:left w:val="none" w:sz="0" w:space="0" w:color="auto"/>
                            <w:bottom w:val="none" w:sz="0" w:space="0" w:color="auto"/>
                            <w:right w:val="none" w:sz="0" w:space="0" w:color="auto"/>
                          </w:divBdr>
                          <w:divsChild>
                            <w:div w:id="1361784295">
                              <w:marLeft w:val="0"/>
                              <w:marRight w:val="0"/>
                              <w:marTop w:val="0"/>
                              <w:marBottom w:val="0"/>
                              <w:divBdr>
                                <w:top w:val="none" w:sz="0" w:space="0" w:color="auto"/>
                                <w:left w:val="none" w:sz="0" w:space="0" w:color="auto"/>
                                <w:bottom w:val="none" w:sz="0" w:space="0" w:color="auto"/>
                                <w:right w:val="none" w:sz="0" w:space="0" w:color="auto"/>
                              </w:divBdr>
                              <w:divsChild>
                                <w:div w:id="1060204747">
                                  <w:marLeft w:val="0"/>
                                  <w:marRight w:val="0"/>
                                  <w:marTop w:val="0"/>
                                  <w:marBottom w:val="0"/>
                                  <w:divBdr>
                                    <w:top w:val="none" w:sz="0" w:space="0" w:color="auto"/>
                                    <w:left w:val="none" w:sz="0" w:space="0" w:color="auto"/>
                                    <w:bottom w:val="none" w:sz="0" w:space="0" w:color="auto"/>
                                    <w:right w:val="none" w:sz="0" w:space="0" w:color="auto"/>
                                  </w:divBdr>
                                  <w:divsChild>
                                    <w:div w:id="2115326500">
                                      <w:marLeft w:val="0"/>
                                      <w:marRight w:val="0"/>
                                      <w:marTop w:val="0"/>
                                      <w:marBottom w:val="0"/>
                                      <w:divBdr>
                                        <w:top w:val="none" w:sz="0" w:space="0" w:color="auto"/>
                                        <w:left w:val="none" w:sz="0" w:space="0" w:color="auto"/>
                                        <w:bottom w:val="none" w:sz="0" w:space="0" w:color="auto"/>
                                        <w:right w:val="none" w:sz="0" w:space="0" w:color="auto"/>
                                      </w:divBdr>
                                      <w:divsChild>
                                        <w:div w:id="3294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009649">
      <w:bodyDiv w:val="1"/>
      <w:marLeft w:val="0"/>
      <w:marRight w:val="0"/>
      <w:marTop w:val="0"/>
      <w:marBottom w:val="0"/>
      <w:divBdr>
        <w:top w:val="none" w:sz="0" w:space="0" w:color="auto"/>
        <w:left w:val="none" w:sz="0" w:space="0" w:color="auto"/>
        <w:bottom w:val="none" w:sz="0" w:space="0" w:color="auto"/>
        <w:right w:val="none" w:sz="0" w:space="0" w:color="auto"/>
      </w:divBdr>
    </w:div>
    <w:div w:id="747045192">
      <w:bodyDiv w:val="1"/>
      <w:marLeft w:val="0"/>
      <w:marRight w:val="0"/>
      <w:marTop w:val="0"/>
      <w:marBottom w:val="0"/>
      <w:divBdr>
        <w:top w:val="none" w:sz="0" w:space="0" w:color="auto"/>
        <w:left w:val="none" w:sz="0" w:space="0" w:color="auto"/>
        <w:bottom w:val="none" w:sz="0" w:space="0" w:color="auto"/>
        <w:right w:val="none" w:sz="0" w:space="0" w:color="auto"/>
      </w:divBdr>
    </w:div>
    <w:div w:id="830024007">
      <w:bodyDiv w:val="1"/>
      <w:marLeft w:val="0"/>
      <w:marRight w:val="0"/>
      <w:marTop w:val="0"/>
      <w:marBottom w:val="0"/>
      <w:divBdr>
        <w:top w:val="none" w:sz="0" w:space="0" w:color="auto"/>
        <w:left w:val="none" w:sz="0" w:space="0" w:color="auto"/>
        <w:bottom w:val="none" w:sz="0" w:space="0" w:color="auto"/>
        <w:right w:val="none" w:sz="0" w:space="0" w:color="auto"/>
      </w:divBdr>
    </w:div>
    <w:div w:id="875775799">
      <w:bodyDiv w:val="1"/>
      <w:marLeft w:val="0"/>
      <w:marRight w:val="0"/>
      <w:marTop w:val="0"/>
      <w:marBottom w:val="0"/>
      <w:divBdr>
        <w:top w:val="none" w:sz="0" w:space="0" w:color="auto"/>
        <w:left w:val="none" w:sz="0" w:space="0" w:color="auto"/>
        <w:bottom w:val="none" w:sz="0" w:space="0" w:color="auto"/>
        <w:right w:val="none" w:sz="0" w:space="0" w:color="auto"/>
      </w:divBdr>
    </w:div>
    <w:div w:id="962615404">
      <w:bodyDiv w:val="1"/>
      <w:marLeft w:val="0"/>
      <w:marRight w:val="0"/>
      <w:marTop w:val="0"/>
      <w:marBottom w:val="0"/>
      <w:divBdr>
        <w:top w:val="none" w:sz="0" w:space="0" w:color="auto"/>
        <w:left w:val="none" w:sz="0" w:space="0" w:color="auto"/>
        <w:bottom w:val="none" w:sz="0" w:space="0" w:color="auto"/>
        <w:right w:val="none" w:sz="0" w:space="0" w:color="auto"/>
      </w:divBdr>
    </w:div>
    <w:div w:id="988942259">
      <w:bodyDiv w:val="1"/>
      <w:marLeft w:val="0"/>
      <w:marRight w:val="0"/>
      <w:marTop w:val="0"/>
      <w:marBottom w:val="0"/>
      <w:divBdr>
        <w:top w:val="none" w:sz="0" w:space="0" w:color="auto"/>
        <w:left w:val="none" w:sz="0" w:space="0" w:color="auto"/>
        <w:bottom w:val="none" w:sz="0" w:space="0" w:color="auto"/>
        <w:right w:val="none" w:sz="0" w:space="0" w:color="auto"/>
      </w:divBdr>
    </w:div>
    <w:div w:id="1204444942">
      <w:bodyDiv w:val="1"/>
      <w:marLeft w:val="0"/>
      <w:marRight w:val="0"/>
      <w:marTop w:val="0"/>
      <w:marBottom w:val="0"/>
      <w:divBdr>
        <w:top w:val="none" w:sz="0" w:space="0" w:color="auto"/>
        <w:left w:val="none" w:sz="0" w:space="0" w:color="auto"/>
        <w:bottom w:val="none" w:sz="0" w:space="0" w:color="auto"/>
        <w:right w:val="none" w:sz="0" w:space="0" w:color="auto"/>
      </w:divBdr>
    </w:div>
    <w:div w:id="1313101614">
      <w:bodyDiv w:val="1"/>
      <w:marLeft w:val="0"/>
      <w:marRight w:val="0"/>
      <w:marTop w:val="0"/>
      <w:marBottom w:val="0"/>
      <w:divBdr>
        <w:top w:val="none" w:sz="0" w:space="0" w:color="auto"/>
        <w:left w:val="none" w:sz="0" w:space="0" w:color="auto"/>
        <w:bottom w:val="none" w:sz="0" w:space="0" w:color="auto"/>
        <w:right w:val="none" w:sz="0" w:space="0" w:color="auto"/>
      </w:divBdr>
    </w:div>
    <w:div w:id="1368798209">
      <w:bodyDiv w:val="1"/>
      <w:marLeft w:val="0"/>
      <w:marRight w:val="0"/>
      <w:marTop w:val="0"/>
      <w:marBottom w:val="0"/>
      <w:divBdr>
        <w:top w:val="none" w:sz="0" w:space="0" w:color="auto"/>
        <w:left w:val="none" w:sz="0" w:space="0" w:color="auto"/>
        <w:bottom w:val="none" w:sz="0" w:space="0" w:color="auto"/>
        <w:right w:val="none" w:sz="0" w:space="0" w:color="auto"/>
      </w:divBdr>
    </w:div>
    <w:div w:id="1417556514">
      <w:bodyDiv w:val="1"/>
      <w:marLeft w:val="0"/>
      <w:marRight w:val="0"/>
      <w:marTop w:val="0"/>
      <w:marBottom w:val="0"/>
      <w:divBdr>
        <w:top w:val="none" w:sz="0" w:space="0" w:color="auto"/>
        <w:left w:val="none" w:sz="0" w:space="0" w:color="auto"/>
        <w:bottom w:val="none" w:sz="0" w:space="0" w:color="auto"/>
        <w:right w:val="none" w:sz="0" w:space="0" w:color="auto"/>
      </w:divBdr>
    </w:div>
    <w:div w:id="1498955225">
      <w:bodyDiv w:val="1"/>
      <w:marLeft w:val="0"/>
      <w:marRight w:val="0"/>
      <w:marTop w:val="0"/>
      <w:marBottom w:val="0"/>
      <w:divBdr>
        <w:top w:val="none" w:sz="0" w:space="0" w:color="auto"/>
        <w:left w:val="none" w:sz="0" w:space="0" w:color="auto"/>
        <w:bottom w:val="none" w:sz="0" w:space="0" w:color="auto"/>
        <w:right w:val="none" w:sz="0" w:space="0" w:color="auto"/>
      </w:divBdr>
    </w:div>
    <w:div w:id="1551765744">
      <w:bodyDiv w:val="1"/>
      <w:marLeft w:val="0"/>
      <w:marRight w:val="0"/>
      <w:marTop w:val="0"/>
      <w:marBottom w:val="0"/>
      <w:divBdr>
        <w:top w:val="none" w:sz="0" w:space="0" w:color="auto"/>
        <w:left w:val="none" w:sz="0" w:space="0" w:color="auto"/>
        <w:bottom w:val="none" w:sz="0" w:space="0" w:color="auto"/>
        <w:right w:val="none" w:sz="0" w:space="0" w:color="auto"/>
      </w:divBdr>
    </w:div>
    <w:div w:id="1618176565">
      <w:bodyDiv w:val="1"/>
      <w:marLeft w:val="0"/>
      <w:marRight w:val="0"/>
      <w:marTop w:val="0"/>
      <w:marBottom w:val="0"/>
      <w:divBdr>
        <w:top w:val="none" w:sz="0" w:space="0" w:color="auto"/>
        <w:left w:val="none" w:sz="0" w:space="0" w:color="auto"/>
        <w:bottom w:val="none" w:sz="0" w:space="0" w:color="auto"/>
        <w:right w:val="none" w:sz="0" w:space="0" w:color="auto"/>
      </w:divBdr>
    </w:div>
    <w:div w:id="1694840335">
      <w:bodyDiv w:val="1"/>
      <w:marLeft w:val="0"/>
      <w:marRight w:val="0"/>
      <w:marTop w:val="0"/>
      <w:marBottom w:val="0"/>
      <w:divBdr>
        <w:top w:val="none" w:sz="0" w:space="0" w:color="auto"/>
        <w:left w:val="none" w:sz="0" w:space="0" w:color="auto"/>
        <w:bottom w:val="none" w:sz="0" w:space="0" w:color="auto"/>
        <w:right w:val="none" w:sz="0" w:space="0" w:color="auto"/>
      </w:divBdr>
    </w:div>
    <w:div w:id="1760369510">
      <w:bodyDiv w:val="1"/>
      <w:marLeft w:val="0"/>
      <w:marRight w:val="0"/>
      <w:marTop w:val="0"/>
      <w:marBottom w:val="0"/>
      <w:divBdr>
        <w:top w:val="none" w:sz="0" w:space="0" w:color="auto"/>
        <w:left w:val="none" w:sz="0" w:space="0" w:color="auto"/>
        <w:bottom w:val="none" w:sz="0" w:space="0" w:color="auto"/>
        <w:right w:val="none" w:sz="0" w:space="0" w:color="auto"/>
      </w:divBdr>
    </w:div>
    <w:div w:id="1986885354">
      <w:bodyDiv w:val="1"/>
      <w:marLeft w:val="0"/>
      <w:marRight w:val="0"/>
      <w:marTop w:val="0"/>
      <w:marBottom w:val="0"/>
      <w:divBdr>
        <w:top w:val="none" w:sz="0" w:space="0" w:color="auto"/>
        <w:left w:val="none" w:sz="0" w:space="0" w:color="auto"/>
        <w:bottom w:val="none" w:sz="0" w:space="0" w:color="auto"/>
        <w:right w:val="none" w:sz="0" w:space="0" w:color="auto"/>
      </w:divBdr>
    </w:div>
    <w:div w:id="20280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B2C8EC343E0143ADC7E8031EC93DD0" ma:contentTypeVersion="12" ma:contentTypeDescription="Create a new document." ma:contentTypeScope="" ma:versionID="666efc01d4bf7e18d1af9478fc9c2432">
  <xsd:schema xmlns:xsd="http://www.w3.org/2001/XMLSchema" xmlns:xs="http://www.w3.org/2001/XMLSchema" xmlns:p="http://schemas.microsoft.com/office/2006/metadata/properties" xmlns:ns3="024a0aa7-3621-4e4c-aa7b-c21a433657eb" xmlns:ns4="90e4a568-153b-4b4a-839f-c8bf1ef924b9" targetNamespace="http://schemas.microsoft.com/office/2006/metadata/properties" ma:root="true" ma:fieldsID="064911e585a69f268115c13b0dbe8584" ns3:_="" ns4:_="">
    <xsd:import namespace="024a0aa7-3621-4e4c-aa7b-c21a433657eb"/>
    <xsd:import namespace="90e4a568-153b-4b4a-839f-c8bf1ef924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a0aa7-3621-4e4c-aa7b-c21a43365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e4a568-153b-4b4a-839f-c8bf1ef924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C436F-1B7E-614E-8D4C-CAD2A6B74BD2}">
  <ds:schemaRefs>
    <ds:schemaRef ds:uri="http://schemas.openxmlformats.org/officeDocument/2006/bibliography"/>
  </ds:schemaRefs>
</ds:datastoreItem>
</file>

<file path=customXml/itemProps2.xml><?xml version="1.0" encoding="utf-8"?>
<ds:datastoreItem xmlns:ds="http://schemas.openxmlformats.org/officeDocument/2006/customXml" ds:itemID="{08AAA7B2-8FD0-450E-89FE-90FB2705A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a0aa7-3621-4e4c-aa7b-c21a433657eb"/>
    <ds:schemaRef ds:uri="90e4a568-153b-4b4a-839f-c8bf1ef92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4CD84-918C-4B5F-A982-31554040434E}">
  <ds:schemaRefs>
    <ds:schemaRef ds:uri="http://schemas.microsoft.com/sharepoint/v3/contenttype/forms"/>
  </ds:schemaRefs>
</ds:datastoreItem>
</file>

<file path=customXml/itemProps4.xml><?xml version="1.0" encoding="utf-8"?>
<ds:datastoreItem xmlns:ds="http://schemas.openxmlformats.org/officeDocument/2006/customXml" ds:itemID="{EC9E11ED-376B-4F5B-BFEB-4F4373BD0F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Carrilho, Magda</dc:creator>
  <cp:keywords/>
  <dc:description/>
  <cp:lastModifiedBy>Carla de Sousa</cp:lastModifiedBy>
  <cp:revision>2</cp:revision>
  <dcterms:created xsi:type="dcterms:W3CDTF">2020-06-26T12:25:00Z</dcterms:created>
  <dcterms:modified xsi:type="dcterms:W3CDTF">2020-06-26T12:25:00Z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0x010100B8B2C8EC343E0143ADC7E8031EC93DD0</vt:lpwstr>
  </property>
</Properties>
</file>