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color w:val="000000"/>
          <w:u w:val="single"/>
        </w:rPr>
      </w:pPr>
      <w:r w:rsidDel="00000000" w:rsidR="00000000" w:rsidRPr="00000000">
        <w:rPr>
          <w:color w:val="000000"/>
          <w:u w:val="single"/>
          <w:rtl w:val="0"/>
        </w:rPr>
        <w:t xml:space="preserve">Supplementary material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estimates were performed using R software (version 3.4.4). Code is available upon request.</w:t>
      </w:r>
    </w:p>
    <w:p w:rsidR="00000000" w:rsidDel="00000000" w:rsidP="00000000" w:rsidRDefault="00000000" w:rsidRPr="00000000" w14:paraId="00000005">
      <w:pPr>
        <w:jc w:val="both"/>
        <w:rPr>
          <w:u w:val="single"/>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u w:val="single"/>
          <w:rtl w:val="0"/>
        </w:rPr>
        <w:t xml:space="preserve">Estimates of Excess Mortality per age groups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As indicated in the main document, we calculated excess mortality estimates considering Excess Mortality (Exc1)</w:t>
      </w:r>
      <m:oMath>
        <m:r>
          <w:rPr>
            <w:rFonts w:ascii="Cambria Math" w:cs="Cambria Math" w:eastAsia="Cambria Math" w:hAnsi="Cambria Math"/>
          </w:rPr>
          <m:t xml:space="preserve">(∑ observed - ∑ defined baseline)</m:t>
        </m:r>
      </m:oMath>
      <w:r w:rsidDel="00000000" w:rsidR="00000000" w:rsidRPr="00000000">
        <w:rPr>
          <w:rtl w:val="0"/>
        </w:rPr>
        <w:t xml:space="preserve"> and Sum of Positive Excess Mortality (Exc2) </w:t>
      </w:r>
      <m:oMath>
        <m:r>
          <w:rPr>
            <w:rFonts w:ascii="Cambria Math" w:cs="Cambria Math" w:eastAsia="Cambria Math" w:hAnsi="Cambria Math"/>
          </w:rPr>
          <m:t xml:space="preserve">(∑ [observed - defined baseline] when this difference is positive)</m:t>
        </m:r>
      </m:oMath>
      <w:r w:rsidDel="00000000" w:rsidR="00000000" w:rsidRPr="00000000">
        <w:rPr>
          <w:rtl w:val="0"/>
        </w:rPr>
        <w:t xml:space="preserve">. Tabel S1 shows the calculation of excess mortality using all-causes mortality by age group.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Table S1</w:t>
      </w:r>
      <w:r w:rsidDel="00000000" w:rsidR="00000000" w:rsidRPr="00000000">
        <w:rPr>
          <w:rtl w:val="0"/>
        </w:rPr>
        <w:t xml:space="preserve">. Calculation of excess mortality using all-causes mortality by age group, up to the 8/4/2020 (available on the 11/4/2020)</w:t>
      </w:r>
    </w:p>
    <w:tbl>
      <w:tblPr>
        <w:tblStyle w:val="Table1"/>
        <w:tblW w:w="8990.0" w:type="dxa"/>
        <w:jc w:val="left"/>
        <w:tblInd w:w="0.0" w:type="dxa"/>
        <w:tblLayout w:type="fixed"/>
        <w:tblLook w:val="0400"/>
      </w:tblPr>
      <w:tblGrid>
        <w:gridCol w:w="1680"/>
        <w:gridCol w:w="870"/>
        <w:gridCol w:w="920"/>
        <w:gridCol w:w="920"/>
        <w:gridCol w:w="920"/>
        <w:gridCol w:w="1059"/>
        <w:gridCol w:w="781"/>
        <w:gridCol w:w="1059"/>
        <w:gridCol w:w="781"/>
        <w:tblGridChange w:id="0">
          <w:tblGrid>
            <w:gridCol w:w="1680"/>
            <w:gridCol w:w="870"/>
            <w:gridCol w:w="920"/>
            <w:gridCol w:w="920"/>
            <w:gridCol w:w="920"/>
            <w:gridCol w:w="1059"/>
            <w:gridCol w:w="781"/>
            <w:gridCol w:w="1059"/>
            <w:gridCol w:w="781"/>
          </w:tblGrid>
        </w:tblGridChange>
      </w:tblGrid>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A">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B">
            <w:pPr>
              <w:spacing w:after="0" w:line="240" w:lineRule="auto"/>
              <w:jc w:val="center"/>
              <w:rPr>
                <w:b w:val="1"/>
                <w:color w:val="000000"/>
                <w:sz w:val="20"/>
                <w:szCs w:val="20"/>
              </w:rPr>
            </w:pPr>
            <w:r w:rsidDel="00000000" w:rsidR="00000000" w:rsidRPr="00000000">
              <w:rPr>
                <w:b w:val="1"/>
                <w:color w:val="000000"/>
                <w:sz w:val="20"/>
                <w:szCs w:val="20"/>
                <w:rtl w:val="0"/>
              </w:rPr>
              <w:t xml:space="preserve">75+ age group</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D">
            <w:pPr>
              <w:spacing w:after="0" w:line="240" w:lineRule="auto"/>
              <w:jc w:val="center"/>
              <w:rPr>
                <w:b w:val="1"/>
                <w:color w:val="000000"/>
                <w:sz w:val="20"/>
                <w:szCs w:val="20"/>
              </w:rPr>
            </w:pPr>
            <w:r w:rsidDel="00000000" w:rsidR="00000000" w:rsidRPr="00000000">
              <w:rPr>
                <w:b w:val="1"/>
                <w:color w:val="000000"/>
                <w:sz w:val="20"/>
                <w:szCs w:val="20"/>
                <w:rtl w:val="0"/>
              </w:rPr>
              <w:t xml:space="preserve">65+ age group</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F">
            <w:pPr>
              <w:spacing w:after="0" w:line="240" w:lineRule="auto"/>
              <w:jc w:val="center"/>
              <w:rPr>
                <w:b w:val="1"/>
                <w:color w:val="000000"/>
                <w:sz w:val="20"/>
                <w:szCs w:val="20"/>
              </w:rPr>
            </w:pPr>
            <w:r w:rsidDel="00000000" w:rsidR="00000000" w:rsidRPr="00000000">
              <w:rPr>
                <w:b w:val="1"/>
                <w:color w:val="000000"/>
                <w:sz w:val="20"/>
                <w:szCs w:val="20"/>
                <w:rtl w:val="0"/>
              </w:rPr>
              <w:t xml:space="preserve">&lt;65 age group</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1">
            <w:pPr>
              <w:spacing w:after="0" w:line="240" w:lineRule="auto"/>
              <w:jc w:val="center"/>
              <w:rPr>
                <w:b w:val="1"/>
                <w:color w:val="000000"/>
                <w:sz w:val="20"/>
                <w:szCs w:val="20"/>
              </w:rPr>
            </w:pPr>
            <w:r w:rsidDel="00000000" w:rsidR="00000000" w:rsidRPr="00000000">
              <w:rPr>
                <w:b w:val="1"/>
                <w:color w:val="000000"/>
                <w:sz w:val="20"/>
                <w:szCs w:val="20"/>
                <w:rtl w:val="0"/>
              </w:rPr>
              <w:t xml:space="preserve">&lt;55 age group</w:t>
            </w:r>
          </w:p>
        </w:tc>
      </w:tr>
      <w:tr>
        <w:trPr>
          <w:trHeight w:val="285" w:hRule="atLeast"/>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3">
            <w:pPr>
              <w:spacing w:after="0" w:line="240" w:lineRule="auto"/>
              <w:rPr>
                <w:b w:val="1"/>
                <w:color w:val="000000"/>
                <w:sz w:val="20"/>
                <w:szCs w:val="20"/>
              </w:rPr>
            </w:pPr>
            <w:r w:rsidDel="00000000" w:rsidR="00000000" w:rsidRPr="00000000">
              <w:rPr>
                <w:b w:val="1"/>
                <w:color w:val="000000"/>
                <w:sz w:val="20"/>
                <w:szCs w:val="20"/>
                <w:rtl w:val="0"/>
              </w:rPr>
              <w:t xml:space="preserve">Baseline</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4">
            <w:pPr>
              <w:spacing w:after="0" w:line="240" w:lineRule="auto"/>
              <w:jc w:val="center"/>
              <w:rPr>
                <w:b w:val="1"/>
                <w:color w:val="000000"/>
                <w:sz w:val="20"/>
                <w:szCs w:val="20"/>
              </w:rPr>
            </w:pPr>
            <w:r w:rsidDel="00000000" w:rsidR="00000000" w:rsidRPr="00000000">
              <w:rPr>
                <w:b w:val="1"/>
                <w:color w:val="000000"/>
                <w:sz w:val="20"/>
                <w:szCs w:val="20"/>
                <w:rtl w:val="0"/>
              </w:rPr>
              <w:t xml:space="preserve">Exc1</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5">
            <w:pPr>
              <w:spacing w:after="0" w:line="240" w:lineRule="auto"/>
              <w:jc w:val="center"/>
              <w:rPr>
                <w:b w:val="1"/>
                <w:color w:val="000000"/>
                <w:sz w:val="20"/>
                <w:szCs w:val="20"/>
              </w:rPr>
            </w:pPr>
            <w:r w:rsidDel="00000000" w:rsidR="00000000" w:rsidRPr="00000000">
              <w:rPr>
                <w:b w:val="1"/>
                <w:color w:val="000000"/>
                <w:sz w:val="20"/>
                <w:szCs w:val="20"/>
                <w:rtl w:val="0"/>
              </w:rPr>
              <w:t xml:space="preserve">Exc2</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6">
            <w:pPr>
              <w:spacing w:after="0" w:line="240" w:lineRule="auto"/>
              <w:jc w:val="center"/>
              <w:rPr>
                <w:b w:val="1"/>
                <w:color w:val="000000"/>
                <w:sz w:val="20"/>
                <w:szCs w:val="20"/>
              </w:rPr>
            </w:pPr>
            <w:r w:rsidDel="00000000" w:rsidR="00000000" w:rsidRPr="00000000">
              <w:rPr>
                <w:b w:val="1"/>
                <w:color w:val="000000"/>
                <w:sz w:val="20"/>
                <w:szCs w:val="20"/>
                <w:rtl w:val="0"/>
              </w:rPr>
              <w:t xml:space="preserve">Exc1</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7">
            <w:pPr>
              <w:spacing w:after="0" w:line="240" w:lineRule="auto"/>
              <w:jc w:val="center"/>
              <w:rPr>
                <w:b w:val="1"/>
                <w:color w:val="000000"/>
                <w:sz w:val="20"/>
                <w:szCs w:val="20"/>
              </w:rPr>
            </w:pPr>
            <w:r w:rsidDel="00000000" w:rsidR="00000000" w:rsidRPr="00000000">
              <w:rPr>
                <w:b w:val="1"/>
                <w:color w:val="000000"/>
                <w:sz w:val="20"/>
                <w:szCs w:val="20"/>
                <w:rtl w:val="0"/>
              </w:rPr>
              <w:t xml:space="preserve">Exc2</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8">
            <w:pPr>
              <w:spacing w:after="0" w:line="240" w:lineRule="auto"/>
              <w:jc w:val="center"/>
              <w:rPr>
                <w:b w:val="1"/>
                <w:color w:val="000000"/>
                <w:sz w:val="20"/>
                <w:szCs w:val="20"/>
              </w:rPr>
            </w:pPr>
            <w:r w:rsidDel="00000000" w:rsidR="00000000" w:rsidRPr="00000000">
              <w:rPr>
                <w:b w:val="1"/>
                <w:color w:val="000000"/>
                <w:sz w:val="20"/>
                <w:szCs w:val="20"/>
                <w:rtl w:val="0"/>
              </w:rPr>
              <w:t xml:space="preserve">Exc1</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9">
            <w:pPr>
              <w:spacing w:after="0" w:line="240" w:lineRule="auto"/>
              <w:jc w:val="center"/>
              <w:rPr>
                <w:b w:val="1"/>
                <w:color w:val="000000"/>
                <w:sz w:val="20"/>
                <w:szCs w:val="20"/>
              </w:rPr>
            </w:pPr>
            <w:r w:rsidDel="00000000" w:rsidR="00000000" w:rsidRPr="00000000">
              <w:rPr>
                <w:b w:val="1"/>
                <w:color w:val="000000"/>
                <w:sz w:val="20"/>
                <w:szCs w:val="20"/>
                <w:rtl w:val="0"/>
              </w:rPr>
              <w:t xml:space="preserve">Exc2</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A">
            <w:pPr>
              <w:spacing w:after="0" w:line="240" w:lineRule="auto"/>
              <w:jc w:val="center"/>
              <w:rPr>
                <w:b w:val="1"/>
                <w:color w:val="000000"/>
                <w:sz w:val="20"/>
                <w:szCs w:val="20"/>
              </w:rPr>
            </w:pPr>
            <w:r w:rsidDel="00000000" w:rsidR="00000000" w:rsidRPr="00000000">
              <w:rPr>
                <w:b w:val="1"/>
                <w:color w:val="000000"/>
                <w:sz w:val="20"/>
                <w:szCs w:val="20"/>
                <w:rtl w:val="0"/>
              </w:rPr>
              <w:t xml:space="preserve">Exc1</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B">
            <w:pPr>
              <w:spacing w:after="0" w:line="240" w:lineRule="auto"/>
              <w:jc w:val="center"/>
              <w:rPr>
                <w:b w:val="1"/>
                <w:color w:val="000000"/>
                <w:sz w:val="20"/>
                <w:szCs w:val="20"/>
              </w:rPr>
            </w:pPr>
            <w:r w:rsidDel="00000000" w:rsidR="00000000" w:rsidRPr="00000000">
              <w:rPr>
                <w:b w:val="1"/>
                <w:color w:val="000000"/>
                <w:sz w:val="20"/>
                <w:szCs w:val="20"/>
                <w:rtl w:val="0"/>
              </w:rPr>
              <w:t xml:space="preserve">Exc2</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C">
            <w:pPr>
              <w:spacing w:after="0" w:line="240" w:lineRule="auto"/>
              <w:rPr>
                <w:color w:val="000000"/>
                <w:sz w:val="20"/>
                <w:szCs w:val="20"/>
              </w:rPr>
            </w:pPr>
            <w:r w:rsidDel="00000000" w:rsidR="00000000" w:rsidRPr="00000000">
              <w:rPr>
                <w:color w:val="000000"/>
                <w:sz w:val="20"/>
                <w:szCs w:val="20"/>
                <w:rtl w:val="0"/>
              </w:rPr>
              <w:t xml:space="preserve">Minimum</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D">
            <w:pPr>
              <w:spacing w:after="0" w:line="240" w:lineRule="auto"/>
              <w:jc w:val="center"/>
              <w:rPr>
                <w:color w:val="000000"/>
                <w:sz w:val="20"/>
                <w:szCs w:val="20"/>
              </w:rPr>
            </w:pPr>
            <w:r w:rsidDel="00000000" w:rsidR="00000000" w:rsidRPr="00000000">
              <w:rPr>
                <w:color w:val="000000"/>
                <w:sz w:val="20"/>
                <w:szCs w:val="20"/>
                <w:rtl w:val="0"/>
              </w:rPr>
              <w:t xml:space="preserve">1177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E">
            <w:pPr>
              <w:spacing w:after="0" w:line="240" w:lineRule="auto"/>
              <w:jc w:val="center"/>
              <w:rPr>
                <w:color w:val="000000"/>
                <w:sz w:val="20"/>
                <w:szCs w:val="20"/>
              </w:rPr>
            </w:pPr>
            <w:r w:rsidDel="00000000" w:rsidR="00000000" w:rsidRPr="00000000">
              <w:rPr>
                <w:color w:val="000000"/>
                <w:sz w:val="20"/>
                <w:szCs w:val="20"/>
                <w:rtl w:val="0"/>
              </w:rPr>
              <w:t xml:space="preserve">1733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1224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spacing w:after="0" w:line="240" w:lineRule="auto"/>
              <w:jc w:val="center"/>
              <w:rPr>
                <w:color w:val="000000"/>
                <w:sz w:val="20"/>
                <w:szCs w:val="20"/>
              </w:rPr>
            </w:pPr>
            <w:r w:rsidDel="00000000" w:rsidR="00000000" w:rsidRPr="00000000">
              <w:rPr>
                <w:color w:val="000000"/>
                <w:sz w:val="20"/>
                <w:szCs w:val="20"/>
                <w:rtl w:val="0"/>
              </w:rPr>
              <w:t xml:space="preserve">1894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180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3">
            <w:pPr>
              <w:spacing w:after="0" w:line="240" w:lineRule="auto"/>
              <w:jc w:val="center"/>
              <w:rPr>
                <w:color w:val="000000"/>
                <w:sz w:val="20"/>
                <w:szCs w:val="20"/>
              </w:rPr>
            </w:pPr>
            <w:r w:rsidDel="00000000" w:rsidR="00000000" w:rsidRPr="00000000">
              <w:rPr>
                <w:color w:val="000000"/>
                <w:sz w:val="20"/>
                <w:szCs w:val="20"/>
                <w:rtl w:val="0"/>
              </w:rPr>
              <w:t xml:space="preserve">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4">
            <w:pPr>
              <w:spacing w:after="0" w:line="240" w:lineRule="auto"/>
              <w:jc w:val="center"/>
              <w:rPr>
                <w:color w:val="000000"/>
                <w:sz w:val="20"/>
                <w:szCs w:val="20"/>
              </w:rPr>
            </w:pPr>
            <w:r w:rsidDel="00000000" w:rsidR="00000000" w:rsidRPr="00000000">
              <w:rPr>
                <w:color w:val="000000"/>
                <w:sz w:val="20"/>
                <w:szCs w:val="20"/>
                <w:rtl w:val="0"/>
              </w:rPr>
              <w:t xml:space="preserve">105</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spacing w:after="0" w:line="240" w:lineRule="auto"/>
              <w:rPr>
                <w:color w:val="000000"/>
                <w:sz w:val="20"/>
                <w:szCs w:val="20"/>
              </w:rPr>
            </w:pPr>
            <w:r w:rsidDel="00000000" w:rsidR="00000000" w:rsidRPr="00000000">
              <w:rPr>
                <w:color w:val="000000"/>
                <w:sz w:val="20"/>
                <w:szCs w:val="20"/>
                <w:rtl w:val="0"/>
              </w:rPr>
              <w:t xml:space="preserve">Maximum</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-672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spacing w:after="0" w:line="240" w:lineRule="auto"/>
              <w:jc w:val="center"/>
              <w:rPr>
                <w:color w:val="000000"/>
                <w:sz w:val="20"/>
                <w:szCs w:val="20"/>
              </w:rPr>
            </w:pPr>
            <w:r w:rsidDel="00000000" w:rsidR="00000000" w:rsidRPr="00000000">
              <w:rPr>
                <w:color w:val="000000"/>
                <w:sz w:val="20"/>
                <w:szCs w:val="20"/>
                <w:rtl w:val="0"/>
              </w:rPr>
              <w:t xml:space="preserve">388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8">
            <w:pPr>
              <w:spacing w:after="0" w:line="240" w:lineRule="auto"/>
              <w:jc w:val="center"/>
              <w:rPr>
                <w:color w:val="000000"/>
                <w:sz w:val="20"/>
                <w:szCs w:val="20"/>
              </w:rPr>
            </w:pPr>
            <w:r w:rsidDel="00000000" w:rsidR="00000000" w:rsidRPr="00000000">
              <w:rPr>
                <w:color w:val="000000"/>
                <w:sz w:val="20"/>
                <w:szCs w:val="20"/>
                <w:rtl w:val="0"/>
              </w:rPr>
              <w:t xml:space="preserve">-852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420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-571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-375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0</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E">
            <w:pPr>
              <w:spacing w:after="0" w:line="240" w:lineRule="auto"/>
              <w:rPr>
                <w:color w:val="000000"/>
                <w:sz w:val="20"/>
                <w:szCs w:val="20"/>
              </w:rPr>
            </w:pPr>
            <w:r w:rsidDel="00000000" w:rsidR="00000000" w:rsidRPr="00000000">
              <w:rPr>
                <w:color w:val="000000"/>
                <w:sz w:val="20"/>
                <w:szCs w:val="20"/>
                <w:rtl w:val="0"/>
              </w:rPr>
              <w:t xml:space="preserve">Median</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F">
            <w:pPr>
              <w:spacing w:after="0" w:line="240" w:lineRule="auto"/>
              <w:jc w:val="center"/>
              <w:rPr>
                <w:color w:val="000000"/>
                <w:sz w:val="20"/>
                <w:szCs w:val="20"/>
              </w:rPr>
            </w:pPr>
            <w:r w:rsidDel="00000000" w:rsidR="00000000" w:rsidRPr="00000000">
              <w:rPr>
                <w:color w:val="000000"/>
                <w:sz w:val="20"/>
                <w:szCs w:val="20"/>
                <w:rtl w:val="0"/>
              </w:rPr>
              <w:t xml:space="preserve">260,5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959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170,5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2">
            <w:pPr>
              <w:spacing w:after="0" w:line="240" w:lineRule="auto"/>
              <w:jc w:val="center"/>
              <w:rPr>
                <w:color w:val="000000"/>
                <w:sz w:val="20"/>
                <w:szCs w:val="20"/>
              </w:rPr>
            </w:pPr>
            <w:r w:rsidDel="00000000" w:rsidR="00000000" w:rsidRPr="00000000">
              <w:rPr>
                <w:color w:val="000000"/>
                <w:sz w:val="20"/>
                <w:szCs w:val="20"/>
                <w:rtl w:val="0"/>
              </w:rPr>
              <w:t xml:space="preserve">1037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3">
            <w:pPr>
              <w:spacing w:after="0" w:line="240" w:lineRule="auto"/>
              <w:jc w:val="center"/>
              <w:rPr>
                <w:color w:val="000000"/>
                <w:sz w:val="20"/>
                <w:szCs w:val="20"/>
              </w:rPr>
            </w:pPr>
            <w:r w:rsidDel="00000000" w:rsidR="00000000" w:rsidRPr="00000000">
              <w:rPr>
                <w:color w:val="000000"/>
                <w:sz w:val="20"/>
                <w:szCs w:val="20"/>
                <w:rtl w:val="0"/>
              </w:rPr>
              <w:t xml:space="preserve">-272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4">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6">
            <w:pPr>
              <w:spacing w:after="0" w:line="240" w:lineRule="auto"/>
              <w:jc w:val="center"/>
              <w:rPr>
                <w:color w:val="000000"/>
                <w:sz w:val="20"/>
                <w:szCs w:val="20"/>
              </w:rPr>
            </w:pPr>
            <w:r w:rsidDel="00000000" w:rsidR="00000000" w:rsidRPr="00000000">
              <w:rPr>
                <w:color w:val="000000"/>
                <w:sz w:val="20"/>
                <w:szCs w:val="20"/>
                <w:rtl w:val="0"/>
              </w:rPr>
              <w:t xml:space="preserve">23</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7">
            <w:pPr>
              <w:spacing w:after="0" w:line="240" w:lineRule="auto"/>
              <w:rPr>
                <w:color w:val="000000"/>
                <w:sz w:val="20"/>
                <w:szCs w:val="20"/>
              </w:rPr>
            </w:pPr>
            <w:r w:rsidDel="00000000" w:rsidR="00000000" w:rsidRPr="00000000">
              <w:rPr>
                <w:color w:val="000000"/>
                <w:sz w:val="20"/>
                <w:szCs w:val="20"/>
                <w:rtl w:val="0"/>
              </w:rPr>
              <w:t xml:space="preserve">Mean</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170,2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902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95,4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977,2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C">
            <w:pPr>
              <w:spacing w:after="0" w:line="240" w:lineRule="auto"/>
              <w:jc w:val="center"/>
              <w:rPr>
                <w:color w:val="000000"/>
                <w:sz w:val="20"/>
                <w:szCs w:val="20"/>
              </w:rPr>
            </w:pPr>
            <w:r w:rsidDel="00000000" w:rsidR="00000000" w:rsidRPr="00000000">
              <w:rPr>
                <w:color w:val="000000"/>
                <w:sz w:val="20"/>
                <w:szCs w:val="20"/>
                <w:rtl w:val="0"/>
              </w:rPr>
              <w:t xml:space="preserve">-270,2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D">
            <w:pPr>
              <w:spacing w:after="0" w:line="240" w:lineRule="auto"/>
              <w:jc w:val="center"/>
              <w:rPr>
                <w:color w:val="000000"/>
                <w:sz w:val="20"/>
                <w:szCs w:val="20"/>
              </w:rPr>
            </w:pPr>
            <w:r w:rsidDel="00000000" w:rsidR="00000000" w:rsidRPr="00000000">
              <w:rPr>
                <w:color w:val="000000"/>
                <w:sz w:val="20"/>
                <w:szCs w:val="20"/>
                <w:rtl w:val="0"/>
              </w:rPr>
              <w:t xml:space="preserve">42,6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E">
            <w:pPr>
              <w:spacing w:after="0" w:line="240" w:lineRule="auto"/>
              <w:jc w:val="center"/>
              <w:rPr>
                <w:color w:val="000000"/>
                <w:sz w:val="20"/>
                <w:szCs w:val="20"/>
              </w:rPr>
            </w:pPr>
            <w:r w:rsidDel="00000000" w:rsidR="00000000" w:rsidRPr="00000000">
              <w:rPr>
                <w:color w:val="000000"/>
                <w:sz w:val="20"/>
                <w:szCs w:val="20"/>
                <w:rtl w:val="0"/>
              </w:rPr>
              <w:t xml:space="preserve">-151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24.4</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0">
            <w:pPr>
              <w:spacing w:after="0" w:line="240" w:lineRule="auto"/>
              <w:rPr>
                <w:color w:val="000000"/>
                <w:sz w:val="20"/>
                <w:szCs w:val="20"/>
              </w:rPr>
            </w:pPr>
            <w:r w:rsidDel="00000000" w:rsidR="00000000" w:rsidRPr="00000000">
              <w:rPr>
                <w:color w:val="000000"/>
                <w:sz w:val="20"/>
                <w:szCs w:val="20"/>
                <w:rtl w:val="0"/>
              </w:rPr>
              <w:t xml:space="preserve">Mean + 1 month</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947,2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1434,6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967,4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1574,2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-203,6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-132.8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8">
            <w:pPr>
              <w:spacing w:after="0" w:line="240" w:lineRule="auto"/>
              <w:jc w:val="center"/>
              <w:rPr>
                <w:color w:val="000000"/>
                <w:sz w:val="20"/>
                <w:szCs w:val="20"/>
              </w:rPr>
            </w:pPr>
            <w:r w:rsidDel="00000000" w:rsidR="00000000" w:rsidRPr="00000000">
              <w:rPr>
                <w:color w:val="000000"/>
                <w:sz w:val="20"/>
                <w:szCs w:val="20"/>
                <w:rtl w:val="0"/>
              </w:rPr>
              <w:t xml:space="preserve">21.2</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9">
            <w:pPr>
              <w:spacing w:after="0" w:line="240" w:lineRule="auto"/>
              <w:rPr>
                <w:color w:val="000000"/>
                <w:sz w:val="20"/>
                <w:szCs w:val="20"/>
              </w:rPr>
            </w:pPr>
            <w:r w:rsidDel="00000000" w:rsidR="00000000" w:rsidRPr="00000000">
              <w:rPr>
                <w:color w:val="000000"/>
                <w:sz w:val="20"/>
                <w:szCs w:val="20"/>
                <w:rtl w:val="0"/>
              </w:rPr>
              <w:t xml:space="preserve">Mean + 2 months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1423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1763,6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1475,8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1927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-197,8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39,2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-137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20</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2">
            <w:pPr>
              <w:spacing w:after="0" w:line="240" w:lineRule="auto"/>
              <w:rPr>
                <w:color w:val="000000"/>
                <w:sz w:val="20"/>
                <w:szCs w:val="20"/>
              </w:rPr>
            </w:pPr>
            <w:r w:rsidDel="00000000" w:rsidR="00000000" w:rsidRPr="00000000">
              <w:rPr>
                <w:color w:val="000000"/>
                <w:sz w:val="20"/>
                <w:szCs w:val="20"/>
                <w:rtl w:val="0"/>
              </w:rPr>
              <w:t xml:space="preserve">Mean </w:t>
            </w:r>
            <w:r w:rsidDel="00000000" w:rsidR="00000000" w:rsidRPr="00000000">
              <w:rPr>
                <w:sz w:val="20"/>
                <w:szCs w:val="20"/>
                <w:rtl w:val="0"/>
              </w:rPr>
              <w:t xml:space="preserve">+ 3 months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1641,8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1925,6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1741,8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2131,2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-176,6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46,2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-127.6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23.6</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B">
            <w:pPr>
              <w:spacing w:after="0" w:line="240" w:lineRule="auto"/>
              <w:rPr>
                <w:color w:val="000000"/>
                <w:sz w:val="20"/>
                <w:szCs w:val="20"/>
              </w:rPr>
            </w:pPr>
            <w:r w:rsidDel="00000000" w:rsidR="00000000" w:rsidRPr="00000000">
              <w:rPr>
                <w:color w:val="000000"/>
                <w:sz w:val="20"/>
                <w:szCs w:val="20"/>
                <w:rtl w:val="0"/>
              </w:rPr>
              <w:t xml:space="preserve">Mean </w:t>
            </w:r>
            <w:r w:rsidDel="00000000" w:rsidR="00000000" w:rsidRPr="00000000">
              <w:rPr>
                <w:sz w:val="20"/>
                <w:szCs w:val="20"/>
                <w:rtl w:val="0"/>
              </w:rPr>
              <w:t xml:space="preserve">+ 4 months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1700,2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spacing w:after="0" w:line="240" w:lineRule="auto"/>
              <w:jc w:val="center"/>
              <w:rPr>
                <w:color w:val="000000"/>
                <w:sz w:val="20"/>
                <w:szCs w:val="20"/>
              </w:rPr>
            </w:pPr>
            <w:r w:rsidDel="00000000" w:rsidR="00000000" w:rsidRPr="00000000">
              <w:rPr>
                <w:color w:val="000000"/>
                <w:sz w:val="20"/>
                <w:szCs w:val="20"/>
                <w:rtl w:val="0"/>
              </w:rPr>
              <w:t xml:space="preserve">1953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E">
            <w:pPr>
              <w:spacing w:after="0" w:line="240" w:lineRule="auto"/>
              <w:jc w:val="center"/>
              <w:rPr>
                <w:color w:val="000000"/>
                <w:sz w:val="20"/>
                <w:szCs w:val="20"/>
              </w:rPr>
            </w:pPr>
            <w:r w:rsidDel="00000000" w:rsidR="00000000" w:rsidRPr="00000000">
              <w:rPr>
                <w:color w:val="000000"/>
                <w:sz w:val="20"/>
                <w:szCs w:val="20"/>
                <w:rtl w:val="0"/>
              </w:rPr>
              <w:t xml:space="preserve">1851,8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F">
            <w:pPr>
              <w:spacing w:after="0" w:line="240" w:lineRule="auto"/>
              <w:jc w:val="center"/>
              <w:rPr>
                <w:color w:val="000000"/>
                <w:sz w:val="20"/>
                <w:szCs w:val="20"/>
              </w:rPr>
            </w:pPr>
            <w:r w:rsidDel="00000000" w:rsidR="00000000" w:rsidRPr="00000000">
              <w:rPr>
                <w:color w:val="000000"/>
                <w:sz w:val="20"/>
                <w:szCs w:val="20"/>
                <w:rtl w:val="0"/>
              </w:rPr>
              <w:t xml:space="preserve">2192,2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-199,6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36,8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-141.8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17</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4">
            <w:pPr>
              <w:spacing w:after="0" w:line="240" w:lineRule="auto"/>
              <w:rPr>
                <w:color w:val="000000"/>
                <w:sz w:val="20"/>
                <w:szCs w:val="20"/>
              </w:rPr>
            </w:pPr>
            <w:r w:rsidDel="00000000" w:rsidR="00000000" w:rsidRPr="00000000">
              <w:rPr>
                <w:color w:val="000000"/>
                <w:sz w:val="20"/>
                <w:szCs w:val="20"/>
                <w:rtl w:val="0"/>
              </w:rPr>
              <w:t xml:space="preserve">Mean </w:t>
            </w:r>
            <w:r w:rsidDel="00000000" w:rsidR="00000000" w:rsidRPr="00000000">
              <w:rPr>
                <w:sz w:val="20"/>
                <w:szCs w:val="20"/>
                <w:rtl w:val="0"/>
              </w:rPr>
              <w:t xml:space="preserve">+ 5 months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1718,2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1981,6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1867,6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2211,4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9">
            <w:pPr>
              <w:spacing w:after="0" w:line="240" w:lineRule="auto"/>
              <w:jc w:val="center"/>
              <w:rPr>
                <w:color w:val="000000"/>
                <w:sz w:val="20"/>
                <w:szCs w:val="20"/>
              </w:rPr>
            </w:pPr>
            <w:r w:rsidDel="00000000" w:rsidR="00000000" w:rsidRPr="00000000">
              <w:rPr>
                <w:color w:val="000000"/>
                <w:sz w:val="20"/>
                <w:szCs w:val="20"/>
                <w:rtl w:val="0"/>
              </w:rPr>
              <w:t xml:space="preserve">-202,6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A">
            <w:pPr>
              <w:spacing w:after="0" w:line="240" w:lineRule="auto"/>
              <w:jc w:val="center"/>
              <w:rPr>
                <w:color w:val="000000"/>
                <w:sz w:val="20"/>
                <w:szCs w:val="20"/>
              </w:rPr>
            </w:pPr>
            <w:r w:rsidDel="00000000" w:rsidR="00000000" w:rsidRPr="00000000">
              <w:rPr>
                <w:color w:val="000000"/>
                <w:sz w:val="20"/>
                <w:szCs w:val="20"/>
                <w:rtl w:val="0"/>
              </w:rPr>
              <w:t xml:space="preserve">40,2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-148.8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18</w:t>
            </w:r>
          </w:p>
        </w:tc>
      </w:tr>
      <w:tr>
        <w:trPr>
          <w:trHeight w:val="120" w:hRule="atLeast"/>
        </w:trPr>
        <w:tc>
          <w:tcPr>
            <w:gridSpan w:val="9"/>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6D">
            <w:pPr>
              <w:spacing w:after="0" w:line="240" w:lineRule="auto"/>
              <w:rPr>
                <w:sz w:val="20"/>
                <w:szCs w:val="20"/>
              </w:rPr>
            </w:pPr>
            <w:r w:rsidDel="00000000" w:rsidR="00000000" w:rsidRPr="00000000">
              <w:rPr>
                <w:rtl w:val="0"/>
              </w:rPr>
            </w:r>
          </w:p>
        </w:tc>
      </w:tr>
      <w:tr>
        <w:trPr>
          <w:trHeight w:val="855" w:hRule="atLeast"/>
        </w:trPr>
        <w:tc>
          <w:tcPr>
            <w:gridSpan w:val="9"/>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Exc1 – Excess mortality </w:t>
            </w:r>
            <m:oMath>
              <m:r>
                <w:rPr>
                  <w:rFonts w:ascii="Times New Roman" w:cs="Times New Roman" w:eastAsia="Times New Roman" w:hAnsi="Times New Roman"/>
                  <w:sz w:val="20"/>
                  <w:szCs w:val="20"/>
                </w:rPr>
                <m:t xml:space="preserve">(∑ observed - ∑ defined baseline);</m:t>
              </m:r>
            </m:oMath>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Exc2 – Sum of positive excess mortality </w:t>
            </w:r>
            <m:oMath>
              <m:r>
                <w:rPr>
                  <w:rFonts w:ascii="Times New Roman" w:cs="Times New Roman" w:eastAsia="Times New Roman" w:hAnsi="Times New Roman"/>
                  <w:sz w:val="20"/>
                  <w:szCs w:val="20"/>
                </w:rPr>
                <m:t xml:space="preserve">(∑ [observed - defined baseline] when this difference is positive)</m:t>
              </m:r>
            </m:oMath>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8">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Table S1 results show that the estimated excess mortality is associated with the older patient age groups, with different baselines showing consistent results. Mortality in the younger age groups is, in average, below the proposed baselines as theorized.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u w:val="single"/>
          <w:rtl w:val="0"/>
        </w:rPr>
        <w:t xml:space="preserve">Estimates of Excess Mortality per District in Portugal Mainland</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Figure S1 shows graphical evolution of all-causes mortality by district of mainland Portugal (8 district out of 18) where it is clear that some districts (Aveiro, Porto and Lisbon) have marked excess mortality, while others is around or below the proposed baselines.</w:t>
      </w:r>
    </w:p>
    <w:p w:rsidR="00000000" w:rsidDel="00000000" w:rsidP="00000000" w:rsidRDefault="00000000" w:rsidRPr="00000000" w14:paraId="00000086">
      <w:pPr>
        <w:jc w:val="both"/>
        <w:rPr/>
      </w:pPr>
      <w:r w:rsidDel="00000000" w:rsidR="00000000" w:rsidRPr="00000000">
        <w:rPr>
          <w:rtl w:val="0"/>
        </w:rPr>
        <w:t xml:space="preserve">Figure S2 shows excess mortalities by district, using three baselines (median, mean +1 month and mean + 3 months). In absolute terms, higher mortality estimates are geographically superimposed with districts with higher number of COVID-19 cases (those districts are more densely populated).</w:t>
      </w:r>
    </w:p>
    <w:p w:rsidR="00000000" w:rsidDel="00000000" w:rsidP="00000000" w:rsidRDefault="00000000" w:rsidRPr="00000000" w14:paraId="00000087">
      <w:pPr>
        <w:jc w:val="both"/>
        <w:rPr/>
      </w:pPr>
      <w:r w:rsidDel="00000000" w:rsidR="00000000" w:rsidRPr="00000000">
        <w:rPr>
          <w:rtl w:val="0"/>
        </w:rPr>
        <w:t xml:space="preserve">Figure figure S3 shows the same data as Figure S2 presented in relative terms using district resident population. In relative terms, estimates for excess mortalities seem overall homogeneous by district, with a tendency to higher values in districts older and less dense populations.</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pPr>
      <w:r w:rsidDel="00000000" w:rsidR="00000000" w:rsidRPr="00000000">
        <w:rPr/>
        <w:drawing>
          <wp:inline distB="0" distT="0" distL="0" distR="0">
            <wp:extent cx="5943600" cy="3666490"/>
            <wp:effectExtent b="0" l="0" r="0" t="0"/>
            <wp:docPr id="4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66649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pPr>
      <w:r w:rsidDel="00000000" w:rsidR="00000000" w:rsidRPr="00000000">
        <w:rPr>
          <w:rFonts w:ascii="Times New Roman" w:cs="Times New Roman" w:eastAsia="Times New Roman" w:hAnsi="Times New Roman"/>
          <w:sz w:val="20"/>
          <w:szCs w:val="20"/>
          <w:rtl w:val="0"/>
        </w:rPr>
        <w:t xml:space="preserve">Figure S1a. Graphical illustration for district-specific distribution of all-cause mortality  between March 6-April 8 for the Portugal Mainland Districts of Porto, Aveiro, Braga, Lisboa, Setúbal and Coimbra.  </w:t>
      </w:r>
      <w:r w:rsidDel="00000000" w:rsidR="00000000" w:rsidRPr="00000000">
        <w:rPr>
          <w:rtl w:val="0"/>
        </w:rPr>
      </w:r>
    </w:p>
    <w:p w:rsidR="00000000" w:rsidDel="00000000" w:rsidP="00000000" w:rsidRDefault="00000000" w:rsidRPr="00000000" w14:paraId="0000008B">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C">
      <w:pPr>
        <w:rPr/>
      </w:pPr>
      <w:r w:rsidDel="00000000" w:rsidR="00000000" w:rsidRPr="00000000">
        <w:rPr/>
        <w:drawing>
          <wp:inline distB="0" distT="0" distL="0" distR="0">
            <wp:extent cx="5943600" cy="3666490"/>
            <wp:effectExtent b="0" l="0" r="0" t="0"/>
            <wp:docPr id="4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366649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rPr/>
      </w:pPr>
      <w:r w:rsidDel="00000000" w:rsidR="00000000" w:rsidRPr="00000000">
        <w:rPr>
          <w:rFonts w:ascii="Times New Roman" w:cs="Times New Roman" w:eastAsia="Times New Roman" w:hAnsi="Times New Roman"/>
          <w:sz w:val="20"/>
          <w:szCs w:val="20"/>
          <w:rtl w:val="0"/>
        </w:rPr>
        <w:t xml:space="preserve">Figure S1b. Graphical illustration for district-specific distribution of all-cause mortality  between March 6-April 8 for the Portugal Mainland Districts of Beja, Faro, Guarda, Castelo Branco, Vila Real and Leiria.  </w:t>
      </w:r>
      <w:r w:rsidDel="00000000" w:rsidR="00000000" w:rsidRPr="00000000">
        <w:rPr>
          <w:rtl w:val="0"/>
        </w:rPr>
      </w:r>
    </w:p>
    <w:p w:rsidR="00000000" w:rsidDel="00000000" w:rsidP="00000000" w:rsidRDefault="00000000" w:rsidRPr="00000000" w14:paraId="0000008E">
      <w:pPr>
        <w:tabs>
          <w:tab w:val="left" w:pos="1271"/>
        </w:tabs>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707070"/>
        </w:rPr>
        <w:drawing>
          <wp:inline distB="0" distT="0" distL="0" distR="0">
            <wp:extent cx="5402580" cy="2933700"/>
            <wp:effectExtent b="0" l="0" r="0" t="0"/>
            <wp:docPr id="39"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40258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S2. Graphical representation of estimated excess mortality rates and Covid-19 estimated mortality rates in absolute terms, both by 100,000 inhabitants per district.</w:t>
      </w:r>
    </w:p>
    <w:p w:rsidR="00000000" w:rsidDel="00000000" w:rsidP="00000000" w:rsidRDefault="00000000" w:rsidRPr="00000000" w14:paraId="00000090">
      <w:pPr>
        <w:rPr/>
      </w:pPr>
      <w:r w:rsidDel="00000000" w:rsidR="00000000" w:rsidRPr="00000000">
        <w:rPr>
          <w:rtl w:val="0"/>
        </w:rPr>
        <w:t xml:space="preserve">Notes for Figure S2::</w:t>
      </w:r>
    </w:p>
    <w:p w:rsidR="00000000" w:rsidDel="00000000" w:rsidP="00000000" w:rsidRDefault="00000000" w:rsidRPr="00000000" w14:paraId="00000091">
      <w:pPr>
        <w:numPr>
          <w:ilvl w:val="1"/>
          <w:numId w:val="2"/>
        </w:numPr>
        <w:spacing w:after="0" w:lineRule="auto"/>
        <w:ind w:left="1440" w:hanging="360"/>
      </w:pPr>
      <w:r w:rsidDel="00000000" w:rsidR="00000000" w:rsidRPr="00000000">
        <w:rPr>
          <w:rtl w:val="0"/>
        </w:rPr>
        <w:t xml:space="preserve">Exc1 – estimated rate of excess mortality (sum of observed – sum of defined baseline) per 100,000 inhabitants.</w:t>
      </w:r>
    </w:p>
    <w:p w:rsidR="00000000" w:rsidDel="00000000" w:rsidP="00000000" w:rsidRDefault="00000000" w:rsidRPr="00000000" w14:paraId="00000092">
      <w:pPr>
        <w:numPr>
          <w:ilvl w:val="1"/>
          <w:numId w:val="2"/>
        </w:numPr>
        <w:spacing w:after="0" w:lineRule="auto"/>
        <w:ind w:left="1440" w:hanging="360"/>
      </w:pPr>
      <w:r w:rsidDel="00000000" w:rsidR="00000000" w:rsidRPr="00000000">
        <w:rPr>
          <w:rtl w:val="0"/>
        </w:rPr>
        <w:t xml:space="preserve">Exc2 – estimated rate of excess mortality (sum of [observed –defined baseline] when this difference is positive) per 100,000 inhabitants.</w:t>
      </w:r>
    </w:p>
    <w:p w:rsidR="00000000" w:rsidDel="00000000" w:rsidP="00000000" w:rsidRDefault="00000000" w:rsidRPr="00000000" w14:paraId="00000093">
      <w:pPr>
        <w:numPr>
          <w:ilvl w:val="1"/>
          <w:numId w:val="2"/>
        </w:numPr>
        <w:spacing w:after="0" w:lineRule="auto"/>
        <w:ind w:left="1440" w:hanging="360"/>
      </w:pPr>
      <w:r w:rsidDel="00000000" w:rsidR="00000000" w:rsidRPr="00000000">
        <w:rPr>
          <w:rtl w:val="0"/>
        </w:rPr>
        <w:t xml:space="preserve">In this figure, baselines used for excess estimation were i) median expected mortality, ii) mortality expected in average in the following month (+ 1 month); iii) mortality expected in average in three months (+ 3 months).</w:t>
      </w:r>
    </w:p>
    <w:p w:rsidR="00000000" w:rsidDel="00000000" w:rsidP="00000000" w:rsidRDefault="00000000" w:rsidRPr="00000000" w14:paraId="00000094">
      <w:pPr>
        <w:numPr>
          <w:ilvl w:val="1"/>
          <w:numId w:val="2"/>
        </w:numPr>
        <w:spacing w:after="0" w:lineRule="auto"/>
        <w:ind w:left="1440" w:hanging="360"/>
      </w:pPr>
      <w:r w:rsidDel="00000000" w:rsidR="00000000" w:rsidRPr="00000000">
        <w:rPr>
          <w:rtl w:val="0"/>
        </w:rPr>
        <w:t xml:space="preserve">Cov-est – estimated rate of Covid-19 mortality per 100,000 inhabitants.</w:t>
      </w:r>
    </w:p>
    <w:p w:rsidR="00000000" w:rsidDel="00000000" w:rsidP="00000000" w:rsidRDefault="00000000" w:rsidRPr="00000000" w14:paraId="00000095">
      <w:pPr>
        <w:tabs>
          <w:tab w:val="left" w:pos="1271"/>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982230" cy="3079314"/>
            <wp:effectExtent b="0" l="0" r="0" t="0"/>
            <wp:docPr id="4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82230" cy="3079314"/>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S3. Graphical representation of estimated excess mortality rates and Covid-19 estimated mortality rates in relative terms, both by 100,000 inhabitants per district.</w:t>
      </w:r>
    </w:p>
    <w:p w:rsidR="00000000" w:rsidDel="00000000" w:rsidP="00000000" w:rsidRDefault="00000000" w:rsidRPr="00000000" w14:paraId="00000098">
      <w:pPr>
        <w:rPr/>
      </w:pPr>
      <w:r w:rsidDel="00000000" w:rsidR="00000000" w:rsidRPr="00000000">
        <w:rPr>
          <w:rtl w:val="0"/>
        </w:rPr>
        <w:t xml:space="preserve">Notes for Figure S2::</w:t>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Exc1 – estimated rate of excess mortality (sum of observed – sum of defined baseline) per 100,000 inhabitants.</w:t>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Exc2 – estimated rate of excess mortality (sum of [observed –defined baseline] when this difference is positive) per 100,000 inhabitants.</w:t>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In this figure, baselines used for excess estimation were i) median expected mortality, ii) mortality expected in average in the following month (+ 1 month); iii) mortality expected in average in three months (+ 3 months).</w:t>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Cov-est – estimated rate of Covid-19 mortality per 100,000 inhabitants.</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Covid-19 mortality was estimated from municipal cases reported by DGS using three hypothetical death rates (2%, 2.7% and 3%).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spacing w:after="240" w:before="240" w:lineRule="auto"/>
        <w:jc w:val="both"/>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A0">
      <w:pPr>
        <w:spacing w:after="240" w:before="240" w:lineRule="auto"/>
        <w:jc w:val="both"/>
        <w:rPr>
          <w:u w:val="single"/>
        </w:rPr>
      </w:pPr>
      <w:r w:rsidDel="00000000" w:rsidR="00000000" w:rsidRPr="00000000">
        <w:rPr>
          <w:u w:val="single"/>
          <w:rtl w:val="0"/>
        </w:rPr>
        <w:t xml:space="preserve">Estimate of the potential impact in mortality due to reduction of daily-rate hospital </w:t>
      </w:r>
      <w:r w:rsidDel="00000000" w:rsidR="00000000" w:rsidRPr="00000000">
        <w:rPr>
          <w:u w:val="single"/>
          <w:rtl w:val="0"/>
        </w:rPr>
        <w:t xml:space="preserve">urgency</w:t>
      </w:r>
      <w:r w:rsidDel="00000000" w:rsidR="00000000" w:rsidRPr="00000000">
        <w:rPr>
          <w:u w:val="single"/>
          <w:rtl w:val="0"/>
        </w:rPr>
        <w:t xml:space="preserve"> department visits between March 1 - April 7</w:t>
      </w:r>
    </w:p>
    <w:p w:rsidR="00000000" w:rsidDel="00000000" w:rsidP="00000000" w:rsidRDefault="00000000" w:rsidRPr="00000000" w14:paraId="000000A1">
      <w:pPr>
        <w:spacing w:after="240" w:before="240" w:lineRule="auto"/>
        <w:jc w:val="both"/>
        <w:rPr/>
      </w:pPr>
      <w:r w:rsidDel="00000000" w:rsidR="00000000" w:rsidRPr="00000000">
        <w:rPr>
          <w:rtl w:val="0"/>
        </w:rPr>
        <w:t xml:space="preserve">We retrieved the data on urgency department visits according to the Manchester Triage System[1] from a public database [2]. The estimate was performed in 3 steps:</w:t>
      </w:r>
    </w:p>
    <w:p w:rsidR="00000000" w:rsidDel="00000000" w:rsidP="00000000" w:rsidRDefault="00000000" w:rsidRPr="00000000" w14:paraId="000000A2">
      <w:pPr>
        <w:spacing w:after="240" w:before="240" w:lineRule="auto"/>
        <w:jc w:val="both"/>
        <w:rPr/>
      </w:pPr>
      <w:r w:rsidDel="00000000" w:rsidR="00000000" w:rsidRPr="00000000">
        <w:rPr>
          <w:rtl w:val="0"/>
        </w:rPr>
        <w:t xml:space="preserve">Step 1- Three-day centered average counts of the daily visits between March 1 - April 7 were estimated as illustrated by Figure S4;</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402580" cy="3924300"/>
            <wp:effectExtent b="0" l="0" r="0" t="0"/>
            <wp:docPr id="4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40258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after="240" w:before="240" w:lineRule="auto"/>
        <w:jc w:val="both"/>
        <w:rPr>
          <w:sz w:val="20"/>
          <w:szCs w:val="20"/>
        </w:rPr>
      </w:pPr>
      <w:r w:rsidDel="00000000" w:rsidR="00000000" w:rsidRPr="00000000">
        <w:rPr>
          <w:sz w:val="20"/>
          <w:szCs w:val="20"/>
          <w:rtl w:val="0"/>
        </w:rPr>
        <w:t xml:space="preserve">Figure S4. </w:t>
      </w:r>
      <w:r w:rsidDel="00000000" w:rsidR="00000000" w:rsidRPr="00000000">
        <w:rPr>
          <w:sz w:val="20"/>
          <w:szCs w:val="20"/>
          <w:rtl w:val="0"/>
        </w:rPr>
        <w:t xml:space="preserve">Urgency</w:t>
      </w:r>
      <w:r w:rsidDel="00000000" w:rsidR="00000000" w:rsidRPr="00000000">
        <w:rPr>
          <w:sz w:val="20"/>
          <w:szCs w:val="20"/>
          <w:rtl w:val="0"/>
        </w:rPr>
        <w:t xml:space="preserve"> department visits between March 1 - April 7 in Portugal Mainland (counts, 3-day centered averages). Color lines according to the 5-point scale of the Manchester Triage System in crescent order of severity: Blue, Green, Yellow, Orange, Red [1]. </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 2- The difference between those daily averages estimated in Step 1 was calculated fo the same period for each Manchester System Triage color as demonstrated in Table S2;</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 3- The values obtained in step 2 for each Manchester System Triage color were multiplied by the correspondent death rate estimated from data of a Portuguese large hospital [2] and the values summed representing the number of potential deaths (Table S2).   </w:t>
      </w:r>
    </w:p>
    <w:p w:rsidR="00000000" w:rsidDel="00000000" w:rsidP="00000000" w:rsidRDefault="00000000" w:rsidRPr="00000000" w14:paraId="000000A7">
      <w:pPr>
        <w:spacing w:after="240" w:before="240" w:lineRule="auto"/>
        <w:jc w:val="both"/>
        <w:rPr/>
      </w:pPr>
      <w:r w:rsidDel="00000000" w:rsidR="00000000" w:rsidRPr="00000000">
        <w:rPr>
          <w:rtl w:val="0"/>
        </w:rPr>
      </w:r>
    </w:p>
    <w:tbl>
      <w:tblPr>
        <w:tblStyle w:val="Table2"/>
        <w:tblW w:w="7160.0" w:type="dxa"/>
        <w:jc w:val="left"/>
        <w:tblInd w:w="0.0" w:type="dxa"/>
        <w:tblLayout w:type="fixed"/>
        <w:tblLook w:val="0400"/>
      </w:tblPr>
      <w:tblGrid>
        <w:gridCol w:w="1640"/>
        <w:gridCol w:w="920"/>
        <w:gridCol w:w="920"/>
        <w:gridCol w:w="920"/>
        <w:gridCol w:w="920"/>
        <w:gridCol w:w="1840"/>
        <w:tblGridChange w:id="0">
          <w:tblGrid>
            <w:gridCol w:w="1640"/>
            <w:gridCol w:w="920"/>
            <w:gridCol w:w="920"/>
            <w:gridCol w:w="920"/>
            <w:gridCol w:w="920"/>
            <w:gridCol w:w="1840"/>
          </w:tblGrid>
        </w:tblGridChange>
      </w:tblGrid>
      <w:tr>
        <w:trPr>
          <w:trHeight w:val="220" w:hRule="atLeast"/>
        </w:trPr>
        <w:tc>
          <w:tcPr>
            <w:gridSpan w:val="6"/>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8">
            <w:pPr>
              <w:spacing w:after="240" w:before="240" w:lineRule="auto"/>
              <w:rPr>
                <w:rFonts w:ascii="Times New Roman" w:cs="Times New Roman" w:eastAsia="Times New Roman" w:hAnsi="Times New Roman"/>
                <w:sz w:val="20"/>
                <w:szCs w:val="20"/>
              </w:rPr>
            </w:pPr>
            <w:r w:rsidDel="00000000" w:rsidR="00000000" w:rsidRPr="00000000">
              <w:rPr>
                <w:b w:val="1"/>
                <w:rtl w:val="0"/>
              </w:rPr>
              <w:t xml:space="preserve">Table S2</w:t>
            </w:r>
            <w:r w:rsidDel="00000000" w:rsidR="00000000" w:rsidRPr="00000000">
              <w:rPr>
                <w:rtl w:val="0"/>
              </w:rPr>
              <w:t xml:space="preserve">. Average difference in </w:t>
            </w:r>
            <w:r w:rsidDel="00000000" w:rsidR="00000000" w:rsidRPr="00000000">
              <w:rPr>
                <w:rtl w:val="0"/>
              </w:rPr>
              <w:t xml:space="preserve">urgency</w:t>
            </w:r>
            <w:r w:rsidDel="00000000" w:rsidR="00000000" w:rsidRPr="00000000">
              <w:rPr>
                <w:rtl w:val="0"/>
              </w:rPr>
              <w:t xml:space="preserve"> department visits between March 1 and April 7 in Portugal Mainland according to the Manchester Triage System.</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E">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spacing w:after="0" w:line="240" w:lineRule="auto"/>
              <w:jc w:val="center"/>
              <w:rPr>
                <w:b w:val="1"/>
                <w:sz w:val="20"/>
                <w:szCs w:val="20"/>
              </w:rPr>
            </w:pPr>
            <w:r w:rsidDel="00000000" w:rsidR="00000000" w:rsidRPr="00000000">
              <w:rPr>
                <w:b w:val="1"/>
                <w:sz w:val="20"/>
                <w:szCs w:val="20"/>
                <w:rtl w:val="0"/>
              </w:rPr>
              <w:t xml:space="preserve">Step 2</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240" w:lineRule="auto"/>
              <w:jc w:val="center"/>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3">
            <w:pPr>
              <w:spacing w:after="0" w:line="240" w:lineRule="auto"/>
              <w:jc w:val="center"/>
              <w:rPr>
                <w:b w:val="1"/>
                <w:sz w:val="20"/>
                <w:szCs w:val="20"/>
              </w:rPr>
            </w:pPr>
            <w:r w:rsidDel="00000000" w:rsidR="00000000" w:rsidRPr="00000000">
              <w:rPr>
                <w:b w:val="1"/>
                <w:sz w:val="20"/>
                <w:szCs w:val="20"/>
                <w:rtl w:val="0"/>
              </w:rPr>
              <w:t xml:space="preserve">Step 3</w:t>
            </w:r>
          </w:p>
        </w:tc>
      </w:tr>
      <w:tr>
        <w:trPr>
          <w:trHeight w:val="285" w:hRule="atLeast"/>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B4">
            <w:pPr>
              <w:spacing w:after="0" w:line="240" w:lineRule="auto"/>
              <w:rPr>
                <w:b w:val="1"/>
                <w:sz w:val="20"/>
                <w:szCs w:val="20"/>
              </w:rPr>
            </w:pPr>
            <w:r w:rsidDel="00000000" w:rsidR="00000000" w:rsidRPr="00000000">
              <w:rPr>
                <w:b w:val="1"/>
                <w:sz w:val="20"/>
                <w:szCs w:val="20"/>
                <w:rtl w:val="0"/>
              </w:rPr>
              <w:t xml:space="preserve">Manchester Triage System</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B5">
            <w:pPr>
              <w:spacing w:after="0" w:line="240" w:lineRule="auto"/>
              <w:jc w:val="center"/>
              <w:rPr>
                <w:b w:val="1"/>
                <w:sz w:val="20"/>
                <w:szCs w:val="20"/>
              </w:rPr>
            </w:pPr>
            <w:r w:rsidDel="00000000" w:rsidR="00000000" w:rsidRPr="00000000">
              <w:rPr>
                <w:b w:val="1"/>
                <w:sz w:val="20"/>
                <w:szCs w:val="20"/>
                <w:rtl w:val="0"/>
              </w:rPr>
              <w:t xml:space="preserve">Difference between daily averages</w:t>
            </w:r>
          </w:p>
        </w:tc>
        <w:tc>
          <w:tcPr>
            <w:gridSpan w:val="2"/>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B7">
            <w:pPr>
              <w:spacing w:after="0" w:line="240" w:lineRule="auto"/>
              <w:jc w:val="center"/>
              <w:rPr>
                <w:b w:val="1"/>
                <w:sz w:val="20"/>
                <w:szCs w:val="20"/>
              </w:rPr>
            </w:pPr>
            <w:r w:rsidDel="00000000" w:rsidR="00000000" w:rsidRPr="00000000">
              <w:rPr>
                <w:b w:val="1"/>
                <w:sz w:val="20"/>
                <w:szCs w:val="20"/>
                <w:rtl w:val="0"/>
              </w:rPr>
              <w:t xml:space="preserve">Death rate* </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B9">
            <w:pPr>
              <w:spacing w:after="0" w:line="240" w:lineRule="auto"/>
              <w:jc w:val="center"/>
              <w:rPr>
                <w:b w:val="1"/>
                <w:sz w:val="20"/>
                <w:szCs w:val="20"/>
              </w:rPr>
            </w:pPr>
            <w:r w:rsidDel="00000000" w:rsidR="00000000" w:rsidRPr="00000000">
              <w:rPr>
                <w:b w:val="1"/>
                <w:sz w:val="20"/>
                <w:szCs w:val="20"/>
                <w:rtl w:val="0"/>
              </w:rPr>
              <w:t xml:space="preserve">N potential deaths (step 2 * death rate)</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A">
            <w:pPr>
              <w:spacing w:after="0" w:line="240" w:lineRule="auto"/>
              <w:rPr>
                <w:sz w:val="20"/>
                <w:szCs w:val="20"/>
              </w:rPr>
            </w:pPr>
            <w:r w:rsidDel="00000000" w:rsidR="00000000" w:rsidRPr="00000000">
              <w:rPr>
                <w:sz w:val="20"/>
                <w:szCs w:val="20"/>
                <w:rtl w:val="0"/>
              </w:rPr>
              <w:t xml:space="preserve">Red color</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B">
            <w:pPr>
              <w:spacing w:after="0" w:line="240" w:lineRule="auto"/>
              <w:jc w:val="center"/>
              <w:rPr>
                <w:sz w:val="20"/>
                <w:szCs w:val="20"/>
              </w:rPr>
            </w:pPr>
            <w:r w:rsidDel="00000000" w:rsidR="00000000" w:rsidRPr="00000000">
              <w:rPr>
                <w:sz w:val="20"/>
                <w:szCs w:val="20"/>
                <w:rtl w:val="0"/>
              </w:rPr>
              <w:t xml:space="preserve">|- 517|</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D">
            <w:pPr>
              <w:spacing w:after="0" w:line="240" w:lineRule="auto"/>
              <w:jc w:val="center"/>
              <w:rPr>
                <w:sz w:val="20"/>
                <w:szCs w:val="20"/>
              </w:rPr>
            </w:pPr>
            <w:r w:rsidDel="00000000" w:rsidR="00000000" w:rsidRPr="00000000">
              <w:rPr>
                <w:sz w:val="20"/>
                <w:szCs w:val="20"/>
                <w:rtl w:val="0"/>
              </w:rPr>
              <w:t xml:space="preserve">10.3 %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F">
            <w:pPr>
              <w:spacing w:after="0" w:line="240" w:lineRule="auto"/>
              <w:jc w:val="center"/>
              <w:rPr>
                <w:sz w:val="20"/>
                <w:szCs w:val="20"/>
              </w:rPr>
            </w:pPr>
            <w:r w:rsidDel="00000000" w:rsidR="00000000" w:rsidRPr="00000000">
              <w:rPr>
                <w:sz w:val="20"/>
                <w:szCs w:val="20"/>
                <w:rtl w:val="0"/>
              </w:rPr>
              <w:t xml:space="preserve">53</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0">
            <w:pPr>
              <w:spacing w:after="0" w:line="240" w:lineRule="auto"/>
              <w:rPr>
                <w:sz w:val="20"/>
                <w:szCs w:val="20"/>
              </w:rPr>
            </w:pPr>
            <w:r w:rsidDel="00000000" w:rsidR="00000000" w:rsidRPr="00000000">
              <w:rPr>
                <w:sz w:val="20"/>
                <w:szCs w:val="20"/>
                <w:rtl w:val="0"/>
              </w:rPr>
              <w:t xml:space="preserve">Orange color</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after="0" w:line="240" w:lineRule="auto"/>
              <w:jc w:val="center"/>
              <w:rPr>
                <w:sz w:val="20"/>
                <w:szCs w:val="20"/>
              </w:rPr>
            </w:pPr>
            <w:r w:rsidDel="00000000" w:rsidR="00000000" w:rsidRPr="00000000">
              <w:rPr>
                <w:sz w:val="20"/>
                <w:szCs w:val="20"/>
                <w:rtl w:val="0"/>
              </w:rPr>
              <w:t xml:space="preserve">|-19457|</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3">
            <w:pPr>
              <w:spacing w:after="0" w:line="24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5">
            <w:pPr>
              <w:spacing w:after="0" w:line="240" w:lineRule="auto"/>
              <w:jc w:val="center"/>
              <w:rPr>
                <w:sz w:val="20"/>
                <w:szCs w:val="20"/>
              </w:rPr>
            </w:pPr>
            <w:r w:rsidDel="00000000" w:rsidR="00000000" w:rsidRPr="00000000">
              <w:rPr>
                <w:sz w:val="20"/>
                <w:szCs w:val="20"/>
                <w:rtl w:val="0"/>
              </w:rPr>
              <w:t xml:space="preserve">778</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6">
            <w:pPr>
              <w:spacing w:after="0" w:line="240" w:lineRule="auto"/>
              <w:rPr>
                <w:sz w:val="20"/>
                <w:szCs w:val="20"/>
              </w:rPr>
            </w:pPr>
            <w:r w:rsidDel="00000000" w:rsidR="00000000" w:rsidRPr="00000000">
              <w:rPr>
                <w:sz w:val="20"/>
                <w:szCs w:val="20"/>
                <w:rtl w:val="0"/>
              </w:rPr>
              <w:t xml:space="preserve">Yellow color</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7">
            <w:pPr>
              <w:spacing w:after="0" w:line="240" w:lineRule="auto"/>
              <w:jc w:val="center"/>
              <w:rPr>
                <w:sz w:val="20"/>
                <w:szCs w:val="20"/>
              </w:rPr>
            </w:pPr>
            <w:r w:rsidDel="00000000" w:rsidR="00000000" w:rsidRPr="00000000">
              <w:rPr>
                <w:sz w:val="20"/>
                <w:szCs w:val="20"/>
                <w:rtl w:val="0"/>
              </w:rPr>
              <w:t xml:space="preserve">|-108251|</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spacing w:after="0" w:line="240" w:lineRule="auto"/>
              <w:jc w:val="center"/>
              <w:rPr>
                <w:sz w:val="20"/>
                <w:szCs w:val="20"/>
              </w:rPr>
            </w:pPr>
            <w:r w:rsidDel="00000000" w:rsidR="00000000" w:rsidRPr="00000000">
              <w:rPr>
                <w:sz w:val="20"/>
                <w:szCs w:val="20"/>
                <w:rtl w:val="0"/>
              </w:rPr>
              <w:t xml:space="preserve">0.00003%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B">
            <w:pPr>
              <w:spacing w:after="0" w:line="240" w:lineRule="auto"/>
              <w:jc w:val="center"/>
              <w:rPr>
                <w:sz w:val="20"/>
                <w:szCs w:val="20"/>
              </w:rPr>
            </w:pPr>
            <w:r w:rsidDel="00000000" w:rsidR="00000000" w:rsidRPr="00000000">
              <w:rPr>
                <w:sz w:val="20"/>
                <w:szCs w:val="20"/>
                <w:rtl w:val="0"/>
              </w:rPr>
              <w:t xml:space="preserve">3</w:t>
            </w:r>
          </w:p>
        </w:tc>
      </w:tr>
      <w:tr>
        <w:trPr>
          <w:trHeight w:val="285" w:hRule="atLeast"/>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C">
            <w:pPr>
              <w:spacing w:after="0" w:line="240" w:lineRule="auto"/>
              <w:rPr>
                <w:b w:val="1"/>
                <w:sz w:val="20"/>
                <w:szCs w:val="20"/>
              </w:rPr>
            </w:pPr>
            <w:r w:rsidDel="00000000" w:rsidR="00000000" w:rsidRPr="00000000">
              <w:rPr>
                <w:b w:val="1"/>
                <w:sz w:val="20"/>
                <w:szCs w:val="20"/>
                <w:rtl w:val="0"/>
              </w:rPr>
              <w:t xml:space="preserve">Total number of deaths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spacing w:after="0" w:line="240" w:lineRule="auto"/>
              <w:jc w:val="center"/>
              <w:rPr>
                <w:sz w:val="20"/>
                <w:szCs w:val="20"/>
              </w:rPr>
            </w:pPr>
            <w:r w:rsidDel="00000000" w:rsidR="00000000" w:rsidRPr="00000000">
              <w:rPr>
                <w:sz w:val="20"/>
                <w:szCs w:val="20"/>
                <w:rtl w:val="0"/>
              </w:rPr>
              <w:t xml:space="preserve">835</w:t>
            </w:r>
          </w:p>
        </w:tc>
      </w:tr>
      <w:tr>
        <w:trPr>
          <w:trHeight w:val="120" w:hRule="atLeast"/>
        </w:trPr>
        <w:tc>
          <w:tcPr>
            <w:gridSpan w:val="6"/>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D2">
            <w:pPr>
              <w:spacing w:after="0" w:line="240" w:lineRule="auto"/>
              <w:rPr>
                <w:sz w:val="20"/>
                <w:szCs w:val="20"/>
              </w:rPr>
            </w:pPr>
            <w:r w:rsidDel="00000000" w:rsidR="00000000" w:rsidRPr="00000000">
              <w:rPr>
                <w:rtl w:val="0"/>
              </w:rPr>
            </w:r>
          </w:p>
        </w:tc>
      </w:tr>
      <w:tr>
        <w:trPr>
          <w:trHeight w:val="855" w:hRule="atLeast"/>
        </w:trPr>
        <w:tc>
          <w:tcPr>
            <w:gridSpan w:val="6"/>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D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Death rate per Manchester Triage System according to Martins et al. 2009 [2]</w:t>
            </w:r>
          </w:p>
          <w:p w:rsidR="00000000" w:rsidDel="00000000" w:rsidP="00000000" w:rsidRDefault="00000000" w:rsidRPr="00000000" w14:paraId="000000D9">
            <w:pPr>
              <w:spacing w:after="0" w:line="240" w:lineRule="auto"/>
              <w:rPr>
                <w:sz w:val="20"/>
                <w:szCs w:val="20"/>
              </w:rPr>
            </w:pPr>
            <w:r w:rsidDel="00000000" w:rsidR="00000000" w:rsidRPr="00000000">
              <w:rPr>
                <w:rFonts w:ascii="Times New Roman" w:cs="Times New Roman" w:eastAsia="Times New Roman" w:hAnsi="Times New Roman"/>
                <w:sz w:val="20"/>
                <w:szCs w:val="20"/>
                <w:rtl w:val="0"/>
              </w:rPr>
              <w:t xml:space="preserve">Data for the remaining colors of the Manchester Triage System are not shown due to redundancy.</w:t>
            </w:r>
            <w:r w:rsidDel="00000000" w:rsidR="00000000" w:rsidRPr="00000000">
              <w:rPr>
                <w:rtl w:val="0"/>
              </w:rPr>
            </w:r>
          </w:p>
        </w:tc>
      </w:tr>
    </w:tbl>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after="240" w:before="240" w:lineRule="auto"/>
        <w:jc w:val="both"/>
        <w:rPr/>
      </w:pPr>
      <w:r w:rsidDel="00000000" w:rsidR="00000000" w:rsidRPr="00000000">
        <w:rPr>
          <w:rtl w:val="0"/>
        </w:rPr>
        <w:t xml:space="preserve">Considering the previous steps and assumptions, it could be hypothesized an estimate of at least 835 deaths due to the reduction in </w:t>
      </w:r>
      <w:r w:rsidDel="00000000" w:rsidR="00000000" w:rsidRPr="00000000">
        <w:rPr>
          <w:rtl w:val="0"/>
        </w:rPr>
        <w:t xml:space="preserve">Urgency</w:t>
      </w:r>
      <w:r w:rsidDel="00000000" w:rsidR="00000000" w:rsidRPr="00000000">
        <w:rPr>
          <w:rtl w:val="0"/>
        </w:rPr>
        <w:t xml:space="preserve"> department visits between March 1 and April 7. These potential 835 deaths are considered to be an underestimation of the real number of deaths.</w:t>
      </w:r>
    </w:p>
    <w:p w:rsidR="00000000" w:rsidDel="00000000" w:rsidP="00000000" w:rsidRDefault="00000000" w:rsidRPr="00000000" w14:paraId="000000E1">
      <w:pPr>
        <w:spacing w:after="240" w:before="240" w:lineRule="auto"/>
        <w:jc w:val="both"/>
        <w:rPr/>
      </w:pPr>
      <w:r w:rsidDel="00000000" w:rsidR="00000000" w:rsidRPr="00000000">
        <w:rPr>
          <w:rtl w:val="0"/>
        </w:rPr>
      </w:r>
    </w:p>
    <w:p w:rsidR="00000000" w:rsidDel="00000000" w:rsidP="00000000" w:rsidRDefault="00000000" w:rsidRPr="00000000" w14:paraId="000000E2">
      <w:pPr>
        <w:pStyle w:val="Title"/>
        <w:keepNext w:val="0"/>
        <w:keepLines w:val="0"/>
        <w:spacing w:after="20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Supplemental References</w:t>
      </w:r>
    </w:p>
    <w:p w:rsidR="00000000" w:rsidDel="00000000" w:rsidP="00000000" w:rsidRDefault="00000000" w:rsidRPr="00000000" w14:paraId="000000E3">
      <w:pPr>
        <w:keepLines w:val="1"/>
        <w:numPr>
          <w:ilvl w:val="0"/>
          <w:numId w:val="1"/>
        </w:numPr>
        <w:spacing w:after="200" w:line="240" w:lineRule="auto"/>
        <w:ind w:left="283" w:hanging="283"/>
        <w:jc w:val="both"/>
        <w:rPr/>
      </w:pPr>
      <w:r w:rsidDel="00000000" w:rsidR="00000000" w:rsidRPr="00000000">
        <w:rPr>
          <w:rFonts w:ascii="Times New Roman" w:cs="Times New Roman" w:eastAsia="Times New Roman" w:hAnsi="Times New Roman"/>
          <w:sz w:val="20"/>
          <w:szCs w:val="20"/>
          <w:rtl w:val="0"/>
        </w:rPr>
        <w:t xml:space="preserve">Serviço Nacional da Saúde (SNS). Portal da transparência. Lisbon: SNS; 2020. Available from: </w:t>
      </w:r>
      <w:r w:rsidDel="00000000" w:rsidR="00000000" w:rsidRPr="00000000">
        <w:rPr>
          <w:rFonts w:ascii="Times New Roman" w:cs="Times New Roman" w:eastAsia="Times New Roman" w:hAnsi="Times New Roman"/>
          <w:b w:val="1"/>
          <w:sz w:val="20"/>
          <w:szCs w:val="20"/>
          <w:rtl w:val="0"/>
        </w:rPr>
        <w:t xml:space="preserve"> </w:t>
      </w:r>
      <w:hyperlink r:id="rId12">
        <w:r w:rsidDel="00000000" w:rsidR="00000000" w:rsidRPr="00000000">
          <w:rPr>
            <w:rFonts w:ascii="Times New Roman" w:cs="Times New Roman" w:eastAsia="Times New Roman" w:hAnsi="Times New Roman"/>
            <w:color w:val="1155cc"/>
            <w:sz w:val="20"/>
            <w:szCs w:val="20"/>
            <w:u w:val="single"/>
            <w:rtl w:val="0"/>
          </w:rPr>
          <w:t xml:space="preserve">https://transparencia.sns.gov.pt/explore/?sort=modified</w:t>
        </w:r>
      </w:hyperlink>
      <w:r w:rsidDel="00000000" w:rsidR="00000000" w:rsidRPr="00000000">
        <w:rPr>
          <w:rFonts w:ascii="Times New Roman" w:cs="Times New Roman" w:eastAsia="Times New Roman" w:hAnsi="Times New Roman"/>
          <w:sz w:val="20"/>
          <w:szCs w:val="20"/>
          <w:rtl w:val="0"/>
        </w:rPr>
        <w:t xml:space="preserve">; assessed April 13, 2020.</w:t>
      </w:r>
      <w:r w:rsidDel="00000000" w:rsidR="00000000" w:rsidRPr="00000000">
        <w:rPr>
          <w:rtl w:val="0"/>
        </w:rPr>
      </w:r>
    </w:p>
    <w:p w:rsidR="00000000" w:rsidDel="00000000" w:rsidP="00000000" w:rsidRDefault="00000000" w:rsidRPr="00000000" w14:paraId="000000E4">
      <w:pPr>
        <w:keepLines w:val="1"/>
        <w:numPr>
          <w:ilvl w:val="0"/>
          <w:numId w:val="1"/>
        </w:numPr>
        <w:spacing w:after="100" w:line="240" w:lineRule="auto"/>
        <w:ind w:left="283" w:hanging="283"/>
        <w:jc w:val="both"/>
        <w:rPr/>
      </w:pPr>
      <w:r w:rsidDel="00000000" w:rsidR="00000000" w:rsidRPr="00000000">
        <w:rPr>
          <w:rFonts w:ascii="Times New Roman" w:cs="Times New Roman" w:eastAsia="Times New Roman" w:hAnsi="Times New Roman"/>
          <w:sz w:val="20"/>
          <w:szCs w:val="20"/>
          <w:rtl w:val="0"/>
        </w:rPr>
        <w:t xml:space="preserve">Martins HM, Cuña LM, Freitas P. Is Manchester (MTS) more than a triage system? A study of its association with mortality and admission to a large Portuguese hospital. Emerg Med J 2009; 26: 183-186.</w:t>
      </w:r>
      <w:r w:rsidDel="00000000" w:rsidR="00000000" w:rsidRPr="00000000">
        <w:rPr>
          <w:rtl w:val="0"/>
        </w:rPr>
      </w:r>
    </w:p>
    <w:p w:rsidR="00000000" w:rsidDel="00000000" w:rsidP="00000000" w:rsidRDefault="00000000" w:rsidRPr="00000000" w14:paraId="000000E5">
      <w:pPr>
        <w:spacing w:after="240" w:before="240" w:lineRule="auto"/>
        <w:jc w:val="both"/>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3" w:hanging="283"/>
      </w:pPr>
      <w:rPr>
        <w:rFonts w:ascii="Times New Roman" w:cs="Times New Roman" w:eastAsia="Times New Roman" w:hAnsi="Times New Roman"/>
        <w:b w:val="0"/>
        <w:sz w:val="20"/>
        <w:szCs w:val="20"/>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Default" w:customStyle="1">
    <w:name w:val="Default"/>
    <w:rsid w:val="0083240C"/>
    <w:pPr>
      <w:autoSpaceDE w:val="0"/>
      <w:autoSpaceDN w:val="0"/>
      <w:adjustRightInd w:val="0"/>
      <w:spacing w:after="0" w:line="240" w:lineRule="auto"/>
    </w:pPr>
    <w:rPr>
      <w:color w:val="000000"/>
      <w:sz w:val="24"/>
      <w:szCs w:val="24"/>
    </w:rPr>
  </w:style>
  <w:style w:type="character" w:styleId="Hiperligao">
    <w:name w:val="Hyperlink"/>
    <w:basedOn w:val="Tipodeletrapredefinidodopargrafo"/>
    <w:uiPriority w:val="99"/>
    <w:unhideWhenUsed w:val="1"/>
    <w:rsid w:val="006D077B"/>
    <w:rPr>
      <w:color w:val="0563c1" w:themeColor="hyperlink"/>
      <w:u w:val="single"/>
    </w:rPr>
  </w:style>
  <w:style w:type="character" w:styleId="MenoNoResolvida">
    <w:name w:val="Unresolved Mention"/>
    <w:basedOn w:val="Tipodeletrapredefinidodopargrafo"/>
    <w:uiPriority w:val="99"/>
    <w:semiHidden w:val="1"/>
    <w:unhideWhenUsed w:val="1"/>
    <w:rsid w:val="006D077B"/>
    <w:rPr>
      <w:color w:val="605e5c"/>
      <w:shd w:color="auto" w:fill="e1dfdd" w:val="clear"/>
    </w:rPr>
  </w:style>
  <w:style w:type="character" w:styleId="Hiperligaovisitada">
    <w:name w:val="FollowedHyperlink"/>
    <w:basedOn w:val="Tipodeletrapredefinidodopargrafo"/>
    <w:uiPriority w:val="99"/>
    <w:semiHidden w:val="1"/>
    <w:unhideWhenUsed w:val="1"/>
    <w:rsid w:val="006D077B"/>
    <w:rPr>
      <w:color w:val="954f72" w:themeColor="followedHyperlink"/>
      <w:u w:val="single"/>
    </w:rPr>
  </w:style>
  <w:style w:type="paragraph" w:styleId="Cabealho">
    <w:name w:val="header"/>
    <w:basedOn w:val="Normal"/>
    <w:link w:val="CabealhoCarter"/>
    <w:uiPriority w:val="99"/>
    <w:unhideWhenUsed w:val="1"/>
    <w:rsid w:val="001A0F86"/>
    <w:pPr>
      <w:tabs>
        <w:tab w:val="center" w:pos="4252"/>
        <w:tab w:val="right" w:pos="8504"/>
      </w:tabs>
      <w:spacing w:after="0" w:line="240" w:lineRule="auto"/>
    </w:pPr>
  </w:style>
  <w:style w:type="character" w:styleId="CabealhoCarter" w:customStyle="1">
    <w:name w:val="Cabeçalho Caráter"/>
    <w:basedOn w:val="Tipodeletrapredefinidodopargrafo"/>
    <w:link w:val="Cabealho"/>
    <w:uiPriority w:val="99"/>
    <w:rsid w:val="001A0F86"/>
  </w:style>
  <w:style w:type="paragraph" w:styleId="Rodap">
    <w:name w:val="footer"/>
    <w:basedOn w:val="Normal"/>
    <w:link w:val="RodapCarter"/>
    <w:uiPriority w:val="99"/>
    <w:unhideWhenUsed w:val="1"/>
    <w:rsid w:val="001A0F86"/>
    <w:pPr>
      <w:tabs>
        <w:tab w:val="center" w:pos="4252"/>
        <w:tab w:val="right" w:pos="8504"/>
      </w:tabs>
      <w:spacing w:after="0" w:line="240" w:lineRule="auto"/>
    </w:pPr>
  </w:style>
  <w:style w:type="character" w:styleId="RodapCarter" w:customStyle="1">
    <w:name w:val="Rodapé Caráter"/>
    <w:basedOn w:val="Tipodeletrapredefinidodopargrafo"/>
    <w:link w:val="Rodap"/>
    <w:uiPriority w:val="99"/>
    <w:rsid w:val="001A0F86"/>
  </w:style>
  <w:style w:type="paragraph" w:styleId="Textodebalo">
    <w:name w:val="Balloon Text"/>
    <w:basedOn w:val="Normal"/>
    <w:link w:val="TextodebaloCarter"/>
    <w:uiPriority w:val="99"/>
    <w:semiHidden w:val="1"/>
    <w:unhideWhenUsed w:val="1"/>
    <w:rsid w:val="00751147"/>
    <w:pPr>
      <w:spacing w:after="0" w:line="240" w:lineRule="auto"/>
    </w:pPr>
    <w:rPr>
      <w:rFonts w:ascii="Segoe UI" w:cs="Segoe UI" w:hAnsi="Segoe UI"/>
      <w:sz w:val="18"/>
      <w:szCs w:val="18"/>
    </w:rPr>
  </w:style>
  <w:style w:type="character" w:styleId="TextodebaloCarter" w:customStyle="1">
    <w:name w:val="Texto de balão Caráter"/>
    <w:basedOn w:val="Tipodeletrapredefinidodopargrafo"/>
    <w:link w:val="Textodebalo"/>
    <w:uiPriority w:val="99"/>
    <w:semiHidden w:val="1"/>
    <w:rsid w:val="00751147"/>
    <w:rPr>
      <w:rFonts w:ascii="Segoe UI" w:cs="Segoe UI" w:hAnsi="Segoe UI"/>
      <w:sz w:val="18"/>
      <w:szCs w:val="18"/>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paragraph" w:styleId="Textodecomentrio">
    <w:name w:val="annotation text"/>
    <w:basedOn w:val="Normal"/>
    <w:link w:val="TextodecomentrioCarter"/>
    <w:uiPriority w:val="99"/>
    <w:semiHidden w:val="1"/>
    <w:unhideWhenUsed w:val="1"/>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semiHidden w:val="1"/>
    <w:rPr>
      <w:sz w:val="20"/>
      <w:szCs w:val="20"/>
    </w:rPr>
  </w:style>
  <w:style w:type="character" w:styleId="Refdecomentrio">
    <w:name w:val="annotation reference"/>
    <w:basedOn w:val="Tipodeletrapredefinidodopargrafo"/>
    <w:uiPriority w:val="99"/>
    <w:semiHidden w:val="1"/>
    <w:unhideWhenUsed w:val="1"/>
    <w:rPr>
      <w:sz w:val="16"/>
      <w:szCs w:val="16"/>
    </w:r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paragraph" w:styleId="Assuntodecomentrio">
    <w:name w:val="annotation subject"/>
    <w:basedOn w:val="Textodecomentrio"/>
    <w:next w:val="Textodecomentrio"/>
    <w:link w:val="AssuntodecomentrioCarter"/>
    <w:uiPriority w:val="99"/>
    <w:semiHidden w:val="1"/>
    <w:unhideWhenUsed w:val="1"/>
    <w:rsid w:val="00B533DB"/>
    <w:rPr>
      <w:b w:val="1"/>
      <w:bCs w:val="1"/>
    </w:rPr>
  </w:style>
  <w:style w:type="character" w:styleId="AssuntodecomentrioCarter" w:customStyle="1">
    <w:name w:val="Assunto de comentário Caráter"/>
    <w:basedOn w:val="TextodecomentrioCarter"/>
    <w:link w:val="Assuntodecomentrio"/>
    <w:uiPriority w:val="99"/>
    <w:semiHidden w:val="1"/>
    <w:rsid w:val="00B533D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12" Type="http://schemas.openxmlformats.org/officeDocument/2006/relationships/hyperlink" Target="https://transparencia.sns.gov.pt/explore/?sort=modified" TargetMode="Externa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4TsomSY2FBaO/F41/VJrk8cA3A==">AMUW2mWhieKKX73viWGlGbzr4W75VgYB2XyoZ8PsPYLs/jBe1W5cPE520Bg4p6Dphmut0JhT3IxzZmNMA1FeOFUcV+9DoT7Z3/ncMJh+Y3Qov9etl68lrV8=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2020-04-12T11:09:00Z</dcterms:created>
  <dc:creator>Paulo Nogueira</dc:creator>
</cp:coreProperties>
</file>