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8ED90" w14:textId="77777777" w:rsidR="00E01156" w:rsidRPr="008A184F" w:rsidRDefault="00E01156" w:rsidP="00E01156">
      <w:pPr>
        <w:rPr>
          <w:rFonts w:ascii="Courier New" w:hAnsi="Courier New" w:cs="Courier New"/>
          <w:lang w:val="pt-BR"/>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8501"/>
      </w:tblGrid>
      <w:tr w:rsidR="00E01156" w:rsidRPr="008351D5" w14:paraId="30F36D38" w14:textId="77777777" w:rsidTr="004C7749">
        <w:trPr>
          <w:trHeight w:val="731"/>
        </w:trPr>
        <w:tc>
          <w:tcPr>
            <w:tcW w:w="9371" w:type="dxa"/>
            <w:shd w:val="clear" w:color="auto" w:fill="E6E6E6"/>
          </w:tcPr>
          <w:p w14:paraId="1B8E8834" w14:textId="77777777" w:rsidR="00E01156" w:rsidRPr="008351D5" w:rsidRDefault="00E01156" w:rsidP="004C7749">
            <w:pPr>
              <w:rPr>
                <w:rFonts w:ascii="Courier New" w:hAnsi="Courier New" w:cs="Courier New"/>
                <w:b/>
                <w:sz w:val="20"/>
              </w:rPr>
            </w:pPr>
          </w:p>
          <w:p w14:paraId="460BF307" w14:textId="77777777" w:rsidR="00E01156" w:rsidRPr="00E01156" w:rsidRDefault="00E01156" w:rsidP="00E01156">
            <w:pPr>
              <w:rPr>
                <w:rFonts w:ascii="Arial" w:hAnsi="Arial" w:cs="Arial"/>
                <w:b/>
                <w:bCs/>
                <w:color w:val="222222"/>
                <w:shd w:val="clear" w:color="auto" w:fill="FFFFFF"/>
              </w:rPr>
            </w:pPr>
            <w:r w:rsidRPr="00E01156">
              <w:rPr>
                <w:rFonts w:ascii="Arial" w:hAnsi="Arial" w:cs="Arial"/>
                <w:b/>
                <w:bCs/>
                <w:color w:val="222222"/>
                <w:shd w:val="clear" w:color="auto" w:fill="FFFFFF"/>
              </w:rPr>
              <w:t>RESPOSTAS AOS COMENTÁRIOS DO EDITOR E REVISORES</w:t>
            </w:r>
          </w:p>
          <w:p w14:paraId="28D95C2C" w14:textId="77777777" w:rsidR="00340A34" w:rsidRPr="00340A34" w:rsidRDefault="00340A34" w:rsidP="00340A34">
            <w:pPr>
              <w:spacing w:line="360" w:lineRule="auto"/>
              <w:jc w:val="both"/>
              <w:rPr>
                <w:rFonts w:ascii="Times New Roman" w:hAnsi="Times New Roman" w:cs="Times New Roman"/>
                <w:b/>
                <w:i/>
                <w:iCs/>
              </w:rPr>
            </w:pPr>
            <w:r w:rsidRPr="00340A34">
              <w:rPr>
                <w:rFonts w:ascii="Times New Roman" w:hAnsi="Times New Roman" w:cs="Times New Roman"/>
                <w:b/>
                <w:i/>
                <w:iCs/>
              </w:rPr>
              <w:t>OPERACIONALIZAÇÃO PARA PORTUGAL DA LISTA EU(7)-PIM PARA IDENTIFICAÇÃO DE MEDICAMENTOS POTENCIALMENTE INAPROPRIADOS NOS IDOSOS</w:t>
            </w:r>
          </w:p>
          <w:p w14:paraId="20DDBA34" w14:textId="77777777" w:rsidR="00E01156" w:rsidRDefault="00E01156" w:rsidP="004C7749">
            <w:pPr>
              <w:rPr>
                <w:rFonts w:ascii="Courier New" w:hAnsi="Courier New" w:cs="Courier New"/>
                <w:b/>
                <w:sz w:val="20"/>
              </w:rPr>
            </w:pPr>
          </w:p>
          <w:p w14:paraId="753D1DB3" w14:textId="77777777" w:rsidR="00E01156" w:rsidRPr="008351D5" w:rsidRDefault="00E01156" w:rsidP="004C7749">
            <w:pPr>
              <w:rPr>
                <w:rFonts w:ascii="Courier New" w:hAnsi="Courier New" w:cs="Courier New"/>
                <w:b/>
                <w:sz w:val="20"/>
              </w:rPr>
            </w:pPr>
            <w:r>
              <w:rPr>
                <w:rFonts w:ascii="Courier New" w:hAnsi="Courier New" w:cs="Courier New"/>
                <w:b/>
                <w:sz w:val="20"/>
              </w:rPr>
              <w:t xml:space="preserve">[Acta Med.Port] Decisão </w:t>
            </w:r>
            <w:r w:rsidR="00A469BB">
              <w:rPr>
                <w:rFonts w:ascii="Courier New" w:hAnsi="Courier New" w:cs="Courier New"/>
                <w:b/>
                <w:sz w:val="20"/>
              </w:rPr>
              <w:t xml:space="preserve">Eidtorial </w:t>
            </w:r>
          </w:p>
          <w:p w14:paraId="44A960CD" w14:textId="77777777" w:rsidR="00E01156" w:rsidRPr="008351D5" w:rsidRDefault="00A469BB" w:rsidP="004C7749">
            <w:pPr>
              <w:ind w:left="77"/>
              <w:rPr>
                <w:rFonts w:ascii="Courier New" w:hAnsi="Courier New" w:cs="Courier New"/>
                <w:b/>
                <w:sz w:val="20"/>
              </w:rPr>
            </w:pPr>
            <w:r>
              <w:rPr>
                <w:rFonts w:ascii="Courier New" w:hAnsi="Courier New" w:cs="Courier New"/>
                <w:b/>
                <w:sz w:val="20"/>
              </w:rPr>
              <w:t>13618-52538-1-RV</w:t>
            </w:r>
          </w:p>
        </w:tc>
      </w:tr>
    </w:tbl>
    <w:p w14:paraId="05B1C188" w14:textId="77777777" w:rsidR="00E01156" w:rsidRPr="008351D5" w:rsidRDefault="00E01156" w:rsidP="00E01156">
      <w:pPr>
        <w:rPr>
          <w:rFonts w:ascii="Courier New" w:hAnsi="Courier New" w:cs="Courier New"/>
          <w:b/>
          <w:sz w:val="20"/>
        </w:rPr>
      </w:pPr>
    </w:p>
    <w:p w14:paraId="0F5A3D20" w14:textId="4923BC9C" w:rsidR="00E01156" w:rsidRDefault="00A469BB" w:rsidP="008B7141">
      <w:pPr>
        <w:jc w:val="both"/>
        <w:rPr>
          <w:rFonts w:ascii="Arial" w:hAnsi="Arial" w:cs="Arial"/>
          <w:color w:val="222222"/>
          <w:shd w:val="clear" w:color="auto" w:fill="FFFFFF"/>
        </w:rPr>
      </w:pPr>
      <w:r>
        <w:rPr>
          <w:rFonts w:ascii="Arial" w:hAnsi="Arial" w:cs="Arial"/>
          <w:color w:val="222222"/>
          <w:shd w:val="clear" w:color="auto" w:fill="FFFFFF"/>
        </w:rPr>
        <w:t>Os autores agradecem aos revisores e aos editores da Acta Medica Portuguesa a oportunidade para melhorar o artigo. Fizemos uma análise cuidadosa de todos os comentários, aos quais respondemos detalhadamente.</w:t>
      </w:r>
      <w:r w:rsidR="00174D2B">
        <w:rPr>
          <w:rFonts w:ascii="Arial" w:hAnsi="Arial" w:cs="Arial"/>
          <w:color w:val="222222"/>
          <w:shd w:val="clear" w:color="auto" w:fill="FFFFFF"/>
        </w:rPr>
        <w:t xml:space="preserve"> A informação alterada no artigo e Apêndice, estão assinaladas a verde.</w:t>
      </w:r>
    </w:p>
    <w:p w14:paraId="7B077D5E" w14:textId="017F59C5" w:rsidR="00D63AAA" w:rsidRDefault="00D63AAA" w:rsidP="008B7141">
      <w:pPr>
        <w:jc w:val="both"/>
        <w:rPr>
          <w:rFonts w:ascii="Arial" w:hAnsi="Arial" w:cs="Arial"/>
          <w:color w:val="222222"/>
          <w:shd w:val="clear" w:color="auto" w:fill="FFFFFF"/>
        </w:rPr>
      </w:pPr>
      <w:r>
        <w:rPr>
          <w:rFonts w:ascii="Arial" w:hAnsi="Arial" w:cs="Arial"/>
          <w:color w:val="222222"/>
          <w:shd w:val="clear" w:color="auto" w:fill="FFFFFF"/>
        </w:rPr>
        <w:t>Os autores sugerem ainda que no título em inglês seja alterada a designação de “Elderly”, para Older adults”,</w:t>
      </w:r>
      <w:r w:rsidR="006441C1">
        <w:rPr>
          <w:rFonts w:ascii="Arial" w:hAnsi="Arial" w:cs="Arial"/>
          <w:color w:val="222222"/>
          <w:shd w:val="clear" w:color="auto" w:fill="FFFFFF"/>
        </w:rPr>
        <w:t xml:space="preserve"> assim como no abstract em inglês,</w:t>
      </w:r>
      <w:r>
        <w:rPr>
          <w:rFonts w:ascii="Arial" w:hAnsi="Arial" w:cs="Arial"/>
          <w:color w:val="222222"/>
          <w:shd w:val="clear" w:color="auto" w:fill="FFFFFF"/>
        </w:rPr>
        <w:t xml:space="preserve"> se o Editores concordarem. </w:t>
      </w:r>
    </w:p>
    <w:p w14:paraId="13E7A961" w14:textId="77777777" w:rsidR="00A469BB" w:rsidRDefault="00A469BB">
      <w:pPr>
        <w:rPr>
          <w:rFonts w:ascii="Arial" w:hAnsi="Arial" w:cs="Arial"/>
          <w:b/>
          <w:bCs/>
          <w:color w:val="222222"/>
          <w:shd w:val="clear" w:color="auto" w:fill="FFFFFF"/>
        </w:rPr>
      </w:pPr>
    </w:p>
    <w:p w14:paraId="39599CEB" w14:textId="77777777" w:rsidR="00E01156" w:rsidRPr="00E01156" w:rsidRDefault="00E01156">
      <w:pPr>
        <w:rPr>
          <w:rFonts w:ascii="Arial" w:hAnsi="Arial" w:cs="Arial"/>
          <w:b/>
          <w:bCs/>
          <w:color w:val="222222"/>
          <w:shd w:val="clear" w:color="auto" w:fill="FFFFFF"/>
        </w:rPr>
      </w:pPr>
      <w:r w:rsidRPr="00E01156">
        <w:rPr>
          <w:rFonts w:ascii="Arial" w:hAnsi="Arial" w:cs="Arial"/>
          <w:b/>
          <w:bCs/>
          <w:color w:val="222222"/>
          <w:shd w:val="clear" w:color="auto" w:fill="FFFFFF"/>
        </w:rPr>
        <w:t>RESPOSTAS AOS COMENTÁRIOS DO EDITOR E REVISORES</w:t>
      </w:r>
    </w:p>
    <w:p w14:paraId="3DE5C36E" w14:textId="77777777" w:rsidR="00E01156" w:rsidRPr="00E01156" w:rsidRDefault="00E01156">
      <w:pPr>
        <w:rPr>
          <w:rFonts w:ascii="Arial" w:hAnsi="Arial" w:cs="Arial"/>
          <w:b/>
          <w:bCs/>
          <w:color w:val="222222"/>
          <w:shd w:val="clear" w:color="auto" w:fill="FFFFFF"/>
        </w:rPr>
      </w:pPr>
    </w:p>
    <w:p w14:paraId="3287278E" w14:textId="77777777" w:rsidR="00A469BB" w:rsidRDefault="00E01156" w:rsidP="00A469BB">
      <w:pPr>
        <w:jc w:val="both"/>
        <w:rPr>
          <w:rFonts w:ascii="Arial" w:hAnsi="Arial" w:cs="Arial"/>
          <w:b/>
          <w:bCs/>
          <w:color w:val="222222"/>
          <w:shd w:val="clear" w:color="auto" w:fill="FFFFFF"/>
        </w:rPr>
      </w:pPr>
      <w:r w:rsidRPr="00E01156">
        <w:rPr>
          <w:rFonts w:ascii="Arial" w:hAnsi="Arial" w:cs="Arial"/>
          <w:b/>
          <w:bCs/>
          <w:color w:val="222222"/>
          <w:shd w:val="clear" w:color="auto" w:fill="FFFFFF"/>
        </w:rPr>
        <w:t>Notas do editor:</w:t>
      </w:r>
    </w:p>
    <w:p w14:paraId="06054F33" w14:textId="77777777" w:rsidR="00A469BB" w:rsidRDefault="00A469BB" w:rsidP="00A469BB">
      <w:pPr>
        <w:jc w:val="both"/>
        <w:rPr>
          <w:rFonts w:ascii="Arial" w:hAnsi="Arial" w:cs="Arial"/>
          <w:b/>
          <w:bCs/>
          <w:color w:val="222222"/>
          <w:shd w:val="clear" w:color="auto" w:fill="FFFFFF"/>
        </w:rPr>
      </w:pPr>
      <w:r>
        <w:rPr>
          <w:rFonts w:ascii="Arial" w:hAnsi="Arial" w:cs="Arial"/>
          <w:b/>
          <w:bCs/>
          <w:color w:val="222222"/>
          <w:shd w:val="clear" w:color="auto" w:fill="FFFFFF"/>
        </w:rPr>
        <w:t>Nota 1:</w:t>
      </w:r>
    </w:p>
    <w:p w14:paraId="14BC1E7D" w14:textId="77777777" w:rsidR="005575CD" w:rsidRDefault="00E01156" w:rsidP="00A469BB">
      <w:pPr>
        <w:jc w:val="both"/>
        <w:rPr>
          <w:rFonts w:ascii="Arial" w:hAnsi="Arial" w:cs="Arial"/>
          <w:b/>
          <w:bCs/>
          <w:color w:val="222222"/>
          <w:shd w:val="clear" w:color="auto" w:fill="FFFFFF"/>
        </w:rPr>
      </w:pPr>
      <w:r w:rsidRPr="00E01156">
        <w:rPr>
          <w:rFonts w:ascii="Arial" w:hAnsi="Arial" w:cs="Arial"/>
          <w:b/>
          <w:bCs/>
          <w:color w:val="222222"/>
          <w:shd w:val="clear" w:color="auto" w:fill="FFFFFF"/>
        </w:rPr>
        <w:t>- o texto não indica a aprovação por comissão de ética, pelo que a</w:t>
      </w:r>
      <w:r w:rsidRPr="00E01156">
        <w:rPr>
          <w:rFonts w:ascii="Arial" w:hAnsi="Arial" w:cs="Arial"/>
          <w:b/>
          <w:bCs/>
          <w:color w:val="222222"/>
        </w:rPr>
        <w:br/>
      </w:r>
      <w:r w:rsidRPr="00E01156">
        <w:rPr>
          <w:rFonts w:ascii="Arial" w:hAnsi="Arial" w:cs="Arial"/>
          <w:b/>
          <w:bCs/>
          <w:color w:val="222222"/>
          <w:shd w:val="clear" w:color="auto" w:fill="FFFFFF"/>
        </w:rPr>
        <w:t>mesma deverá ser incluída na secção “Material e Métodos”. Caso não</w:t>
      </w:r>
      <w:r w:rsidRPr="00E01156">
        <w:rPr>
          <w:rFonts w:ascii="Arial" w:hAnsi="Arial" w:cs="Arial"/>
          <w:b/>
          <w:bCs/>
          <w:color w:val="222222"/>
        </w:rPr>
        <w:br/>
      </w:r>
      <w:r w:rsidRPr="00E01156">
        <w:rPr>
          <w:rFonts w:ascii="Arial" w:hAnsi="Arial" w:cs="Arial"/>
          <w:b/>
          <w:bCs/>
          <w:color w:val="222222"/>
          <w:shd w:val="clear" w:color="auto" w:fill="FFFFFF"/>
        </w:rPr>
        <w:t>tenha sido solicitada, os autores deverão justificar porque não foi</w:t>
      </w:r>
      <w:r w:rsidRPr="00E01156">
        <w:rPr>
          <w:rFonts w:ascii="Arial" w:hAnsi="Arial" w:cs="Arial"/>
          <w:b/>
          <w:bCs/>
          <w:color w:val="222222"/>
        </w:rPr>
        <w:br/>
      </w:r>
      <w:r w:rsidRPr="00E01156">
        <w:rPr>
          <w:rFonts w:ascii="Arial" w:hAnsi="Arial" w:cs="Arial"/>
          <w:b/>
          <w:bCs/>
          <w:color w:val="222222"/>
          <w:shd w:val="clear" w:color="auto" w:fill="FFFFFF"/>
        </w:rPr>
        <w:t>necessária.</w:t>
      </w:r>
    </w:p>
    <w:p w14:paraId="31F318C3" w14:textId="77777777" w:rsidR="00563284" w:rsidRDefault="00A469BB" w:rsidP="00A469BB">
      <w:pPr>
        <w:jc w:val="both"/>
        <w:rPr>
          <w:rFonts w:ascii="Arial" w:hAnsi="Arial" w:cs="Arial"/>
          <w:b/>
          <w:bCs/>
          <w:color w:val="222222"/>
          <w:shd w:val="clear" w:color="auto" w:fill="FFFFFF"/>
        </w:rPr>
      </w:pPr>
      <w:r>
        <w:rPr>
          <w:rFonts w:ascii="Arial" w:hAnsi="Arial" w:cs="Arial"/>
          <w:b/>
          <w:bCs/>
          <w:color w:val="222222"/>
          <w:shd w:val="clear" w:color="auto" w:fill="FFFFFF"/>
        </w:rPr>
        <w:t>R</w:t>
      </w:r>
      <w:r w:rsidR="00563284">
        <w:rPr>
          <w:rFonts w:ascii="Arial" w:hAnsi="Arial" w:cs="Arial"/>
          <w:b/>
          <w:bCs/>
          <w:color w:val="222222"/>
          <w:shd w:val="clear" w:color="auto" w:fill="FFFFFF"/>
        </w:rPr>
        <w:t>esposta à Nota do Editor</w:t>
      </w:r>
      <w:r>
        <w:rPr>
          <w:rFonts w:ascii="Arial" w:hAnsi="Arial" w:cs="Arial"/>
          <w:b/>
          <w:bCs/>
          <w:color w:val="222222"/>
          <w:shd w:val="clear" w:color="auto" w:fill="FFFFFF"/>
        </w:rPr>
        <w:t xml:space="preserve">: </w:t>
      </w:r>
    </w:p>
    <w:p w14:paraId="0FEA556A" w14:textId="23C71431" w:rsidR="00A469BB" w:rsidRDefault="00563284" w:rsidP="00A469BB">
      <w:pPr>
        <w:jc w:val="both"/>
        <w:rPr>
          <w:rFonts w:ascii="Arial" w:hAnsi="Arial" w:cs="Arial"/>
          <w:b/>
          <w:bCs/>
          <w:color w:val="222222"/>
          <w:shd w:val="clear" w:color="auto" w:fill="FFFFFF"/>
        </w:rPr>
      </w:pPr>
      <w:r>
        <w:rPr>
          <w:rFonts w:cstheme="minorHAnsi"/>
          <w:color w:val="222222"/>
          <w:shd w:val="clear" w:color="auto" w:fill="FFFFFF"/>
        </w:rPr>
        <w:t>Os autores agradecem o</w:t>
      </w:r>
      <w:r w:rsidR="004A5B9F" w:rsidRPr="007C6888">
        <w:rPr>
          <w:rFonts w:cstheme="minorHAnsi"/>
          <w:color w:val="222222"/>
          <w:shd w:val="clear" w:color="auto" w:fill="FFFFFF"/>
        </w:rPr>
        <w:t xml:space="preserve"> comentário e</w:t>
      </w:r>
      <w:r>
        <w:rPr>
          <w:rFonts w:cstheme="minorHAnsi"/>
          <w:color w:val="222222"/>
          <w:shd w:val="clear" w:color="auto" w:fill="FFFFFF"/>
        </w:rPr>
        <w:t xml:space="preserve"> a</w:t>
      </w:r>
      <w:r w:rsidR="004A5B9F" w:rsidRPr="007C6888">
        <w:rPr>
          <w:rFonts w:cstheme="minorHAnsi"/>
          <w:color w:val="222222"/>
          <w:shd w:val="clear" w:color="auto" w:fill="FFFFFF"/>
        </w:rPr>
        <w:t xml:space="preserve"> oportunidade de clarificação. Como referido n</w:t>
      </w:r>
      <w:r w:rsidR="00AE264D">
        <w:rPr>
          <w:rFonts w:cstheme="minorHAnsi"/>
          <w:color w:val="222222"/>
          <w:shd w:val="clear" w:color="auto" w:fill="FFFFFF"/>
        </w:rPr>
        <w:t>a secção “material e</w:t>
      </w:r>
      <w:r w:rsidR="004A5B9F" w:rsidRPr="007C6888">
        <w:rPr>
          <w:rFonts w:cstheme="minorHAnsi"/>
          <w:color w:val="222222"/>
          <w:shd w:val="clear" w:color="auto" w:fill="FFFFFF"/>
        </w:rPr>
        <w:t xml:space="preserve"> métodos</w:t>
      </w:r>
      <w:r w:rsidR="00AE264D">
        <w:rPr>
          <w:rFonts w:cstheme="minorHAnsi"/>
          <w:color w:val="222222"/>
          <w:shd w:val="clear" w:color="auto" w:fill="FFFFFF"/>
        </w:rPr>
        <w:t>”</w:t>
      </w:r>
      <w:r w:rsidR="004A5B9F" w:rsidRPr="007C6888">
        <w:rPr>
          <w:rFonts w:cstheme="minorHAnsi"/>
          <w:color w:val="222222"/>
          <w:shd w:val="clear" w:color="auto" w:fill="FFFFFF"/>
        </w:rPr>
        <w:t xml:space="preserve"> do artigo, este estudo de avaliação de PIMs foi realizado </w:t>
      </w:r>
      <w:r w:rsidR="00BB146E" w:rsidRPr="007C6888">
        <w:rPr>
          <w:rFonts w:cstheme="minorHAnsi"/>
          <w:color w:val="222222"/>
          <w:shd w:val="clear" w:color="auto" w:fill="FFFFFF"/>
        </w:rPr>
        <w:t>no âmbito</w:t>
      </w:r>
      <w:r w:rsidR="004A5B9F" w:rsidRPr="007C6888">
        <w:rPr>
          <w:rFonts w:cstheme="minorHAnsi"/>
          <w:color w:val="222222"/>
          <w:shd w:val="clear" w:color="auto" w:fill="FFFFFF"/>
        </w:rPr>
        <w:t xml:space="preserve"> do Projeto MedElderly, em que uma das atividades consistia na caracterização dos medicamentos consumidos pela população idosa incluída no estudo transversal</w:t>
      </w:r>
      <w:r w:rsidR="00BB146E" w:rsidRPr="007C6888">
        <w:rPr>
          <w:rFonts w:cstheme="minorHAnsi"/>
          <w:color w:val="222222"/>
          <w:shd w:val="clear" w:color="auto" w:fill="FFFFFF"/>
        </w:rPr>
        <w:t>, uma das fases do projeto</w:t>
      </w:r>
      <w:r w:rsidR="004A5B9F" w:rsidRPr="007C6888">
        <w:rPr>
          <w:rFonts w:cstheme="minorHAnsi"/>
          <w:color w:val="222222"/>
          <w:shd w:val="clear" w:color="auto" w:fill="FFFFFF"/>
        </w:rPr>
        <w:t xml:space="preserve">. </w:t>
      </w:r>
      <w:r w:rsidR="00BB146E" w:rsidRPr="007C6888">
        <w:rPr>
          <w:rFonts w:cstheme="minorHAnsi"/>
          <w:color w:val="222222"/>
          <w:shd w:val="clear" w:color="auto" w:fill="FFFFFF"/>
        </w:rPr>
        <w:t>O projeto MedElderly</w:t>
      </w:r>
      <w:r w:rsidR="004A5B9F" w:rsidRPr="007C6888">
        <w:rPr>
          <w:rFonts w:cstheme="minorHAnsi"/>
          <w:color w:val="222222"/>
          <w:shd w:val="clear" w:color="auto" w:fill="FFFFFF"/>
        </w:rPr>
        <w:t xml:space="preserve"> </w:t>
      </w:r>
      <w:r w:rsidR="00AE264D">
        <w:rPr>
          <w:rFonts w:cstheme="minorHAnsi"/>
          <w:color w:val="222222"/>
          <w:shd w:val="clear" w:color="auto" w:fill="FFFFFF"/>
        </w:rPr>
        <w:t>obteve</w:t>
      </w:r>
      <w:r w:rsidR="004A5B9F" w:rsidRPr="007C6888">
        <w:rPr>
          <w:rFonts w:cstheme="minorHAnsi"/>
          <w:color w:val="222222"/>
          <w:shd w:val="clear" w:color="auto" w:fill="FFFFFF"/>
        </w:rPr>
        <w:t xml:space="preserve"> parecer favorável da </w:t>
      </w:r>
      <w:r w:rsidR="00174D2B">
        <w:rPr>
          <w:rFonts w:cstheme="minorHAnsi"/>
          <w:color w:val="222222"/>
          <w:shd w:val="clear" w:color="auto" w:fill="FFFFFF"/>
        </w:rPr>
        <w:t xml:space="preserve">Comissão de Ética da </w:t>
      </w:r>
      <w:r w:rsidR="00BB146E" w:rsidRPr="007C6888">
        <w:rPr>
          <w:rFonts w:cstheme="minorHAnsi"/>
          <w:color w:val="222222"/>
          <w:shd w:val="clear" w:color="auto" w:fill="FFFFFF"/>
        </w:rPr>
        <w:t>Administração</w:t>
      </w:r>
      <w:r w:rsidR="004A5B9F" w:rsidRPr="007C6888">
        <w:rPr>
          <w:rFonts w:cstheme="minorHAnsi"/>
          <w:color w:val="222222"/>
          <w:shd w:val="clear" w:color="auto" w:fill="FFFFFF"/>
        </w:rPr>
        <w:t xml:space="preserve"> Regional de Saúde do Centro (Parecer nº 105/2017) e</w:t>
      </w:r>
      <w:r w:rsidR="00BB146E" w:rsidRPr="007C6888">
        <w:rPr>
          <w:rFonts w:cstheme="minorHAnsi"/>
          <w:color w:val="222222"/>
          <w:shd w:val="clear" w:color="auto" w:fill="FFFFFF"/>
        </w:rPr>
        <w:t xml:space="preserve"> autorização</w:t>
      </w:r>
      <w:r w:rsidR="004A5B9F" w:rsidRPr="007C6888">
        <w:rPr>
          <w:rFonts w:cstheme="minorHAnsi"/>
          <w:color w:val="222222"/>
          <w:shd w:val="clear" w:color="auto" w:fill="FFFFFF"/>
        </w:rPr>
        <w:t xml:space="preserve"> da Comissão Nacional de Proteção de Dados </w:t>
      </w:r>
      <w:r w:rsidR="00BB146E" w:rsidRPr="007C6888">
        <w:rPr>
          <w:rFonts w:cstheme="minorHAnsi"/>
          <w:color w:val="222222"/>
          <w:shd w:val="clear" w:color="auto" w:fill="FFFFFF"/>
        </w:rPr>
        <w:t>(Autorização n.º 13028/ 2017)</w:t>
      </w:r>
      <w:r w:rsidR="00AE264D">
        <w:rPr>
          <w:rFonts w:cstheme="minorHAnsi"/>
          <w:color w:val="222222"/>
          <w:shd w:val="clear" w:color="auto" w:fill="FFFFFF"/>
        </w:rPr>
        <w:t xml:space="preserve">. Por lapso esta informação não foi colocada, mas foi referenciado o artigo </w:t>
      </w:r>
      <w:r w:rsidR="00AE264D" w:rsidRPr="00AE264D">
        <w:rPr>
          <w:rFonts w:cstheme="minorHAnsi"/>
          <w:color w:val="222222"/>
          <w:shd w:val="clear" w:color="auto" w:fill="FFFFFF"/>
        </w:rPr>
        <w:t>(Ref. 24. Gomes D, et al. 2020. Int J Environ Res Public Health; 2020; 17, pii: E200)</w:t>
      </w:r>
      <w:r w:rsidR="00AE264D">
        <w:rPr>
          <w:rFonts w:cstheme="minorHAnsi"/>
          <w:color w:val="222222"/>
          <w:shd w:val="clear" w:color="auto" w:fill="FFFFFF"/>
        </w:rPr>
        <w:t xml:space="preserve"> publicado com a descrição detalhada dos métodos do estudo transversal, onde consta a informação sobre o parecer da comissão de ética.</w:t>
      </w:r>
    </w:p>
    <w:p w14:paraId="4A9FBA7E" w14:textId="03EC7B80" w:rsidR="007C6888" w:rsidRPr="007C6888" w:rsidRDefault="007C6888" w:rsidP="00A469BB">
      <w:pPr>
        <w:jc w:val="both"/>
        <w:rPr>
          <w:rFonts w:cstheme="minorHAnsi"/>
          <w:color w:val="222222"/>
          <w:shd w:val="clear" w:color="auto" w:fill="FFFFFF"/>
        </w:rPr>
      </w:pPr>
      <w:r w:rsidRPr="007C6888">
        <w:rPr>
          <w:rFonts w:cstheme="minorHAnsi"/>
          <w:color w:val="222222"/>
          <w:shd w:val="clear" w:color="auto" w:fill="FFFFFF"/>
        </w:rPr>
        <w:t>Na secção dos métodos foi acrescentada a seguinte informação:</w:t>
      </w:r>
    </w:p>
    <w:p w14:paraId="2BDB793C" w14:textId="25600F52" w:rsidR="004A5B9F" w:rsidRPr="008B57BB" w:rsidRDefault="004A5B9F" w:rsidP="00FE54D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563284">
        <w:rPr>
          <w:rFonts w:ascii="Times New Roman" w:hAnsi="Times New Roman" w:cs="Times New Roman"/>
          <w:highlight w:val="green"/>
        </w:rPr>
        <w:lastRenderedPageBreak/>
        <w:t xml:space="preserve">O projeto obteve parecer favorável da Comissão de Ética da </w:t>
      </w:r>
      <w:r w:rsidR="00185B6F" w:rsidRPr="00563284">
        <w:rPr>
          <w:rFonts w:ascii="Times New Roman" w:hAnsi="Times New Roman" w:cs="Times New Roman"/>
          <w:highlight w:val="green"/>
        </w:rPr>
        <w:t>A</w:t>
      </w:r>
      <w:r w:rsidRPr="00563284">
        <w:rPr>
          <w:rFonts w:ascii="Times New Roman" w:hAnsi="Times New Roman" w:cs="Times New Roman"/>
          <w:highlight w:val="green"/>
        </w:rPr>
        <w:t xml:space="preserve">dministração Regional de </w:t>
      </w:r>
      <w:r w:rsidR="008A184F">
        <w:rPr>
          <w:rFonts w:ascii="Times New Roman" w:hAnsi="Times New Roman" w:cs="Times New Roman"/>
          <w:highlight w:val="green"/>
        </w:rPr>
        <w:t>S</w:t>
      </w:r>
      <w:r w:rsidRPr="00563284">
        <w:rPr>
          <w:rFonts w:ascii="Times New Roman" w:hAnsi="Times New Roman" w:cs="Times New Roman"/>
          <w:highlight w:val="green"/>
        </w:rPr>
        <w:t>aúde do Centro (par</w:t>
      </w:r>
      <w:r w:rsidR="008A184F">
        <w:rPr>
          <w:rFonts w:ascii="Times New Roman" w:hAnsi="Times New Roman" w:cs="Times New Roman"/>
          <w:highlight w:val="green"/>
        </w:rPr>
        <w:t>e</w:t>
      </w:r>
      <w:r w:rsidRPr="00563284">
        <w:rPr>
          <w:rFonts w:ascii="Times New Roman" w:hAnsi="Times New Roman" w:cs="Times New Roman"/>
          <w:highlight w:val="green"/>
        </w:rPr>
        <w:t>cer nº 105/2017)</w:t>
      </w:r>
      <w:r w:rsidR="00BB146E" w:rsidRPr="00563284">
        <w:rPr>
          <w:rFonts w:ascii="Times New Roman" w:hAnsi="Times New Roman" w:cs="Times New Roman"/>
          <w:highlight w:val="green"/>
        </w:rPr>
        <w:t xml:space="preserve"> e autorização da Comissão Nacional de Proteção de Dados (Autorização n.º 13028/ 2017)</w:t>
      </w:r>
      <w:r w:rsidRPr="00563284">
        <w:rPr>
          <w:rFonts w:ascii="Times New Roman" w:hAnsi="Times New Roman" w:cs="Times New Roman"/>
          <w:highlight w:val="green"/>
        </w:rPr>
        <w:t>.</w:t>
      </w:r>
    </w:p>
    <w:p w14:paraId="1DC6AF57" w14:textId="77777777" w:rsidR="004A5B9F" w:rsidRDefault="004A5B9F" w:rsidP="00A469BB">
      <w:pPr>
        <w:jc w:val="both"/>
        <w:rPr>
          <w:rFonts w:ascii="Arial" w:hAnsi="Arial" w:cs="Arial"/>
          <w:b/>
          <w:bCs/>
          <w:color w:val="222222"/>
          <w:shd w:val="clear" w:color="auto" w:fill="FFFFFF"/>
        </w:rPr>
      </w:pPr>
    </w:p>
    <w:p w14:paraId="441FBA5D" w14:textId="7DAD699C" w:rsidR="00D23C8A" w:rsidRDefault="00D23C8A" w:rsidP="00D23C8A">
      <w:pPr>
        <w:jc w:val="both"/>
        <w:rPr>
          <w:rFonts w:ascii="Arial" w:hAnsi="Arial" w:cs="Arial"/>
          <w:b/>
          <w:bCs/>
          <w:color w:val="222222"/>
          <w:shd w:val="clear" w:color="auto" w:fill="FFFFFF"/>
        </w:rPr>
      </w:pPr>
      <w:r>
        <w:rPr>
          <w:rFonts w:ascii="Arial" w:hAnsi="Arial" w:cs="Arial"/>
          <w:b/>
          <w:bCs/>
          <w:color w:val="222222"/>
          <w:shd w:val="clear" w:color="auto" w:fill="FFFFFF"/>
        </w:rPr>
        <w:t>---------------- # -------------------</w:t>
      </w:r>
    </w:p>
    <w:p w14:paraId="00B98820" w14:textId="68A7F03D" w:rsidR="00D23C8A" w:rsidRDefault="00D23C8A" w:rsidP="00D23C8A">
      <w:pPr>
        <w:jc w:val="both"/>
        <w:rPr>
          <w:rFonts w:ascii="Arial" w:hAnsi="Arial" w:cs="Arial"/>
          <w:b/>
          <w:bCs/>
          <w:color w:val="222222"/>
          <w:shd w:val="clear" w:color="auto" w:fill="FFFFFF"/>
        </w:rPr>
      </w:pPr>
    </w:p>
    <w:p w14:paraId="04A17C3C" w14:textId="7F92F410" w:rsidR="009C1746" w:rsidRPr="009C1746" w:rsidRDefault="00D23C8A" w:rsidP="009C1746">
      <w:pPr>
        <w:jc w:val="both"/>
        <w:rPr>
          <w:rFonts w:ascii="Arial" w:hAnsi="Arial" w:cs="Arial"/>
          <w:b/>
          <w:bCs/>
          <w:color w:val="222222"/>
          <w:shd w:val="clear" w:color="auto" w:fill="FFFFFF"/>
        </w:rPr>
      </w:pPr>
      <w:r w:rsidRPr="004335D7">
        <w:rPr>
          <w:rFonts w:ascii="Arial" w:hAnsi="Arial" w:cs="Arial"/>
          <w:b/>
          <w:bCs/>
          <w:color w:val="222222"/>
          <w:shd w:val="clear" w:color="auto" w:fill="FFFFFF"/>
        </w:rPr>
        <w:t xml:space="preserve">Comentários Revisor </w:t>
      </w:r>
      <w:r>
        <w:rPr>
          <w:rFonts w:ascii="Arial" w:hAnsi="Arial" w:cs="Arial"/>
          <w:b/>
          <w:bCs/>
          <w:color w:val="222222"/>
          <w:shd w:val="clear" w:color="auto" w:fill="FFFFFF"/>
        </w:rPr>
        <w:t>A</w:t>
      </w:r>
    </w:p>
    <w:p w14:paraId="6F4336B2" w14:textId="1FFE7386" w:rsidR="009C1746" w:rsidRPr="00174D2B" w:rsidRDefault="009C1746" w:rsidP="00174D2B">
      <w:pPr>
        <w:jc w:val="both"/>
        <w:rPr>
          <w:rFonts w:cstheme="minorHAnsi"/>
        </w:rPr>
      </w:pPr>
      <w:r w:rsidRPr="00174D2B">
        <w:rPr>
          <w:rFonts w:cstheme="minorHAnsi"/>
        </w:rPr>
        <w:t>Os autores agradecem a revisão feita e todas as sugestões e comentários, que</w:t>
      </w:r>
      <w:r w:rsidR="006D6ECF" w:rsidRPr="00174D2B">
        <w:rPr>
          <w:rFonts w:cstheme="minorHAnsi"/>
        </w:rPr>
        <w:t>, sem dúvida</w:t>
      </w:r>
      <w:r w:rsidRPr="00174D2B">
        <w:rPr>
          <w:rFonts w:cstheme="minorHAnsi"/>
        </w:rPr>
        <w:t xml:space="preserve"> contribuem para melhorar o artigo.</w:t>
      </w:r>
    </w:p>
    <w:p w14:paraId="0A1CA5F5" w14:textId="703789B3" w:rsidR="009C1746" w:rsidRPr="00174D2B" w:rsidRDefault="009C1746" w:rsidP="00174D2B">
      <w:pPr>
        <w:jc w:val="both"/>
        <w:rPr>
          <w:rFonts w:cstheme="minorHAnsi"/>
          <w:shd w:val="clear" w:color="auto" w:fill="FFFFFF"/>
        </w:rPr>
      </w:pPr>
      <w:r w:rsidRPr="00174D2B">
        <w:rPr>
          <w:rFonts w:cstheme="minorHAnsi"/>
        </w:rPr>
        <w:t>Relativamente às questões relativas à informação que consta na lista</w:t>
      </w:r>
      <w:r w:rsidR="00736D1E" w:rsidRPr="00174D2B">
        <w:rPr>
          <w:rFonts w:cstheme="minorHAnsi"/>
        </w:rPr>
        <w:t xml:space="preserve"> (Apêndice 1, do artigo)</w:t>
      </w:r>
      <w:r w:rsidRPr="00174D2B">
        <w:rPr>
          <w:rFonts w:cstheme="minorHAnsi"/>
        </w:rPr>
        <w:t xml:space="preserve"> </w:t>
      </w:r>
      <w:r w:rsidR="00736D1E" w:rsidRPr="00174D2B">
        <w:rPr>
          <w:rFonts w:cstheme="minorHAnsi"/>
        </w:rPr>
        <w:t>designadamente no que diz respeito às</w:t>
      </w:r>
      <w:r w:rsidRPr="00174D2B">
        <w:rPr>
          <w:rFonts w:cstheme="minorHAnsi"/>
        </w:rPr>
        <w:t xml:space="preserve"> recomendações,</w:t>
      </w:r>
      <w:r w:rsidR="00736D1E" w:rsidRPr="00174D2B">
        <w:rPr>
          <w:rFonts w:cstheme="minorHAnsi"/>
        </w:rPr>
        <w:t xml:space="preserve"> os autores entenderam seguir a estrutura original constante </w:t>
      </w:r>
      <w:r w:rsidRPr="00174D2B">
        <w:rPr>
          <w:rFonts w:cstheme="minorHAnsi"/>
        </w:rPr>
        <w:t xml:space="preserve">na lista original publicada no </w:t>
      </w:r>
      <w:r w:rsidRPr="00174D2B">
        <w:rPr>
          <w:rFonts w:cstheme="minorHAnsi"/>
          <w:i/>
          <w:iCs/>
        </w:rPr>
        <w:t>European Journal of Clinical Pharmacology, 71: 861–875(2015</w:t>
      </w:r>
      <w:r w:rsidR="00736D1E" w:rsidRPr="00174D2B">
        <w:rPr>
          <w:rFonts w:cstheme="minorHAnsi"/>
        </w:rPr>
        <w:t xml:space="preserve">, que </w:t>
      </w:r>
      <w:r w:rsidRPr="00174D2B">
        <w:rPr>
          <w:rFonts w:cstheme="minorHAnsi"/>
        </w:rPr>
        <w:t xml:space="preserve">foi construída com base </w:t>
      </w:r>
      <w:r w:rsidRPr="00174D2B">
        <w:rPr>
          <w:rFonts w:cstheme="minorHAnsi"/>
          <w:shd w:val="clear" w:color="auto" w:fill="FFFFFF"/>
        </w:rPr>
        <w:t xml:space="preserve">na </w:t>
      </w:r>
      <w:r w:rsidR="00174D2B" w:rsidRPr="00174D2B">
        <w:rPr>
          <w:rFonts w:cstheme="minorHAnsi"/>
          <w:shd w:val="clear" w:color="auto" w:fill="FFFFFF"/>
        </w:rPr>
        <w:t>M</w:t>
      </w:r>
      <w:r w:rsidRPr="00174D2B">
        <w:rPr>
          <w:rFonts w:cstheme="minorHAnsi"/>
          <w:shd w:val="clear" w:color="auto" w:fill="FFFFFF"/>
        </w:rPr>
        <w:t xml:space="preserve">icromedex® e nos RCM Europeus. </w:t>
      </w:r>
      <w:r w:rsidR="00736D1E" w:rsidRPr="00174D2B">
        <w:rPr>
          <w:rFonts w:cstheme="minorHAnsi"/>
          <w:shd w:val="clear" w:color="auto" w:fill="FFFFFF"/>
        </w:rPr>
        <w:t>Na lista original, as recomendações não são</w:t>
      </w:r>
      <w:r w:rsidRPr="00174D2B">
        <w:rPr>
          <w:rFonts w:cstheme="minorHAnsi"/>
          <w:shd w:val="clear" w:color="auto" w:fill="FFFFFF"/>
        </w:rPr>
        <w:t xml:space="preserve"> especificas</w:t>
      </w:r>
      <w:r w:rsidR="002E5979" w:rsidRPr="00174D2B">
        <w:rPr>
          <w:rFonts w:cstheme="minorHAnsi"/>
          <w:shd w:val="clear" w:color="auto" w:fill="FFFFFF"/>
        </w:rPr>
        <w:t xml:space="preserve">, no que diz respeito a doses especificas, sugerindo a relevância do critério médico e tendo em conta as diferenças que possam existir em termos de orientação clínica </w:t>
      </w:r>
      <w:r w:rsidRPr="00174D2B">
        <w:rPr>
          <w:rFonts w:cstheme="minorHAnsi"/>
          <w:shd w:val="clear" w:color="auto" w:fill="FFFFFF"/>
        </w:rPr>
        <w:t>especificas de cada país</w:t>
      </w:r>
      <w:r w:rsidR="002E5979" w:rsidRPr="00174D2B">
        <w:rPr>
          <w:rFonts w:cstheme="minorHAnsi"/>
          <w:shd w:val="clear" w:color="auto" w:fill="FFFFFF"/>
        </w:rPr>
        <w:t xml:space="preserve">, sujeitas a contínua atualização. Assim, a ferramenta tem um papel que é essencialmente de alerta durante a prescrição e de providenciar informação geral de suporte à decisão e prescrição clínica. </w:t>
      </w:r>
      <w:r w:rsidRPr="00174D2B">
        <w:rPr>
          <w:rFonts w:cstheme="minorHAnsi"/>
          <w:shd w:val="clear" w:color="auto" w:fill="FFFFFF"/>
        </w:rPr>
        <w:t xml:space="preserve">Para respondermos a estas questões consultamos os RCM aprovados em Portugal e discutimos as respostas com uma das autoras da lista original </w:t>
      </w:r>
      <w:r w:rsidR="00174D2B" w:rsidRPr="00174D2B">
        <w:rPr>
          <w:rFonts w:cstheme="minorHAnsi"/>
          <w:shd w:val="clear" w:color="auto" w:fill="FFFFFF"/>
        </w:rPr>
        <w:t xml:space="preserve">e </w:t>
      </w:r>
      <w:r w:rsidRPr="00174D2B">
        <w:rPr>
          <w:rFonts w:cstheme="minorHAnsi"/>
          <w:shd w:val="clear" w:color="auto" w:fill="FFFFFF"/>
        </w:rPr>
        <w:t xml:space="preserve">coautora </w:t>
      </w:r>
      <w:r w:rsidR="002E5979" w:rsidRPr="00174D2B">
        <w:rPr>
          <w:rFonts w:cstheme="minorHAnsi"/>
          <w:shd w:val="clear" w:color="auto" w:fill="FFFFFF"/>
        </w:rPr>
        <w:t>do presente estudo e artigo</w:t>
      </w:r>
      <w:r w:rsidRPr="00174D2B">
        <w:rPr>
          <w:rFonts w:cstheme="minorHAnsi"/>
          <w:shd w:val="clear" w:color="auto" w:fill="FFFFFF"/>
        </w:rPr>
        <w:t xml:space="preserve">. </w:t>
      </w:r>
    </w:p>
    <w:p w14:paraId="0817606E" w14:textId="2DFDAF48" w:rsidR="009C1746" w:rsidRPr="00174D2B" w:rsidRDefault="002E5979" w:rsidP="00174D2B">
      <w:pPr>
        <w:jc w:val="both"/>
        <w:rPr>
          <w:rFonts w:cstheme="minorHAnsi"/>
        </w:rPr>
      </w:pPr>
      <w:r w:rsidRPr="00174D2B">
        <w:rPr>
          <w:rFonts w:cstheme="minorHAnsi"/>
          <w:shd w:val="clear" w:color="auto" w:fill="FFFFFF"/>
        </w:rPr>
        <w:t>Agradecemos as questões levantadas pelo revisor e a oportunidade de melhoria, e procedemos à inclusão de informação atualizada na lista operacionalizada para Portugal.</w:t>
      </w:r>
    </w:p>
    <w:p w14:paraId="24CA6DFA" w14:textId="529BEFC6" w:rsidR="00D23C8A" w:rsidRDefault="00D23C8A" w:rsidP="00D23C8A">
      <w:pPr>
        <w:jc w:val="both"/>
        <w:rPr>
          <w:rFonts w:ascii="Arial" w:hAnsi="Arial" w:cs="Arial"/>
          <w:b/>
          <w:bCs/>
          <w:color w:val="222222"/>
          <w:shd w:val="clear" w:color="auto" w:fill="FFFFFF"/>
        </w:rPr>
      </w:pPr>
    </w:p>
    <w:p w14:paraId="17FCBB11" w14:textId="77777777" w:rsidR="00D23C8A" w:rsidRPr="00617094" w:rsidRDefault="00D23C8A" w:rsidP="00D23C8A">
      <w:pPr>
        <w:rPr>
          <w:b/>
          <w:bCs/>
          <w:color w:val="C00000"/>
        </w:rPr>
      </w:pPr>
      <w:r w:rsidRPr="00617094">
        <w:rPr>
          <w:b/>
          <w:bCs/>
          <w:color w:val="C00000"/>
        </w:rPr>
        <w:t>INTRODUÇÃO</w:t>
      </w:r>
    </w:p>
    <w:p w14:paraId="55A1377E" w14:textId="77777777" w:rsidR="00D23C8A" w:rsidRDefault="00D23C8A" w:rsidP="00D23C8A"/>
    <w:p w14:paraId="24DABF15" w14:textId="31F6752C" w:rsidR="00D23C8A" w:rsidRPr="00B91A04" w:rsidRDefault="00D23C8A" w:rsidP="00D23C8A">
      <w:pPr>
        <w:pStyle w:val="ListParagraph"/>
        <w:numPr>
          <w:ilvl w:val="0"/>
          <w:numId w:val="1"/>
        </w:numPr>
        <w:ind w:left="426"/>
        <w:jc w:val="both"/>
        <w:rPr>
          <w:rFonts w:ascii="Times New Roman" w:hAnsi="Times New Roman" w:cs="Times New Roman"/>
          <w:vertAlign w:val="superscript"/>
        </w:rPr>
      </w:pPr>
      <w:r w:rsidRPr="00617094">
        <w:rPr>
          <w:rFonts w:ascii="Times New Roman" w:hAnsi="Times New Roman" w:cs="Times New Roman"/>
        </w:rPr>
        <w:t>“O</w:t>
      </w:r>
      <w:r w:rsidRPr="00FB0F1B">
        <w:rPr>
          <w:rFonts w:ascii="Times New Roman" w:hAnsi="Times New Roman" w:cs="Times New Roman"/>
        </w:rPr>
        <w:t xml:space="preserve"> envelhecimento está muitas vezes associado a um risco aumentado de multimorbilidades, sendo que mais de metade da população idosa sofre de várias patologias, em simultâneo, com impacto na qualidade de vida e </w:t>
      </w:r>
      <w:r w:rsidR="00EB4259" w:rsidRPr="00FB0F1B">
        <w:rPr>
          <w:rFonts w:ascii="Times New Roman" w:hAnsi="Times New Roman" w:cs="Times New Roman"/>
        </w:rPr>
        <w:t>bem-estar</w:t>
      </w:r>
      <w:r w:rsidRPr="00FB0F1B">
        <w:rPr>
          <w:rFonts w:ascii="Times New Roman" w:hAnsi="Times New Roman" w:cs="Times New Roman"/>
        </w:rPr>
        <w:t>.</w:t>
      </w:r>
      <w:r w:rsidRPr="00FB0F1B">
        <w:rPr>
          <w:rFonts w:ascii="Times New Roman" w:hAnsi="Times New Roman" w:cs="Times New Roman"/>
          <w:vertAlign w:val="superscript"/>
        </w:rPr>
        <w:t>3-5</w:t>
      </w:r>
      <w:r w:rsidRPr="00FB0F1B">
        <w:rPr>
          <w:rFonts w:ascii="Times New Roman" w:hAnsi="Times New Roman" w:cs="Times New Roman"/>
        </w:rPr>
        <w:t xml:space="preserve"> </w:t>
      </w:r>
      <w:r w:rsidRPr="00B91A04">
        <w:rPr>
          <w:rFonts w:ascii="Times New Roman" w:hAnsi="Times New Roman" w:cs="Times New Roman"/>
          <w:highlight w:val="yellow"/>
        </w:rPr>
        <w:t>Assim, a população idosa consome mais medicamentos que a população mais jovem, e, uma grande percentagem da população idosa é polimedicada.</w:t>
      </w:r>
      <w:r w:rsidRPr="00B91A04">
        <w:rPr>
          <w:rFonts w:ascii="Times New Roman" w:hAnsi="Times New Roman" w:cs="Times New Roman"/>
          <w:highlight w:val="yellow"/>
          <w:vertAlign w:val="superscript"/>
        </w:rPr>
        <w:t>6,7</w:t>
      </w:r>
      <w:r>
        <w:rPr>
          <w:rFonts w:ascii="Times New Roman" w:hAnsi="Times New Roman" w:cs="Times New Roman"/>
          <w:vertAlign w:val="superscript"/>
        </w:rPr>
        <w:t>”</w:t>
      </w:r>
    </w:p>
    <w:p w14:paraId="76E14817" w14:textId="77777777" w:rsidR="00D23C8A" w:rsidRDefault="00D23C8A" w:rsidP="00D23C8A">
      <w:pPr>
        <w:rPr>
          <w:rFonts w:ascii="Times New Roman" w:hAnsi="Times New Roman" w:cs="Times New Roman"/>
        </w:rPr>
      </w:pPr>
    </w:p>
    <w:p w14:paraId="3B9794CA" w14:textId="77777777" w:rsidR="00D23C8A" w:rsidRPr="00AE6FBB" w:rsidRDefault="00D23C8A" w:rsidP="00D23C8A">
      <w:pPr>
        <w:rPr>
          <w:rFonts w:ascii="Times New Roman" w:hAnsi="Times New Roman" w:cs="Times New Roman"/>
          <w:b/>
          <w:bCs/>
        </w:rPr>
      </w:pPr>
      <w:r w:rsidRPr="00AE6FBB">
        <w:rPr>
          <w:rFonts w:ascii="Times New Roman" w:hAnsi="Times New Roman" w:cs="Times New Roman"/>
          <w:b/>
          <w:bCs/>
        </w:rPr>
        <w:t>Comentário 1:</w:t>
      </w:r>
    </w:p>
    <w:p w14:paraId="4133DBBB" w14:textId="77777777" w:rsidR="00D23C8A" w:rsidRDefault="00D23C8A" w:rsidP="00D23C8A">
      <w:pPr>
        <w:rPr>
          <w:rFonts w:ascii="Times New Roman" w:hAnsi="Times New Roman" w:cs="Times New Roman"/>
        </w:rPr>
      </w:pPr>
      <w:r>
        <w:rPr>
          <w:rFonts w:ascii="Times New Roman" w:hAnsi="Times New Roman" w:cs="Times New Roman"/>
        </w:rPr>
        <w:t>Ficaria mais preciso colocar a percentagem de população idosa que está polimedicada, nem que seja de acordo com as referências usadas, em vez de “grande percentagem”, tendo em conta que o artigo incide nesta população.</w:t>
      </w:r>
    </w:p>
    <w:p w14:paraId="1A50C993" w14:textId="02E9AB46" w:rsidR="00E000EB" w:rsidRDefault="00E000EB" w:rsidP="00E000EB">
      <w:pPr>
        <w:rPr>
          <w:rFonts w:ascii="Times New Roman" w:hAnsi="Times New Roman" w:cs="Times New Roman"/>
          <w:b/>
          <w:bCs/>
        </w:rPr>
      </w:pPr>
      <w:r w:rsidRPr="00E000EB">
        <w:rPr>
          <w:rFonts w:ascii="Times New Roman" w:hAnsi="Times New Roman" w:cs="Times New Roman"/>
          <w:b/>
          <w:bCs/>
        </w:rPr>
        <w:t>Resposta Comentário 1</w:t>
      </w:r>
    </w:p>
    <w:p w14:paraId="595C608A" w14:textId="44123F7C" w:rsidR="00627236" w:rsidRPr="00174D2B" w:rsidRDefault="00DF7C5C" w:rsidP="00E000EB">
      <w:pPr>
        <w:rPr>
          <w:rFonts w:cstheme="minorHAnsi"/>
        </w:rPr>
      </w:pPr>
      <w:r w:rsidRPr="00174D2B">
        <w:rPr>
          <w:rFonts w:cstheme="minorHAnsi"/>
        </w:rPr>
        <w:t>Os autores agradecem a sugestão</w:t>
      </w:r>
      <w:r w:rsidR="00FB7669" w:rsidRPr="00174D2B">
        <w:rPr>
          <w:rFonts w:cstheme="minorHAnsi"/>
        </w:rPr>
        <w:t xml:space="preserve">. </w:t>
      </w:r>
      <w:r w:rsidRPr="00174D2B">
        <w:rPr>
          <w:rFonts w:cstheme="minorHAnsi"/>
        </w:rPr>
        <w:t>Foi feita a seguinte alteração:</w:t>
      </w:r>
    </w:p>
    <w:p w14:paraId="4C8558AB" w14:textId="77777777" w:rsidR="00FB7669" w:rsidRDefault="00FB7669" w:rsidP="00E000EB">
      <w:pPr>
        <w:rPr>
          <w:rFonts w:ascii="Times New Roman" w:hAnsi="Times New Roman" w:cs="Times New Roman"/>
          <w:b/>
          <w:bCs/>
        </w:rPr>
      </w:pPr>
    </w:p>
    <w:p w14:paraId="509C18AF" w14:textId="5A2A94AF" w:rsidR="00FB7669" w:rsidRDefault="00FB7669" w:rsidP="00FB7669">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sidRPr="006211E6">
        <w:rPr>
          <w:rFonts w:ascii="Times New Roman" w:hAnsi="Times New Roman" w:cs="Times New Roman"/>
        </w:rPr>
        <w:lastRenderedPageBreak/>
        <w:t>Assim, a população idos</w:t>
      </w:r>
      <w:r>
        <w:rPr>
          <w:rFonts w:ascii="Times New Roman" w:hAnsi="Times New Roman" w:cs="Times New Roman"/>
        </w:rPr>
        <w:t>a</w:t>
      </w:r>
      <w:r w:rsidRPr="006211E6">
        <w:rPr>
          <w:rFonts w:ascii="Times New Roman" w:hAnsi="Times New Roman" w:cs="Times New Roman"/>
        </w:rPr>
        <w:t xml:space="preserve"> consome mais medicamentos que a população mais jovem</w:t>
      </w:r>
      <w:r>
        <w:rPr>
          <w:rFonts w:ascii="Times New Roman" w:hAnsi="Times New Roman" w:cs="Times New Roman"/>
        </w:rPr>
        <w:t>.</w:t>
      </w:r>
      <w:r w:rsidRPr="00FB7669">
        <w:rPr>
          <w:rFonts w:ascii="Times New Roman" w:hAnsi="Times New Roman" w:cs="Times New Roman"/>
          <w:vertAlign w:val="superscript"/>
        </w:rPr>
        <w:t>6,7</w:t>
      </w:r>
      <w:r>
        <w:rPr>
          <w:rFonts w:ascii="Times New Roman" w:hAnsi="Times New Roman" w:cs="Times New Roman"/>
        </w:rPr>
        <w:t xml:space="preserve">  </w:t>
      </w:r>
      <w:r w:rsidRPr="00A5182D">
        <w:rPr>
          <w:rFonts w:ascii="Times New Roman" w:hAnsi="Times New Roman" w:cs="Times New Roman"/>
          <w:strike/>
          <w:highlight w:val="green"/>
        </w:rPr>
        <w:t>uma grande percentagem</w:t>
      </w:r>
      <w:r w:rsidRPr="00A5182D">
        <w:rPr>
          <w:rFonts w:ascii="Times New Roman" w:hAnsi="Times New Roman" w:cs="Times New Roman"/>
          <w:highlight w:val="green"/>
        </w:rPr>
        <w:t xml:space="preserve"> </w:t>
      </w:r>
      <w:r w:rsidRPr="004B1320">
        <w:rPr>
          <w:rFonts w:ascii="Times New Roman" w:hAnsi="Times New Roman" w:cs="Times New Roman"/>
          <w:strike/>
          <w:highlight w:val="green"/>
        </w:rPr>
        <w:t>da população idosa é polimedicada.</w:t>
      </w:r>
      <w:r w:rsidRPr="004B1320">
        <w:rPr>
          <w:rFonts w:ascii="Times New Roman" w:hAnsi="Times New Roman" w:cs="Times New Roman"/>
          <w:strike/>
          <w:highlight w:val="green"/>
          <w:vertAlign w:val="superscript"/>
        </w:rPr>
        <w:t>,6,7</w:t>
      </w:r>
      <w:r>
        <w:rPr>
          <w:rFonts w:ascii="Times New Roman" w:hAnsi="Times New Roman" w:cs="Times New Roman"/>
        </w:rPr>
        <w:t xml:space="preserve">. </w:t>
      </w:r>
      <w:r w:rsidRPr="004B1320">
        <w:rPr>
          <w:rFonts w:ascii="Times New Roman" w:hAnsi="Times New Roman" w:cs="Times New Roman"/>
          <w:highlight w:val="green"/>
        </w:rPr>
        <w:t>Um estudo recente realizado em Portugal na população idosa, em unidades de cuidados de saúde primários, mostrou que 77% da amostra tomava mais de 5 medicamentos</w:t>
      </w:r>
      <w:r>
        <w:rPr>
          <w:rFonts w:ascii="Times New Roman" w:hAnsi="Times New Roman" w:cs="Times New Roman"/>
        </w:rPr>
        <w:t>.</w:t>
      </w:r>
      <w:r w:rsidRPr="00FB7669">
        <w:rPr>
          <w:rFonts w:ascii="Times New Roman" w:hAnsi="Times New Roman" w:cs="Times New Roman"/>
          <w:highlight w:val="green"/>
          <w:vertAlign w:val="superscript"/>
        </w:rPr>
        <w:t>8</w:t>
      </w:r>
    </w:p>
    <w:p w14:paraId="3533B582" w14:textId="77777777" w:rsidR="00FB7669" w:rsidRDefault="00FB7669" w:rsidP="00E000EB">
      <w:pPr>
        <w:rPr>
          <w:rFonts w:ascii="Times New Roman" w:hAnsi="Times New Roman" w:cs="Times New Roman"/>
          <w:b/>
          <w:bCs/>
        </w:rPr>
      </w:pPr>
    </w:p>
    <w:p w14:paraId="6772A85D" w14:textId="77777777" w:rsidR="00627236" w:rsidRPr="00FB0F1B" w:rsidRDefault="00627236" w:rsidP="00DF7C5C">
      <w:pPr>
        <w:pStyle w:val="ListParagraph"/>
        <w:numPr>
          <w:ilvl w:val="0"/>
          <w:numId w:val="1"/>
        </w:numPr>
        <w:ind w:left="426"/>
        <w:jc w:val="both"/>
        <w:rPr>
          <w:rFonts w:ascii="Times New Roman" w:hAnsi="Times New Roman" w:cs="Times New Roman"/>
        </w:rPr>
      </w:pPr>
      <w:r>
        <w:rPr>
          <w:rFonts w:ascii="Times New Roman" w:hAnsi="Times New Roman" w:cs="Times New Roman"/>
        </w:rPr>
        <w:t>“</w:t>
      </w:r>
      <w:r w:rsidRPr="00FB0F1B">
        <w:rPr>
          <w:rFonts w:ascii="Times New Roman" w:hAnsi="Times New Roman" w:cs="Times New Roman"/>
        </w:rPr>
        <w:t xml:space="preserve">Com as alterações fisiológicas que ocorrem com o envelhecimento a farmacocinética e </w:t>
      </w:r>
      <w:r w:rsidRPr="00B91A04">
        <w:rPr>
          <w:rFonts w:ascii="Times New Roman" w:hAnsi="Times New Roman" w:cs="Times New Roman"/>
          <w:highlight w:val="yellow"/>
        </w:rPr>
        <w:t xml:space="preserve">farmacodinamia </w:t>
      </w:r>
      <w:r w:rsidRPr="00FB0F1B">
        <w:rPr>
          <w:rFonts w:ascii="Times New Roman" w:hAnsi="Times New Roman" w:cs="Times New Roman"/>
        </w:rPr>
        <w:t>de muitos fármacos está alterada nos idosos, alterando a resposta farmacológica esperada para alguns medicamentos.</w:t>
      </w:r>
      <w:r>
        <w:rPr>
          <w:rFonts w:ascii="Times New Roman" w:hAnsi="Times New Roman" w:cs="Times New Roman"/>
        </w:rPr>
        <w:t>”</w:t>
      </w:r>
    </w:p>
    <w:p w14:paraId="34B1D4D9" w14:textId="77777777" w:rsidR="00627236" w:rsidRDefault="00627236" w:rsidP="00627236">
      <w:pPr>
        <w:rPr>
          <w:rFonts w:ascii="Times New Roman" w:hAnsi="Times New Roman" w:cs="Times New Roman"/>
        </w:rPr>
      </w:pPr>
    </w:p>
    <w:p w14:paraId="253F533D" w14:textId="7DA1EA69" w:rsidR="00627236" w:rsidRDefault="00627236" w:rsidP="00627236">
      <w:pPr>
        <w:rPr>
          <w:rFonts w:ascii="Times New Roman" w:hAnsi="Times New Roman" w:cs="Times New Roman"/>
        </w:rPr>
      </w:pPr>
      <w:r w:rsidRPr="00AE6FBB">
        <w:rPr>
          <w:rFonts w:ascii="Times New Roman" w:hAnsi="Times New Roman" w:cs="Times New Roman"/>
          <w:b/>
          <w:bCs/>
        </w:rPr>
        <w:t>Comentário 2:</w:t>
      </w:r>
      <w:r>
        <w:rPr>
          <w:rFonts w:ascii="Times New Roman" w:hAnsi="Times New Roman" w:cs="Times New Roman"/>
        </w:rPr>
        <w:t xml:space="preserve"> Quando se referem a farmacodinamia, é mesmo farmacodinamia ou farmacodinâmica?</w:t>
      </w:r>
    </w:p>
    <w:p w14:paraId="47AAAAA4" w14:textId="3199C45B" w:rsidR="00627236" w:rsidRPr="005666E8" w:rsidRDefault="00627236" w:rsidP="00627236">
      <w:pPr>
        <w:rPr>
          <w:rFonts w:ascii="Times New Roman" w:hAnsi="Times New Roman" w:cs="Times New Roman"/>
          <w:b/>
          <w:bCs/>
        </w:rPr>
      </w:pPr>
      <w:r w:rsidRPr="005666E8">
        <w:rPr>
          <w:rFonts w:ascii="Times New Roman" w:hAnsi="Times New Roman" w:cs="Times New Roman"/>
          <w:b/>
          <w:bCs/>
        </w:rPr>
        <w:t xml:space="preserve">Resposta Comentário </w:t>
      </w:r>
      <w:r w:rsidR="00DF7C5C">
        <w:rPr>
          <w:rFonts w:ascii="Times New Roman" w:hAnsi="Times New Roman" w:cs="Times New Roman"/>
          <w:b/>
          <w:bCs/>
        </w:rPr>
        <w:t>2</w:t>
      </w:r>
    </w:p>
    <w:p w14:paraId="6DC04F57" w14:textId="3AB472EF" w:rsidR="00627236" w:rsidRDefault="00627236" w:rsidP="00627236">
      <w:pPr>
        <w:rPr>
          <w:rFonts w:ascii="Times New Roman" w:hAnsi="Times New Roman" w:cs="Times New Roman"/>
        </w:rPr>
      </w:pPr>
      <w:r>
        <w:rPr>
          <w:rFonts w:ascii="Times New Roman" w:hAnsi="Times New Roman" w:cs="Times New Roman"/>
        </w:rPr>
        <w:t xml:space="preserve">Os autores referem-se a </w:t>
      </w:r>
      <w:r w:rsidR="00E84179">
        <w:rPr>
          <w:rFonts w:ascii="Times New Roman" w:hAnsi="Times New Roman" w:cs="Times New Roman"/>
        </w:rPr>
        <w:t>farmacodinâmica</w:t>
      </w:r>
      <w:r>
        <w:rPr>
          <w:rFonts w:ascii="Times New Roman" w:hAnsi="Times New Roman" w:cs="Times New Roman"/>
        </w:rPr>
        <w:t>. Foi feita a alteração no artigo.</w:t>
      </w:r>
    </w:p>
    <w:p w14:paraId="3395D69B" w14:textId="1656BA53" w:rsidR="00627236" w:rsidRDefault="00627236" w:rsidP="00627236">
      <w:pPr>
        <w:rPr>
          <w:rFonts w:ascii="Times New Roman" w:hAnsi="Times New Roman" w:cs="Times New Roman"/>
        </w:rPr>
      </w:pPr>
    </w:p>
    <w:p w14:paraId="0608117C" w14:textId="77777777" w:rsidR="00627236" w:rsidRPr="00B91A04" w:rsidRDefault="00627236" w:rsidP="00DF7C5C">
      <w:pPr>
        <w:pStyle w:val="ListParagraph"/>
        <w:numPr>
          <w:ilvl w:val="0"/>
          <w:numId w:val="1"/>
        </w:numPr>
        <w:ind w:left="426"/>
        <w:jc w:val="both"/>
        <w:rPr>
          <w:rFonts w:ascii="Times New Roman" w:hAnsi="Times New Roman" w:cs="Times New Roman"/>
        </w:rPr>
      </w:pPr>
      <w:r w:rsidRPr="00FB0F1B">
        <w:rPr>
          <w:rFonts w:ascii="Times New Roman" w:hAnsi="Times New Roman" w:cs="Times New Roman"/>
        </w:rPr>
        <w:t xml:space="preserve">“Apesar de haver poucos estudos sobre PIM em Portugal, os dados publicados mostram a importância de investigação nesta área. Tanto quanto é do nosso conhecimento, não existem estudos em Portugal sobre prevalência de PIM que utilizem a </w:t>
      </w:r>
      <w:r w:rsidRPr="00FB0F1B">
        <w:rPr>
          <w:rFonts w:ascii="Times New Roman" w:hAnsi="Times New Roman" w:cs="Times New Roman"/>
          <w:i/>
        </w:rPr>
        <w:t>EU(7)-PIM List</w:t>
      </w:r>
      <w:r w:rsidRPr="00FB0F1B">
        <w:rPr>
          <w:rFonts w:ascii="Times New Roman" w:hAnsi="Times New Roman" w:cs="Times New Roman"/>
          <w:iCs/>
        </w:rPr>
        <w:t xml:space="preserve">, </w:t>
      </w:r>
      <w:r w:rsidRPr="00FB0F1B">
        <w:rPr>
          <w:rFonts w:ascii="Times New Roman" w:hAnsi="Times New Roman" w:cs="Times New Roman"/>
        </w:rPr>
        <w:t xml:space="preserve">pelo que se torna fundamental a operacionalização desta lista para a realidade portuguesa, tendo em conta os medicamentos com Autorização de Introdução no Mercado (AIM) nacional. Com este trabalho pretendemos elaborar uma lista de PIM adaptada à realidade dos medicamentos comercializados em Portugal, através da operacionalização </w:t>
      </w:r>
      <w:r w:rsidRPr="00FB0F1B">
        <w:rPr>
          <w:rFonts w:ascii="Times New Roman" w:hAnsi="Times New Roman" w:cs="Times New Roman"/>
          <w:i/>
        </w:rPr>
        <w:t>EU(7)-PIM List</w:t>
      </w:r>
      <w:r w:rsidRPr="00FB0F1B">
        <w:rPr>
          <w:rFonts w:ascii="Times New Roman" w:hAnsi="Times New Roman" w:cs="Times New Roman"/>
        </w:rPr>
        <w:t xml:space="preserve">, para a realidade nacional e, avaliar a adequabilidade do seu uso para identificação de possíveis PIM na prática </w:t>
      </w:r>
      <w:r w:rsidRPr="00B91A04">
        <w:rPr>
          <w:rFonts w:ascii="Times New Roman" w:hAnsi="Times New Roman" w:cs="Times New Roman"/>
          <w:highlight w:val="yellow"/>
        </w:rPr>
        <w:t>clinica.</w:t>
      </w:r>
    </w:p>
    <w:p w14:paraId="5D56C391" w14:textId="77777777" w:rsidR="005666E8" w:rsidRDefault="005666E8" w:rsidP="00627236">
      <w:pPr>
        <w:rPr>
          <w:rFonts w:ascii="Times New Roman" w:hAnsi="Times New Roman" w:cs="Times New Roman"/>
          <w:b/>
          <w:bCs/>
        </w:rPr>
      </w:pPr>
    </w:p>
    <w:p w14:paraId="77B7A261" w14:textId="6BE71A0C" w:rsidR="00627236" w:rsidRPr="00627236" w:rsidRDefault="00627236" w:rsidP="00627236">
      <w:pPr>
        <w:rPr>
          <w:rFonts w:ascii="Times New Roman" w:hAnsi="Times New Roman" w:cs="Times New Roman"/>
          <w:b/>
          <w:bCs/>
        </w:rPr>
      </w:pPr>
      <w:r w:rsidRPr="00627236">
        <w:rPr>
          <w:rFonts w:ascii="Times New Roman" w:hAnsi="Times New Roman" w:cs="Times New Roman"/>
          <w:b/>
          <w:bCs/>
        </w:rPr>
        <w:t>Comentário 3:</w:t>
      </w:r>
      <w:r w:rsidR="005666E8">
        <w:rPr>
          <w:rFonts w:ascii="Times New Roman" w:hAnsi="Times New Roman" w:cs="Times New Roman"/>
          <w:b/>
          <w:bCs/>
        </w:rPr>
        <w:t xml:space="preserve">  </w:t>
      </w:r>
      <w:r w:rsidRPr="00627236">
        <w:rPr>
          <w:b/>
          <w:bCs/>
        </w:rPr>
        <w:t xml:space="preserve">Na última frase “ </w:t>
      </w:r>
      <w:r w:rsidRPr="00627236">
        <w:rPr>
          <w:rFonts w:ascii="Times New Roman" w:hAnsi="Times New Roman" w:cs="Times New Roman"/>
          <w:b/>
          <w:bCs/>
          <w:highlight w:val="yellow"/>
        </w:rPr>
        <w:t>do seu uso para identificação de possíveis PIM na prática clinica.</w:t>
      </w:r>
      <w:r w:rsidRPr="00627236">
        <w:rPr>
          <w:rFonts w:ascii="Times New Roman" w:hAnsi="Times New Roman" w:cs="Times New Roman"/>
          <w:b/>
          <w:bCs/>
        </w:rPr>
        <w:t>”, corrigir por  “clínica”.</w:t>
      </w:r>
    </w:p>
    <w:p w14:paraId="1836B69B" w14:textId="77777777" w:rsidR="00627236" w:rsidRDefault="00627236" w:rsidP="00627236">
      <w:pPr>
        <w:rPr>
          <w:rFonts w:ascii="Times New Roman" w:hAnsi="Times New Roman" w:cs="Times New Roman"/>
        </w:rPr>
      </w:pPr>
    </w:p>
    <w:p w14:paraId="2D394FE5" w14:textId="0CB53A4B" w:rsidR="00627236" w:rsidRDefault="00627236" w:rsidP="00627236">
      <w:pPr>
        <w:rPr>
          <w:rFonts w:ascii="Times New Roman" w:hAnsi="Times New Roman" w:cs="Times New Roman"/>
          <w:b/>
          <w:bCs/>
        </w:rPr>
      </w:pPr>
      <w:r>
        <w:rPr>
          <w:rFonts w:ascii="Times New Roman" w:hAnsi="Times New Roman" w:cs="Times New Roman"/>
          <w:b/>
          <w:bCs/>
        </w:rPr>
        <w:t xml:space="preserve">Resposta </w:t>
      </w:r>
      <w:r w:rsidRPr="00AE6FBB">
        <w:rPr>
          <w:rFonts w:ascii="Times New Roman" w:hAnsi="Times New Roman" w:cs="Times New Roman"/>
          <w:b/>
          <w:bCs/>
        </w:rPr>
        <w:t>Comentário 3:</w:t>
      </w:r>
    </w:p>
    <w:p w14:paraId="1F8A00DA" w14:textId="0BEC6AC2" w:rsidR="00627236" w:rsidRPr="00627236" w:rsidRDefault="00A27E1D" w:rsidP="00627236">
      <w:r>
        <w:t>Os autores agradecem a</w:t>
      </w:r>
      <w:r w:rsidR="00627236" w:rsidRPr="00627236">
        <w:t xml:space="preserve"> correção. </w:t>
      </w:r>
      <w:r>
        <w:t>Foi feita a alteração no artigo.</w:t>
      </w:r>
    </w:p>
    <w:p w14:paraId="6D757CC2" w14:textId="77777777" w:rsidR="00627236" w:rsidRDefault="00627236" w:rsidP="00E000EB">
      <w:pPr>
        <w:rPr>
          <w:rFonts w:ascii="Times New Roman" w:hAnsi="Times New Roman" w:cs="Times New Roman"/>
          <w:b/>
          <w:bCs/>
        </w:rPr>
      </w:pPr>
    </w:p>
    <w:p w14:paraId="19E0D5E0" w14:textId="77777777" w:rsidR="00627236" w:rsidRDefault="00627236" w:rsidP="00DF7C5C">
      <w:pPr>
        <w:pStyle w:val="ListParagraph"/>
        <w:numPr>
          <w:ilvl w:val="0"/>
          <w:numId w:val="1"/>
        </w:numPr>
        <w:ind w:left="426"/>
        <w:jc w:val="both"/>
        <w:rPr>
          <w:rFonts w:ascii="Times New Roman" w:hAnsi="Times New Roman" w:cs="Times New Roman"/>
        </w:rPr>
      </w:pPr>
      <w:r w:rsidRPr="00AE6FBB">
        <w:rPr>
          <w:rFonts w:ascii="Times New Roman" w:hAnsi="Times New Roman" w:cs="Times New Roman"/>
        </w:rPr>
        <w:t>Tabela 1</w:t>
      </w:r>
    </w:p>
    <w:p w14:paraId="6BA0E265" w14:textId="77777777" w:rsidR="005666E8" w:rsidRDefault="005666E8" w:rsidP="00627236">
      <w:pPr>
        <w:ind w:left="142"/>
        <w:rPr>
          <w:rFonts w:ascii="Times New Roman" w:hAnsi="Times New Roman" w:cs="Times New Roman"/>
          <w:b/>
          <w:bCs/>
        </w:rPr>
      </w:pPr>
    </w:p>
    <w:p w14:paraId="6179ABEB" w14:textId="0C8F2C3D" w:rsidR="00627236" w:rsidRDefault="00627236" w:rsidP="00627236">
      <w:pPr>
        <w:ind w:left="142"/>
        <w:rPr>
          <w:rFonts w:ascii="Times New Roman" w:hAnsi="Times New Roman" w:cs="Times New Roman"/>
        </w:rPr>
      </w:pPr>
      <w:r w:rsidRPr="00AE6FBB">
        <w:rPr>
          <w:rFonts w:ascii="Times New Roman" w:hAnsi="Times New Roman" w:cs="Times New Roman"/>
          <w:b/>
          <w:bCs/>
        </w:rPr>
        <w:t>Comentário 4:</w:t>
      </w:r>
      <w:r>
        <w:rPr>
          <w:rFonts w:ascii="Times New Roman" w:hAnsi="Times New Roman" w:cs="Times New Roman"/>
        </w:rPr>
        <w:t xml:space="preserve"> </w:t>
      </w:r>
      <w:r w:rsidRPr="00AE6FBB">
        <w:rPr>
          <w:rFonts w:ascii="Times New Roman" w:hAnsi="Times New Roman" w:cs="Times New Roman"/>
        </w:rPr>
        <w:t xml:space="preserve">Fármacos que não existem no PEM: </w:t>
      </w:r>
      <w:r w:rsidRPr="00AE6FBB">
        <w:rPr>
          <w:rFonts w:ascii="Times New Roman" w:hAnsi="Times New Roman" w:cs="Times New Roman"/>
          <w:highlight w:val="yellow"/>
        </w:rPr>
        <w:t xml:space="preserve">Dexlansoprazol; </w:t>
      </w:r>
      <w:r>
        <w:rPr>
          <w:rFonts w:ascii="Times New Roman" w:hAnsi="Times New Roman" w:cs="Times New Roman"/>
          <w:highlight w:val="yellow"/>
        </w:rPr>
        <w:t>z</w:t>
      </w:r>
      <w:r w:rsidRPr="00AE6FBB">
        <w:rPr>
          <w:rFonts w:ascii="Times New Roman" w:hAnsi="Times New Roman" w:cs="Times New Roman"/>
          <w:highlight w:val="yellow"/>
        </w:rPr>
        <w:t>opiclona</w:t>
      </w:r>
      <w:r>
        <w:rPr>
          <w:rFonts w:ascii="Times New Roman" w:hAnsi="Times New Roman" w:cs="Times New Roman"/>
          <w:highlight w:val="yellow"/>
        </w:rPr>
        <w:t xml:space="preserve"> </w:t>
      </w:r>
      <w:r w:rsidRPr="00AE6FBB">
        <w:rPr>
          <w:rFonts w:ascii="Times New Roman" w:hAnsi="Times New Roman" w:cs="Times New Roman"/>
          <w:highlight w:val="yellow"/>
        </w:rPr>
        <w:t>N06BX02- piritinol</w:t>
      </w:r>
    </w:p>
    <w:p w14:paraId="353F9569" w14:textId="0F212CF6" w:rsidR="00627236" w:rsidRDefault="00627236" w:rsidP="00627236">
      <w:pPr>
        <w:ind w:left="142"/>
        <w:rPr>
          <w:rFonts w:ascii="Times New Roman" w:hAnsi="Times New Roman" w:cs="Times New Roman"/>
          <w:b/>
          <w:bCs/>
        </w:rPr>
      </w:pPr>
      <w:r>
        <w:rPr>
          <w:rFonts w:ascii="Times New Roman" w:hAnsi="Times New Roman" w:cs="Times New Roman"/>
          <w:b/>
          <w:bCs/>
        </w:rPr>
        <w:t>Resposta ao comentário 4</w:t>
      </w:r>
    </w:p>
    <w:p w14:paraId="253409FC" w14:textId="0F89363B" w:rsidR="00A27E1D" w:rsidRDefault="00627236" w:rsidP="00A27E1D">
      <w:pPr>
        <w:ind w:left="142"/>
        <w:jc w:val="both"/>
        <w:rPr>
          <w:rFonts w:cstheme="minorHAnsi"/>
          <w:color w:val="000000"/>
          <w:shd w:val="clear" w:color="auto" w:fill="FEFEFE"/>
        </w:rPr>
      </w:pPr>
      <w:r w:rsidRPr="00A27E1D">
        <w:rPr>
          <w:rFonts w:cstheme="minorHAnsi"/>
        </w:rPr>
        <w:t xml:space="preserve">A metodologia utilizada para avaliar os medicamentos com AIM em Portugal foi através de pesquisa na base de dados do INFARMED, a </w:t>
      </w:r>
      <w:r w:rsidRPr="00A27E1D">
        <w:rPr>
          <w:rFonts w:cstheme="minorHAnsi"/>
          <w:i/>
          <w:iCs/>
        </w:rPr>
        <w:t>Infomed.</w:t>
      </w:r>
      <w:r w:rsidR="00BD6DAE" w:rsidRPr="00A27E1D">
        <w:rPr>
          <w:rFonts w:cstheme="minorHAnsi"/>
        </w:rPr>
        <w:t xml:space="preserve"> Segundo informação que consta na página inicial, </w:t>
      </w:r>
      <w:r w:rsidR="00BD6DAE" w:rsidRPr="00A27E1D">
        <w:rPr>
          <w:rFonts w:cstheme="minorHAnsi"/>
          <w:i/>
          <w:iCs/>
        </w:rPr>
        <w:t>“</w:t>
      </w:r>
      <w:r w:rsidR="00BD6DAE" w:rsidRPr="00A27E1D">
        <w:rPr>
          <w:rFonts w:cstheme="minorHAnsi"/>
          <w:i/>
          <w:iCs/>
          <w:color w:val="000000"/>
          <w:shd w:val="clear" w:color="auto" w:fill="FEFEFE"/>
        </w:rPr>
        <w:t>A Infomed é actualizada diariamente através da transferência dos dados da base de dados interna do Infarmed.” No período em que fizemos a</w:t>
      </w:r>
      <w:r w:rsidR="00A27E1D">
        <w:rPr>
          <w:rFonts w:cstheme="minorHAnsi"/>
          <w:i/>
          <w:iCs/>
          <w:color w:val="000000"/>
          <w:shd w:val="clear" w:color="auto" w:fill="FEFEFE"/>
        </w:rPr>
        <w:t xml:space="preserve"> 1ª</w:t>
      </w:r>
      <w:r w:rsidR="00BD6DAE" w:rsidRPr="00A27E1D">
        <w:rPr>
          <w:rFonts w:cstheme="minorHAnsi"/>
          <w:i/>
          <w:iCs/>
          <w:color w:val="000000"/>
          <w:shd w:val="clear" w:color="auto" w:fill="FEFEFE"/>
        </w:rPr>
        <w:t xml:space="preserve"> pesquisa</w:t>
      </w:r>
      <w:r w:rsidR="00A27E1D">
        <w:rPr>
          <w:rFonts w:cstheme="minorHAnsi"/>
          <w:i/>
          <w:iCs/>
          <w:color w:val="000000"/>
          <w:shd w:val="clear" w:color="auto" w:fill="FEFEFE"/>
        </w:rPr>
        <w:t xml:space="preserve"> (maio 2019)</w:t>
      </w:r>
      <w:r w:rsidR="00BD6DAE" w:rsidRPr="00A27E1D">
        <w:rPr>
          <w:rFonts w:cstheme="minorHAnsi"/>
          <w:i/>
          <w:iCs/>
          <w:color w:val="000000"/>
          <w:shd w:val="clear" w:color="auto" w:fill="FEFEFE"/>
        </w:rPr>
        <w:t xml:space="preserve">, os </w:t>
      </w:r>
      <w:r w:rsidR="009406C6">
        <w:rPr>
          <w:rFonts w:cstheme="minorHAnsi"/>
          <w:i/>
          <w:iCs/>
          <w:color w:val="000000"/>
          <w:shd w:val="clear" w:color="auto" w:fill="FEFEFE"/>
        </w:rPr>
        <w:t>farmacos</w:t>
      </w:r>
      <w:r w:rsidR="00BD6DAE" w:rsidRPr="00A27E1D">
        <w:rPr>
          <w:rFonts w:cstheme="minorHAnsi"/>
          <w:i/>
          <w:iCs/>
          <w:color w:val="000000"/>
          <w:shd w:val="clear" w:color="auto" w:fill="FEFEFE"/>
        </w:rPr>
        <w:t xml:space="preserve"> </w:t>
      </w:r>
      <w:r w:rsidR="009406C6">
        <w:rPr>
          <w:rFonts w:cstheme="minorHAnsi"/>
          <w:i/>
          <w:iCs/>
          <w:color w:val="000000"/>
          <w:shd w:val="clear" w:color="auto" w:fill="FEFEFE"/>
        </w:rPr>
        <w:t>d</w:t>
      </w:r>
      <w:r w:rsidR="00BD6DAE" w:rsidRPr="00A27E1D">
        <w:rPr>
          <w:rFonts w:cstheme="minorHAnsi"/>
          <w:i/>
          <w:iCs/>
          <w:color w:val="000000"/>
          <w:shd w:val="clear" w:color="auto" w:fill="FEFEFE"/>
        </w:rPr>
        <w:t xml:space="preserve">exlansoprazol, zopiclona e piritinol, constavam como medicamento com </w:t>
      </w:r>
      <w:r w:rsidR="00212BA0" w:rsidRPr="00A27E1D">
        <w:rPr>
          <w:rFonts w:cstheme="minorHAnsi"/>
          <w:color w:val="000000"/>
          <w:shd w:val="clear" w:color="auto" w:fill="FEFEFE"/>
        </w:rPr>
        <w:t xml:space="preserve">AIM. </w:t>
      </w:r>
      <w:r w:rsidR="00A27E1D">
        <w:rPr>
          <w:rFonts w:cstheme="minorHAnsi"/>
          <w:color w:val="000000"/>
          <w:shd w:val="clear" w:color="auto" w:fill="FEFEFE"/>
        </w:rPr>
        <w:t xml:space="preserve">No </w:t>
      </w:r>
      <w:r w:rsidR="00A27E1D">
        <w:rPr>
          <w:rFonts w:cstheme="minorHAnsi"/>
          <w:color w:val="000000"/>
          <w:shd w:val="clear" w:color="auto" w:fill="FEFEFE"/>
        </w:rPr>
        <w:lastRenderedPageBreak/>
        <w:t>período da segunda pesquisa (janeiro de 2020), a zoplicona tinha sido</w:t>
      </w:r>
      <w:r w:rsidR="00A27E1D" w:rsidRPr="00A27E1D">
        <w:rPr>
          <w:rFonts w:cstheme="minorHAnsi"/>
          <w:color w:val="000000"/>
          <w:shd w:val="clear" w:color="auto" w:fill="FEFEFE"/>
        </w:rPr>
        <w:t xml:space="preserve"> retirada do mercado em julho de 2019</w:t>
      </w:r>
      <w:r w:rsidR="00A27E1D">
        <w:rPr>
          <w:rFonts w:cstheme="minorHAnsi"/>
          <w:color w:val="000000"/>
          <w:shd w:val="clear" w:color="auto" w:fill="FEFEFE"/>
        </w:rPr>
        <w:t>. Esta informação foi atualizada no texto e apêndice do artigo, no entanto, por lapso, a tabela submetida em Apêndice ao artigo durante o processo de submissão, não foi a versão mais atualizada. Na versão revista esta substância será retirada da lista final</w:t>
      </w:r>
      <w:r w:rsidR="00BA45B4">
        <w:rPr>
          <w:rFonts w:cstheme="minorHAnsi"/>
          <w:color w:val="000000"/>
          <w:shd w:val="clear" w:color="auto" w:fill="FEFEFE"/>
        </w:rPr>
        <w:t>.</w:t>
      </w:r>
    </w:p>
    <w:p w14:paraId="7D305ECA" w14:textId="03920030" w:rsidR="00A27E1D" w:rsidRDefault="00A27E1D" w:rsidP="00A27E1D">
      <w:pPr>
        <w:ind w:left="142"/>
        <w:jc w:val="both"/>
        <w:rPr>
          <w:rFonts w:cstheme="minorHAnsi"/>
          <w:color w:val="000000"/>
          <w:shd w:val="clear" w:color="auto" w:fill="FEFEFE"/>
        </w:rPr>
      </w:pPr>
      <w:r>
        <w:rPr>
          <w:rFonts w:cstheme="minorHAnsi"/>
          <w:color w:val="000000"/>
          <w:shd w:val="clear" w:color="auto" w:fill="FEFEFE"/>
        </w:rPr>
        <w:t>Relativamente ao d</w:t>
      </w:r>
      <w:r w:rsidRPr="00A27E1D">
        <w:rPr>
          <w:rFonts w:cstheme="minorHAnsi"/>
          <w:color w:val="000000"/>
          <w:shd w:val="clear" w:color="auto" w:fill="FEFEFE"/>
        </w:rPr>
        <w:t>exlansopra</w:t>
      </w:r>
      <w:r w:rsidR="009406C6">
        <w:rPr>
          <w:rFonts w:cstheme="minorHAnsi"/>
          <w:color w:val="000000"/>
          <w:shd w:val="clear" w:color="auto" w:fill="FEFEFE"/>
        </w:rPr>
        <w:t>z</w:t>
      </w:r>
      <w:r w:rsidRPr="00A27E1D">
        <w:rPr>
          <w:rFonts w:cstheme="minorHAnsi"/>
          <w:color w:val="000000"/>
          <w:shd w:val="clear" w:color="auto" w:fill="FEFEFE"/>
        </w:rPr>
        <w:t xml:space="preserve">ol e </w:t>
      </w:r>
      <w:r>
        <w:rPr>
          <w:rFonts w:cstheme="minorHAnsi"/>
          <w:color w:val="000000"/>
          <w:shd w:val="clear" w:color="auto" w:fill="FEFEFE"/>
        </w:rPr>
        <w:t>a</w:t>
      </w:r>
      <w:r w:rsidRPr="00A27E1D">
        <w:rPr>
          <w:rFonts w:cstheme="minorHAnsi"/>
          <w:color w:val="000000"/>
          <w:shd w:val="clear" w:color="auto" w:fill="FEFEFE"/>
        </w:rPr>
        <w:t>o piritinol</w:t>
      </w:r>
      <w:r>
        <w:rPr>
          <w:rFonts w:cstheme="minorHAnsi"/>
          <w:color w:val="000000"/>
          <w:shd w:val="clear" w:color="auto" w:fill="FEFEFE"/>
        </w:rPr>
        <w:t>, e</w:t>
      </w:r>
      <w:r w:rsidRPr="00A27E1D">
        <w:rPr>
          <w:rFonts w:cstheme="minorHAnsi"/>
          <w:color w:val="000000"/>
          <w:shd w:val="clear" w:color="auto" w:fill="FEFEFE"/>
        </w:rPr>
        <w:t xml:space="preserve">m acesso realizado no dia </w:t>
      </w:r>
      <w:r w:rsidR="009406C6">
        <w:rPr>
          <w:rFonts w:cstheme="minorHAnsi"/>
          <w:color w:val="000000"/>
          <w:shd w:val="clear" w:color="auto" w:fill="FEFEFE"/>
        </w:rPr>
        <w:t>10</w:t>
      </w:r>
      <w:r w:rsidRPr="00A27E1D">
        <w:rPr>
          <w:rFonts w:cstheme="minorHAnsi"/>
          <w:color w:val="000000"/>
          <w:shd w:val="clear" w:color="auto" w:fill="FEFEFE"/>
        </w:rPr>
        <w:t xml:space="preserve"> de maio de 2020 comprovamos que ainda constam</w:t>
      </w:r>
      <w:r>
        <w:rPr>
          <w:rFonts w:cstheme="minorHAnsi"/>
          <w:color w:val="000000"/>
          <w:shd w:val="clear" w:color="auto" w:fill="FEFEFE"/>
        </w:rPr>
        <w:t xml:space="preserve"> n</w:t>
      </w:r>
      <w:r w:rsidR="009406C6">
        <w:rPr>
          <w:rFonts w:cstheme="minorHAnsi"/>
          <w:color w:val="000000"/>
          <w:shd w:val="clear" w:color="auto" w:fill="FEFEFE"/>
        </w:rPr>
        <w:t>a</w:t>
      </w:r>
      <w:r>
        <w:rPr>
          <w:rFonts w:cstheme="minorHAnsi"/>
          <w:color w:val="000000"/>
          <w:shd w:val="clear" w:color="auto" w:fill="FEFEFE"/>
        </w:rPr>
        <w:t xml:space="preserve"> </w:t>
      </w:r>
      <w:r w:rsidRPr="00A27E1D">
        <w:rPr>
          <w:rFonts w:cstheme="minorHAnsi"/>
          <w:i/>
          <w:iCs/>
          <w:color w:val="000000"/>
          <w:shd w:val="clear" w:color="auto" w:fill="FEFEFE"/>
        </w:rPr>
        <w:t>Infomed</w:t>
      </w:r>
      <w:r w:rsidRPr="00A27E1D">
        <w:rPr>
          <w:rFonts w:cstheme="minorHAnsi"/>
          <w:color w:val="000000"/>
          <w:shd w:val="clear" w:color="auto" w:fill="FEFEFE"/>
        </w:rPr>
        <w:t xml:space="preserve"> com</w:t>
      </w:r>
      <w:r>
        <w:rPr>
          <w:rFonts w:cstheme="minorHAnsi"/>
          <w:color w:val="000000"/>
          <w:shd w:val="clear" w:color="auto" w:fill="FEFEFE"/>
        </w:rPr>
        <w:t>o</w:t>
      </w:r>
      <w:r w:rsidRPr="00A27E1D">
        <w:rPr>
          <w:rFonts w:cstheme="minorHAnsi"/>
          <w:color w:val="000000"/>
          <w:shd w:val="clear" w:color="auto" w:fill="FEFEFE"/>
        </w:rPr>
        <w:t xml:space="preserve"> medicamentos com AIM</w:t>
      </w:r>
      <w:r>
        <w:rPr>
          <w:rFonts w:cstheme="minorHAnsi"/>
          <w:color w:val="000000"/>
          <w:shd w:val="clear" w:color="auto" w:fill="FEFEFE"/>
        </w:rPr>
        <w:t xml:space="preserve"> em Portugal.</w:t>
      </w:r>
    </w:p>
    <w:p w14:paraId="131DDF5F" w14:textId="77777777" w:rsidR="009406C6" w:rsidRDefault="009406C6" w:rsidP="00A27E1D">
      <w:pPr>
        <w:ind w:left="142"/>
        <w:jc w:val="both"/>
        <w:rPr>
          <w:rFonts w:cstheme="minorHAnsi"/>
          <w:color w:val="000000"/>
          <w:shd w:val="clear" w:color="auto" w:fill="FEFEFE"/>
        </w:rPr>
      </w:pPr>
    </w:p>
    <w:p w14:paraId="5E80ABA9" w14:textId="77777777" w:rsidR="00C217CE" w:rsidRPr="008C10D7" w:rsidRDefault="00C217CE" w:rsidP="003F3C83">
      <w:pPr>
        <w:pStyle w:val="ListParagraph"/>
        <w:numPr>
          <w:ilvl w:val="0"/>
          <w:numId w:val="1"/>
        </w:numPr>
        <w:ind w:left="426"/>
        <w:jc w:val="both"/>
        <w:rPr>
          <w:rFonts w:ascii="Times New Roman" w:eastAsia="Times New Roman" w:hAnsi="Times New Roman" w:cs="Times New Roman"/>
          <w:lang w:eastAsia="pt-PT"/>
        </w:rPr>
      </w:pPr>
    </w:p>
    <w:tbl>
      <w:tblPr>
        <w:tblStyle w:val="TableGridLight"/>
        <w:tblW w:w="9599" w:type="dxa"/>
        <w:tblLook w:val="04A0" w:firstRow="1" w:lastRow="0" w:firstColumn="1" w:lastColumn="0" w:noHBand="0" w:noVBand="1"/>
      </w:tblPr>
      <w:tblGrid>
        <w:gridCol w:w="1095"/>
        <w:gridCol w:w="1971"/>
        <w:gridCol w:w="3517"/>
        <w:gridCol w:w="1917"/>
        <w:gridCol w:w="1099"/>
      </w:tblGrid>
      <w:tr w:rsidR="00C217CE" w:rsidRPr="00D84555" w14:paraId="09C552D2" w14:textId="77777777" w:rsidTr="004C7749">
        <w:trPr>
          <w:trHeight w:val="337"/>
        </w:trPr>
        <w:tc>
          <w:tcPr>
            <w:tcW w:w="1095" w:type="dxa"/>
            <w:vAlign w:val="center"/>
          </w:tcPr>
          <w:p w14:paraId="0946583A" w14:textId="77777777" w:rsidR="00C217CE" w:rsidRPr="00D84555" w:rsidRDefault="00C217CE"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A02AB, A02AD</w:t>
            </w:r>
          </w:p>
        </w:tc>
        <w:tc>
          <w:tcPr>
            <w:tcW w:w="1971" w:type="dxa"/>
            <w:vAlign w:val="center"/>
          </w:tcPr>
          <w:p w14:paraId="6AB356C6" w14:textId="77777777" w:rsidR="00C217CE" w:rsidRPr="008C10D7" w:rsidRDefault="00C217CE" w:rsidP="004C7749">
            <w:pPr>
              <w:spacing w:line="276" w:lineRule="auto"/>
              <w:jc w:val="center"/>
              <w:rPr>
                <w:rFonts w:ascii="Times New Roman" w:hAnsi="Times New Roman" w:cs="Times New Roman"/>
                <w:b/>
                <w:sz w:val="18"/>
                <w:szCs w:val="18"/>
                <w:lang w:val="pt-PT"/>
              </w:rPr>
            </w:pPr>
            <w:r w:rsidRPr="008C10D7">
              <w:rPr>
                <w:rFonts w:ascii="Times New Roman" w:hAnsi="Times New Roman" w:cs="Times New Roman"/>
                <w:b/>
                <w:sz w:val="18"/>
                <w:szCs w:val="18"/>
                <w:lang w:val="pt-PT"/>
              </w:rPr>
              <w:t>Antiácidos contendo alumínio - Combinações e complexos de compostos de alumínio, cálcio e magnésio</w:t>
            </w:r>
          </w:p>
        </w:tc>
        <w:tc>
          <w:tcPr>
            <w:tcW w:w="3517" w:type="dxa"/>
            <w:vAlign w:val="center"/>
          </w:tcPr>
          <w:p w14:paraId="7D14E27C" w14:textId="77777777" w:rsidR="00C217CE" w:rsidRPr="008C10D7" w:rsidRDefault="00C217CE"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Excreção renal de alumínio diminui em idosos. Risco de toxicidade do SNC.</w:t>
            </w:r>
          </w:p>
        </w:tc>
        <w:tc>
          <w:tcPr>
            <w:tcW w:w="1917" w:type="dxa"/>
            <w:vAlign w:val="center"/>
          </w:tcPr>
          <w:p w14:paraId="2541B937" w14:textId="77777777" w:rsidR="00C217CE" w:rsidRPr="008C10D7" w:rsidRDefault="00C217CE" w:rsidP="004C7749">
            <w:pPr>
              <w:spacing w:line="276" w:lineRule="auto"/>
              <w:jc w:val="both"/>
              <w:rPr>
                <w:rFonts w:ascii="Times New Roman" w:hAnsi="Times New Roman" w:cs="Times New Roman"/>
                <w:sz w:val="18"/>
                <w:szCs w:val="18"/>
                <w:lang w:val="pt-PT"/>
              </w:rPr>
            </w:pPr>
            <w:r w:rsidRPr="00FB0F1B">
              <w:rPr>
                <w:rFonts w:ascii="Times New Roman" w:hAnsi="Times New Roman" w:cs="Times New Roman"/>
                <w:sz w:val="18"/>
                <w:szCs w:val="18"/>
                <w:highlight w:val="yellow"/>
                <w:lang w:val="pt-PT"/>
              </w:rPr>
              <w:t>Ajustar a dose</w:t>
            </w:r>
            <w:r w:rsidRPr="008C10D7">
              <w:rPr>
                <w:rFonts w:ascii="Times New Roman" w:hAnsi="Times New Roman" w:cs="Times New Roman"/>
                <w:sz w:val="18"/>
                <w:szCs w:val="18"/>
                <w:lang w:val="pt-PT"/>
              </w:rPr>
              <w:t xml:space="preserve"> na insuficiência renal grave.</w:t>
            </w:r>
          </w:p>
          <w:p w14:paraId="656B4AB8" w14:textId="77777777" w:rsidR="00C217CE" w:rsidRPr="008C10D7" w:rsidRDefault="00C217CE"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 xml:space="preserve">Usar por períodos curtos (3-4 dias). </w:t>
            </w:r>
          </w:p>
        </w:tc>
        <w:tc>
          <w:tcPr>
            <w:tcW w:w="1099" w:type="dxa"/>
            <w:vAlign w:val="center"/>
          </w:tcPr>
          <w:p w14:paraId="601E6995" w14:textId="77777777" w:rsidR="00C217CE" w:rsidRPr="008C10D7" w:rsidRDefault="00C217CE"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Quando a indicação é apropriada: IBP (&lt;8 semanas, baixas doses).</w:t>
            </w:r>
          </w:p>
        </w:tc>
      </w:tr>
    </w:tbl>
    <w:p w14:paraId="1E90AB99" w14:textId="77777777" w:rsidR="00C217CE" w:rsidRDefault="00C217CE" w:rsidP="00C217CE">
      <w:pPr>
        <w:rPr>
          <w:rFonts w:ascii="Times New Roman" w:eastAsia="Times New Roman" w:hAnsi="Times New Roman" w:cs="Times New Roman"/>
          <w:b/>
          <w:bCs/>
          <w:lang w:eastAsia="pt-PT"/>
        </w:rPr>
      </w:pPr>
    </w:p>
    <w:p w14:paraId="0C90044D" w14:textId="533E780F" w:rsidR="00C217CE" w:rsidRDefault="00C217CE" w:rsidP="00C217CE">
      <w:pPr>
        <w:rPr>
          <w:rFonts w:ascii="Times New Roman" w:eastAsia="Times New Roman" w:hAnsi="Times New Roman" w:cs="Times New Roman"/>
          <w:lang w:eastAsia="pt-PT"/>
        </w:rPr>
      </w:pPr>
      <w:r w:rsidRPr="008C10D7">
        <w:rPr>
          <w:rFonts w:ascii="Times New Roman" w:eastAsia="Times New Roman" w:hAnsi="Times New Roman" w:cs="Times New Roman"/>
          <w:b/>
          <w:bCs/>
          <w:lang w:eastAsia="pt-PT"/>
        </w:rPr>
        <w:t>Comentário 5:</w:t>
      </w:r>
      <w:r>
        <w:rPr>
          <w:rFonts w:ascii="Times New Roman" w:eastAsia="Times New Roman" w:hAnsi="Times New Roman" w:cs="Times New Roman"/>
          <w:lang w:eastAsia="pt-PT"/>
        </w:rPr>
        <w:t xml:space="preserve"> Qual a dose na IR grave?</w:t>
      </w:r>
    </w:p>
    <w:p w14:paraId="0C01C8AE" w14:textId="3415BF46" w:rsidR="00C217CE" w:rsidRPr="00C217CE" w:rsidRDefault="00C217CE" w:rsidP="00C217CE">
      <w:pPr>
        <w:rPr>
          <w:rFonts w:ascii="Times New Roman" w:eastAsia="Times New Roman" w:hAnsi="Times New Roman" w:cs="Times New Roman"/>
          <w:b/>
          <w:bCs/>
          <w:lang w:eastAsia="pt-PT"/>
        </w:rPr>
      </w:pPr>
      <w:r w:rsidRPr="00C217CE">
        <w:rPr>
          <w:rFonts w:ascii="Times New Roman" w:eastAsia="Times New Roman" w:hAnsi="Times New Roman" w:cs="Times New Roman"/>
          <w:b/>
          <w:bCs/>
          <w:lang w:eastAsia="pt-PT"/>
        </w:rPr>
        <w:t>Resposta ao Comentário 5</w:t>
      </w:r>
    </w:p>
    <w:p w14:paraId="08ECAB0E" w14:textId="10063188" w:rsidR="00C217CE" w:rsidRPr="00C54758" w:rsidRDefault="008E2421" w:rsidP="00E000EB">
      <w:pPr>
        <w:rPr>
          <w:rFonts w:ascii="Times New Roman" w:hAnsi="Times New Roman" w:cs="Times New Roman"/>
        </w:rPr>
      </w:pPr>
      <w:r w:rsidRPr="008E2421">
        <w:rPr>
          <w:rFonts w:ascii="Times New Roman" w:hAnsi="Times New Roman" w:cs="Times New Roman"/>
        </w:rPr>
        <w:t>O ajuste da dose deve ser considerado quando a depuração da creatinina for &lt;30 ml / min</w:t>
      </w:r>
      <w:r w:rsidR="00970DFC">
        <w:rPr>
          <w:rFonts w:ascii="Times New Roman" w:hAnsi="Times New Roman" w:cs="Times New Roman"/>
        </w:rPr>
        <w:t xml:space="preserve">. </w:t>
      </w:r>
      <w:r w:rsidR="00C54758">
        <w:rPr>
          <w:rFonts w:ascii="Times New Roman" w:hAnsi="Times New Roman" w:cs="Times New Roman"/>
        </w:rPr>
        <w:t>Nestes doentes o RCM do Ripan</w:t>
      </w:r>
      <w:r w:rsidR="00C54758" w:rsidRPr="00C54758">
        <w:rPr>
          <w:rFonts w:ascii="Times New Roman" w:hAnsi="Times New Roman" w:cs="Times New Roman"/>
          <w:vertAlign w:val="superscript"/>
        </w:rPr>
        <w:t>R</w:t>
      </w:r>
      <w:r w:rsidR="00C54758">
        <w:rPr>
          <w:rFonts w:ascii="Times New Roman" w:hAnsi="Times New Roman" w:cs="Times New Roman"/>
        </w:rPr>
        <w:t xml:space="preserve"> recomenda </w:t>
      </w:r>
      <w:r w:rsidR="00C54758">
        <w:t xml:space="preserve">monitorização regular dos níveis séricos de </w:t>
      </w:r>
      <w:r w:rsidR="009406C6">
        <w:t>m</w:t>
      </w:r>
      <w:r w:rsidR="00C54758">
        <w:t>agnésio e alumínio, e que, níveis séricos de alumínio não devem ser superiores a 40 ng/ml.</w:t>
      </w:r>
    </w:p>
    <w:p w14:paraId="7C9E4316" w14:textId="7DAC0009" w:rsidR="00C217CE" w:rsidRDefault="00C217CE" w:rsidP="00E000EB">
      <w:pPr>
        <w:rPr>
          <w:rFonts w:ascii="Times New Roman" w:hAnsi="Times New Roman" w:cs="Times New Roman"/>
          <w:b/>
          <w:bCs/>
        </w:rPr>
      </w:pPr>
    </w:p>
    <w:p w14:paraId="38F89B59" w14:textId="77777777" w:rsidR="007F1D59" w:rsidRDefault="007F1D59" w:rsidP="003F3C83">
      <w:pPr>
        <w:pStyle w:val="ListParagraph"/>
        <w:numPr>
          <w:ilvl w:val="0"/>
          <w:numId w:val="1"/>
        </w:numPr>
        <w:ind w:left="426"/>
        <w:jc w:val="both"/>
        <w:rPr>
          <w:rFonts w:ascii="Times New Roman" w:eastAsia="Times New Roman" w:hAnsi="Times New Roman" w:cs="Times New Roman"/>
          <w:lang w:eastAsia="pt-PT"/>
        </w:rPr>
      </w:pPr>
    </w:p>
    <w:tbl>
      <w:tblPr>
        <w:tblStyle w:val="TableGridLight"/>
        <w:tblW w:w="9678" w:type="dxa"/>
        <w:tblLook w:val="04A0" w:firstRow="1" w:lastRow="0" w:firstColumn="1" w:lastColumn="0" w:noHBand="0" w:noVBand="1"/>
      </w:tblPr>
      <w:tblGrid>
        <w:gridCol w:w="1082"/>
        <w:gridCol w:w="1880"/>
        <w:gridCol w:w="3254"/>
        <w:gridCol w:w="2426"/>
        <w:gridCol w:w="1036"/>
      </w:tblGrid>
      <w:tr w:rsidR="007F1D59" w:rsidRPr="00D84555" w14:paraId="4C67213C" w14:textId="77777777" w:rsidTr="004C7749">
        <w:trPr>
          <w:trHeight w:val="337"/>
        </w:trPr>
        <w:tc>
          <w:tcPr>
            <w:tcW w:w="1082" w:type="dxa"/>
            <w:vAlign w:val="center"/>
          </w:tcPr>
          <w:p w14:paraId="346C7129" w14:textId="77777777" w:rsidR="007F1D59" w:rsidRPr="00D84555" w:rsidRDefault="007F1D59"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A02BA01</w:t>
            </w:r>
          </w:p>
        </w:tc>
        <w:tc>
          <w:tcPr>
            <w:tcW w:w="1880" w:type="dxa"/>
            <w:vAlign w:val="center"/>
          </w:tcPr>
          <w:p w14:paraId="3F3E04D7" w14:textId="77777777" w:rsidR="007F1D59" w:rsidRPr="00D84555" w:rsidRDefault="007F1D59"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Cimetidina</w:t>
            </w:r>
            <w:proofErr w:type="spellEnd"/>
          </w:p>
        </w:tc>
        <w:tc>
          <w:tcPr>
            <w:tcW w:w="3254" w:type="dxa"/>
            <w:vAlign w:val="center"/>
          </w:tcPr>
          <w:p w14:paraId="494C88DE" w14:textId="77777777" w:rsidR="007F1D59" w:rsidRPr="008C10D7" w:rsidRDefault="007F1D59"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Efeitos adversos do SNC, incluindo confusão.</w:t>
            </w:r>
          </w:p>
        </w:tc>
        <w:tc>
          <w:tcPr>
            <w:tcW w:w="2426" w:type="dxa"/>
            <w:vAlign w:val="center"/>
          </w:tcPr>
          <w:p w14:paraId="182B818C" w14:textId="77777777" w:rsidR="007F1D59" w:rsidRPr="008C10D7" w:rsidRDefault="007F1D59"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 xml:space="preserve">200 mg quatro vezes ao dia ou 300 mg duas vezes ao dia, devido a uma </w:t>
            </w:r>
            <w:r w:rsidRPr="00FB0F1B">
              <w:rPr>
                <w:rFonts w:ascii="Times New Roman" w:hAnsi="Times New Roman" w:cs="Times New Roman"/>
                <w:sz w:val="18"/>
                <w:szCs w:val="18"/>
                <w:highlight w:val="yellow"/>
                <w:lang w:val="pt-PT"/>
              </w:rPr>
              <w:t>diminuição da função renal</w:t>
            </w:r>
            <w:r w:rsidRPr="008C10D7">
              <w:rPr>
                <w:rFonts w:ascii="Times New Roman" w:hAnsi="Times New Roman" w:cs="Times New Roman"/>
                <w:sz w:val="18"/>
                <w:szCs w:val="18"/>
                <w:lang w:val="pt-PT"/>
              </w:rPr>
              <w:t xml:space="preserve"> e hepática em adultos com idade ≥ 65 anos.</w:t>
            </w:r>
          </w:p>
        </w:tc>
        <w:tc>
          <w:tcPr>
            <w:tcW w:w="1036" w:type="dxa"/>
            <w:vAlign w:val="center"/>
          </w:tcPr>
          <w:p w14:paraId="5815839E" w14:textId="77777777" w:rsidR="007F1D59" w:rsidRPr="008C10D7" w:rsidRDefault="007F1D59"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Quando a indicação é apropriada: IBP (&lt;8 semanas, baixas doses).</w:t>
            </w:r>
          </w:p>
        </w:tc>
      </w:tr>
    </w:tbl>
    <w:p w14:paraId="2B72D6A9" w14:textId="77777777" w:rsidR="007F1D59" w:rsidRDefault="007F1D59" w:rsidP="007F1D59">
      <w:pPr>
        <w:rPr>
          <w:rFonts w:ascii="Times New Roman" w:eastAsia="Times New Roman" w:hAnsi="Times New Roman" w:cs="Times New Roman"/>
          <w:lang w:eastAsia="pt-PT"/>
        </w:rPr>
      </w:pPr>
    </w:p>
    <w:p w14:paraId="300402E7" w14:textId="77777777" w:rsidR="007F1D59" w:rsidRDefault="007F1D59" w:rsidP="007F1D59">
      <w:pPr>
        <w:rPr>
          <w:rFonts w:ascii="Times New Roman" w:eastAsia="Times New Roman" w:hAnsi="Times New Roman" w:cs="Times New Roman"/>
          <w:lang w:eastAsia="pt-PT"/>
        </w:rPr>
      </w:pPr>
      <w:r w:rsidRPr="00FB0F1B">
        <w:rPr>
          <w:rFonts w:ascii="Times New Roman" w:eastAsia="Times New Roman" w:hAnsi="Times New Roman" w:cs="Times New Roman"/>
          <w:b/>
          <w:bCs/>
          <w:lang w:eastAsia="pt-PT"/>
        </w:rPr>
        <w:t>Comentário 6:</w:t>
      </w:r>
      <w:r>
        <w:rPr>
          <w:rFonts w:ascii="Times New Roman" w:eastAsia="Times New Roman" w:hAnsi="Times New Roman" w:cs="Times New Roman"/>
          <w:lang w:eastAsia="pt-PT"/>
        </w:rPr>
        <w:t xml:space="preserve"> Indicar qual o grau de clearance </w:t>
      </w:r>
    </w:p>
    <w:p w14:paraId="4A8A6310" w14:textId="4B3C9F3F" w:rsidR="007F1D59" w:rsidRDefault="007F1D59" w:rsidP="00E000EB">
      <w:pPr>
        <w:rPr>
          <w:rFonts w:ascii="Times New Roman" w:hAnsi="Times New Roman" w:cs="Times New Roman"/>
          <w:b/>
          <w:bCs/>
        </w:rPr>
      </w:pPr>
      <w:r>
        <w:rPr>
          <w:rFonts w:ascii="Times New Roman" w:hAnsi="Times New Roman" w:cs="Times New Roman"/>
          <w:b/>
          <w:bCs/>
        </w:rPr>
        <w:t>Resposta ao Comentário 6</w:t>
      </w:r>
    </w:p>
    <w:p w14:paraId="6FB60329" w14:textId="537904D3" w:rsidR="007F1D59" w:rsidRPr="007F1D59" w:rsidRDefault="007F1D59" w:rsidP="00E000EB">
      <w:pPr>
        <w:rPr>
          <w:rFonts w:ascii="Times New Roman" w:hAnsi="Times New Roman" w:cs="Times New Roman"/>
        </w:rPr>
      </w:pPr>
      <w:r w:rsidRPr="007F1D59">
        <w:rPr>
          <w:rFonts w:ascii="Times New Roman" w:hAnsi="Times New Roman" w:cs="Times New Roman"/>
        </w:rPr>
        <w:t>200mg, 4x ao dia é a dose máxima usual, a qual deverá ser diminuída para 300mg</w:t>
      </w:r>
      <w:r w:rsidR="00C828C1">
        <w:rPr>
          <w:rFonts w:ascii="Times New Roman" w:hAnsi="Times New Roman" w:cs="Times New Roman"/>
        </w:rPr>
        <w:t>, 2x dia</w:t>
      </w:r>
      <w:r w:rsidRPr="007F1D59">
        <w:rPr>
          <w:rFonts w:ascii="Times New Roman" w:hAnsi="Times New Roman" w:cs="Times New Roman"/>
        </w:rPr>
        <w:t xml:space="preserve"> quando a clearance de creatinina é inferior a 30 ml/min</w:t>
      </w:r>
      <w:r w:rsidR="00C828C1">
        <w:rPr>
          <w:rFonts w:ascii="Times New Roman" w:hAnsi="Times New Roman" w:cs="Times New Roman"/>
        </w:rPr>
        <w:t>. Q</w:t>
      </w:r>
      <w:r w:rsidRPr="007F1D59">
        <w:rPr>
          <w:rFonts w:ascii="Times New Roman" w:hAnsi="Times New Roman" w:cs="Times New Roman"/>
        </w:rPr>
        <w:t>uando a creatinina é inferior a 15 ml/min, deverá ser usada a dose mínima de 2 x 200mg/dia.</w:t>
      </w:r>
    </w:p>
    <w:p w14:paraId="2B28029A" w14:textId="690D9FFC" w:rsidR="007F1D59" w:rsidRDefault="007F1D59" w:rsidP="00E000EB">
      <w:pPr>
        <w:rPr>
          <w:rFonts w:ascii="Times New Roman" w:hAnsi="Times New Roman" w:cs="Times New Roman"/>
          <w:b/>
          <w:bCs/>
        </w:rPr>
      </w:pPr>
    </w:p>
    <w:p w14:paraId="432F6AC4" w14:textId="77777777" w:rsidR="007F1D59" w:rsidRPr="008C10D7" w:rsidRDefault="007F1D59" w:rsidP="003F3C83">
      <w:pPr>
        <w:pStyle w:val="ListParagraph"/>
        <w:numPr>
          <w:ilvl w:val="0"/>
          <w:numId w:val="1"/>
        </w:numPr>
        <w:ind w:left="426"/>
        <w:jc w:val="both"/>
        <w:rPr>
          <w:rFonts w:ascii="Times New Roman" w:eastAsia="Times New Roman" w:hAnsi="Times New Roman" w:cs="Times New Roman"/>
          <w:lang w:eastAsia="pt-PT"/>
        </w:rPr>
      </w:pPr>
    </w:p>
    <w:tbl>
      <w:tblPr>
        <w:tblStyle w:val="TableGridLight"/>
        <w:tblW w:w="8955" w:type="dxa"/>
        <w:tblLook w:val="04A0" w:firstRow="1" w:lastRow="0" w:firstColumn="1" w:lastColumn="0" w:noHBand="0" w:noVBand="1"/>
      </w:tblPr>
      <w:tblGrid>
        <w:gridCol w:w="1072"/>
        <w:gridCol w:w="1822"/>
        <w:gridCol w:w="3051"/>
        <w:gridCol w:w="1649"/>
        <w:gridCol w:w="1361"/>
      </w:tblGrid>
      <w:tr w:rsidR="007F1D59" w:rsidRPr="00D84555" w14:paraId="72566832" w14:textId="77777777" w:rsidTr="004C7749">
        <w:trPr>
          <w:trHeight w:val="337"/>
        </w:trPr>
        <w:tc>
          <w:tcPr>
            <w:tcW w:w="1072" w:type="dxa"/>
            <w:vAlign w:val="center"/>
          </w:tcPr>
          <w:p w14:paraId="52C64C20" w14:textId="77777777" w:rsidR="007F1D59" w:rsidRPr="00D84555" w:rsidRDefault="007F1D59"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A03AA04</w:t>
            </w:r>
          </w:p>
        </w:tc>
        <w:tc>
          <w:tcPr>
            <w:tcW w:w="1822" w:type="dxa"/>
            <w:vAlign w:val="center"/>
          </w:tcPr>
          <w:p w14:paraId="1C634B0F" w14:textId="77777777" w:rsidR="007F1D59" w:rsidRPr="00D84555" w:rsidRDefault="007F1D59"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Mebeverina</w:t>
            </w:r>
            <w:proofErr w:type="spellEnd"/>
          </w:p>
        </w:tc>
        <w:tc>
          <w:tcPr>
            <w:tcW w:w="3051" w:type="dxa"/>
            <w:vAlign w:val="center"/>
          </w:tcPr>
          <w:p w14:paraId="2843335A" w14:textId="77777777" w:rsidR="007F1D59" w:rsidRPr="008C10D7" w:rsidRDefault="007F1D59"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 xml:space="preserve">Efeitos colaterais tais como tonturas, </w:t>
            </w:r>
            <w:r w:rsidRPr="00FB0F1B">
              <w:rPr>
                <w:rFonts w:ascii="Times New Roman" w:hAnsi="Times New Roman" w:cs="Times New Roman"/>
                <w:sz w:val="18"/>
                <w:szCs w:val="18"/>
                <w:highlight w:val="yellow"/>
                <w:lang w:val="pt-PT"/>
              </w:rPr>
              <w:t>insônia</w:t>
            </w:r>
            <w:r w:rsidRPr="008C10D7">
              <w:rPr>
                <w:rFonts w:ascii="Times New Roman" w:hAnsi="Times New Roman" w:cs="Times New Roman"/>
                <w:sz w:val="18"/>
                <w:szCs w:val="18"/>
                <w:lang w:val="pt-PT"/>
              </w:rPr>
              <w:t xml:space="preserve"> e anorexia.</w:t>
            </w:r>
          </w:p>
        </w:tc>
        <w:tc>
          <w:tcPr>
            <w:tcW w:w="1649" w:type="dxa"/>
            <w:vAlign w:val="center"/>
          </w:tcPr>
          <w:p w14:paraId="3515C050" w14:textId="77777777" w:rsidR="007F1D59" w:rsidRPr="008C10D7" w:rsidRDefault="007F1D59"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 xml:space="preserve">Cuidado se houver </w:t>
            </w:r>
            <w:r w:rsidRPr="00FB0F1B">
              <w:rPr>
                <w:rFonts w:ascii="Times New Roman" w:hAnsi="Times New Roman" w:cs="Times New Roman"/>
                <w:sz w:val="18"/>
                <w:szCs w:val="18"/>
                <w:highlight w:val="yellow"/>
                <w:lang w:val="pt-PT"/>
              </w:rPr>
              <w:t>insuficiência renal acentuada.</w:t>
            </w:r>
          </w:p>
          <w:p w14:paraId="1E7F94E1" w14:textId="77777777" w:rsidR="007F1D59" w:rsidRPr="008C10D7" w:rsidRDefault="007F1D59"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Usar apenas por períodos curtos.</w:t>
            </w:r>
          </w:p>
        </w:tc>
        <w:tc>
          <w:tcPr>
            <w:tcW w:w="1361" w:type="dxa"/>
            <w:vAlign w:val="center"/>
          </w:tcPr>
          <w:p w14:paraId="1F7F5115" w14:textId="77777777" w:rsidR="007F1D59" w:rsidRPr="008C10D7" w:rsidRDefault="007F1D59" w:rsidP="004C7749">
            <w:pPr>
              <w:spacing w:line="276" w:lineRule="auto"/>
              <w:jc w:val="both"/>
              <w:rPr>
                <w:rFonts w:ascii="Times New Roman" w:hAnsi="Times New Roman" w:cs="Times New Roman"/>
                <w:sz w:val="18"/>
                <w:szCs w:val="18"/>
                <w:lang w:val="pt-PT"/>
              </w:rPr>
            </w:pPr>
            <w:r w:rsidRPr="008C10D7">
              <w:rPr>
                <w:rFonts w:ascii="Times New Roman" w:hAnsi="Times New Roman" w:cs="Times New Roman"/>
                <w:sz w:val="18"/>
                <w:szCs w:val="18"/>
                <w:lang w:val="pt-PT"/>
              </w:rPr>
              <w:t>Medidas não farmacológicas. Ex. dieta.</w:t>
            </w:r>
          </w:p>
        </w:tc>
      </w:tr>
    </w:tbl>
    <w:p w14:paraId="60D3FF47" w14:textId="77777777" w:rsidR="007F1D59" w:rsidRDefault="007F1D59" w:rsidP="007F1D59">
      <w:pPr>
        <w:rPr>
          <w:rFonts w:ascii="Times New Roman" w:eastAsia="Times New Roman" w:hAnsi="Times New Roman" w:cs="Times New Roman"/>
          <w:b/>
          <w:bCs/>
          <w:lang w:eastAsia="pt-PT"/>
        </w:rPr>
      </w:pPr>
    </w:p>
    <w:p w14:paraId="3CB943EB" w14:textId="77777777" w:rsidR="00F01EFB" w:rsidRDefault="007F1D59" w:rsidP="007F1D59">
      <w:pPr>
        <w:rPr>
          <w:rFonts w:ascii="Times New Roman" w:eastAsia="Times New Roman" w:hAnsi="Times New Roman" w:cs="Times New Roman"/>
          <w:lang w:eastAsia="pt-PT"/>
        </w:rPr>
      </w:pPr>
      <w:r w:rsidRPr="00FB0F1B">
        <w:rPr>
          <w:rFonts w:ascii="Times New Roman" w:eastAsia="Times New Roman" w:hAnsi="Times New Roman" w:cs="Times New Roman"/>
          <w:b/>
          <w:bCs/>
          <w:lang w:eastAsia="pt-PT"/>
        </w:rPr>
        <w:lastRenderedPageBreak/>
        <w:t>Comentário 7:</w:t>
      </w:r>
      <w:r>
        <w:rPr>
          <w:rFonts w:ascii="Times New Roman" w:eastAsia="Times New Roman" w:hAnsi="Times New Roman" w:cs="Times New Roman"/>
          <w:lang w:eastAsia="pt-PT"/>
        </w:rPr>
        <w:t xml:space="preserve"> </w:t>
      </w:r>
    </w:p>
    <w:p w14:paraId="77E830A2" w14:textId="174C3C5B" w:rsidR="007F1D59" w:rsidRPr="00F01EFB" w:rsidRDefault="007F1D59" w:rsidP="00F01EFB">
      <w:pPr>
        <w:pStyle w:val="ListParagraph"/>
        <w:numPr>
          <w:ilvl w:val="0"/>
          <w:numId w:val="8"/>
        </w:numPr>
        <w:rPr>
          <w:rFonts w:ascii="Times New Roman" w:eastAsia="Times New Roman" w:hAnsi="Times New Roman" w:cs="Times New Roman"/>
          <w:lang w:eastAsia="pt-PT"/>
        </w:rPr>
      </w:pPr>
      <w:r w:rsidRPr="00F01EFB">
        <w:rPr>
          <w:rFonts w:ascii="Times New Roman" w:eastAsia="Times New Roman" w:hAnsi="Times New Roman" w:cs="Times New Roman"/>
          <w:lang w:eastAsia="pt-PT"/>
        </w:rPr>
        <w:t xml:space="preserve">Corrigir insónia em vez de “insônia”. </w:t>
      </w:r>
    </w:p>
    <w:p w14:paraId="219EBB67" w14:textId="461B5E18" w:rsidR="007F1D59" w:rsidRPr="00F01EFB" w:rsidRDefault="007F1D59" w:rsidP="00F01EFB">
      <w:pPr>
        <w:pStyle w:val="ListParagraph"/>
        <w:numPr>
          <w:ilvl w:val="0"/>
          <w:numId w:val="8"/>
        </w:numPr>
        <w:rPr>
          <w:rFonts w:ascii="Times New Roman" w:eastAsia="Times New Roman" w:hAnsi="Times New Roman" w:cs="Times New Roman"/>
          <w:lang w:eastAsia="pt-PT"/>
        </w:rPr>
      </w:pPr>
      <w:r w:rsidRPr="00F01EFB">
        <w:rPr>
          <w:rFonts w:ascii="Times New Roman" w:eastAsia="Times New Roman" w:hAnsi="Times New Roman" w:cs="Times New Roman"/>
          <w:lang w:eastAsia="pt-PT"/>
        </w:rPr>
        <w:t>Qual o grau de insuf renal acentuado?</w:t>
      </w:r>
    </w:p>
    <w:p w14:paraId="6F4F6417" w14:textId="77777777" w:rsidR="00F01EFB" w:rsidRDefault="00F01EFB" w:rsidP="007F1D59">
      <w:pPr>
        <w:rPr>
          <w:rFonts w:ascii="Times New Roman" w:eastAsia="Times New Roman" w:hAnsi="Times New Roman" w:cs="Times New Roman"/>
          <w:b/>
          <w:bCs/>
          <w:lang w:eastAsia="pt-PT"/>
        </w:rPr>
      </w:pPr>
    </w:p>
    <w:p w14:paraId="120FC1CA" w14:textId="23076F8E" w:rsidR="00F01EFB" w:rsidRPr="00F01EFB" w:rsidRDefault="00F01EFB" w:rsidP="007F1D59">
      <w:pPr>
        <w:rPr>
          <w:rFonts w:ascii="Times New Roman" w:eastAsia="Times New Roman" w:hAnsi="Times New Roman" w:cs="Times New Roman"/>
          <w:b/>
          <w:bCs/>
          <w:lang w:eastAsia="pt-PT"/>
        </w:rPr>
      </w:pPr>
      <w:r w:rsidRPr="00F01EFB">
        <w:rPr>
          <w:rFonts w:ascii="Times New Roman" w:eastAsia="Times New Roman" w:hAnsi="Times New Roman" w:cs="Times New Roman"/>
          <w:b/>
          <w:bCs/>
          <w:lang w:eastAsia="pt-PT"/>
        </w:rPr>
        <w:t>Resposta ao Comentário 7</w:t>
      </w:r>
    </w:p>
    <w:p w14:paraId="20EB9A2F" w14:textId="7A952E36" w:rsidR="00F01EFB" w:rsidRPr="00C828C1" w:rsidRDefault="00C828C1" w:rsidP="00F01EFB">
      <w:pPr>
        <w:pStyle w:val="ListParagraph"/>
        <w:numPr>
          <w:ilvl w:val="0"/>
          <w:numId w:val="9"/>
        </w:numPr>
        <w:rPr>
          <w:rFonts w:eastAsia="Times New Roman" w:cstheme="minorHAnsi"/>
          <w:sz w:val="22"/>
          <w:szCs w:val="22"/>
          <w:lang w:eastAsia="pt-PT"/>
        </w:rPr>
      </w:pPr>
      <w:r w:rsidRPr="00C828C1">
        <w:rPr>
          <w:rFonts w:eastAsia="Times New Roman" w:cstheme="minorHAnsi"/>
          <w:sz w:val="22"/>
          <w:szCs w:val="22"/>
          <w:lang w:eastAsia="pt-PT"/>
        </w:rPr>
        <w:t>Os autores agradecem a</w:t>
      </w:r>
      <w:r w:rsidR="00F01EFB" w:rsidRPr="00C828C1">
        <w:rPr>
          <w:rFonts w:eastAsia="Times New Roman" w:cstheme="minorHAnsi"/>
          <w:sz w:val="22"/>
          <w:szCs w:val="22"/>
          <w:lang w:eastAsia="pt-PT"/>
        </w:rPr>
        <w:t xml:space="preserve"> correção. </w:t>
      </w:r>
      <w:r w:rsidRPr="00C828C1">
        <w:rPr>
          <w:rFonts w:eastAsia="Times New Roman" w:cstheme="minorHAnsi"/>
          <w:sz w:val="22"/>
          <w:szCs w:val="22"/>
          <w:lang w:eastAsia="pt-PT"/>
        </w:rPr>
        <w:t>F</w:t>
      </w:r>
      <w:r w:rsidR="00F01EFB" w:rsidRPr="00C828C1">
        <w:rPr>
          <w:rFonts w:eastAsia="Times New Roman" w:cstheme="minorHAnsi"/>
          <w:sz w:val="22"/>
          <w:szCs w:val="22"/>
          <w:lang w:eastAsia="pt-PT"/>
        </w:rPr>
        <w:t>oi feita</w:t>
      </w:r>
      <w:r w:rsidRPr="00C828C1">
        <w:rPr>
          <w:rFonts w:eastAsia="Times New Roman" w:cstheme="minorHAnsi"/>
          <w:sz w:val="22"/>
          <w:szCs w:val="22"/>
          <w:lang w:eastAsia="pt-PT"/>
        </w:rPr>
        <w:t xml:space="preserve"> alteração na tabela revista</w:t>
      </w:r>
      <w:r w:rsidR="00F01EFB" w:rsidRPr="00C828C1">
        <w:rPr>
          <w:rFonts w:eastAsia="Times New Roman" w:cstheme="minorHAnsi"/>
          <w:sz w:val="22"/>
          <w:szCs w:val="22"/>
          <w:lang w:eastAsia="pt-PT"/>
        </w:rPr>
        <w:t>.</w:t>
      </w:r>
    </w:p>
    <w:p w14:paraId="38926BD2" w14:textId="6BF283FA" w:rsidR="00F01EFB" w:rsidRPr="00C828C1" w:rsidRDefault="00F01EFB" w:rsidP="00F01EFB">
      <w:pPr>
        <w:pStyle w:val="ListParagraph"/>
        <w:numPr>
          <w:ilvl w:val="0"/>
          <w:numId w:val="9"/>
        </w:numPr>
        <w:rPr>
          <w:rFonts w:eastAsia="Times New Roman" w:cstheme="minorHAnsi"/>
          <w:sz w:val="22"/>
          <w:szCs w:val="22"/>
          <w:lang w:eastAsia="pt-PT"/>
        </w:rPr>
      </w:pPr>
      <w:r w:rsidRPr="00C828C1">
        <w:rPr>
          <w:rFonts w:cstheme="minorHAnsi"/>
          <w:sz w:val="22"/>
          <w:szCs w:val="22"/>
        </w:rPr>
        <w:t>inferior a 30 ml/min</w:t>
      </w:r>
    </w:p>
    <w:p w14:paraId="61881E55" w14:textId="77777777" w:rsidR="007F1D59" w:rsidRDefault="007F1D59" w:rsidP="007F1D59">
      <w:pPr>
        <w:rPr>
          <w:rFonts w:ascii="Times New Roman" w:eastAsia="Times New Roman" w:hAnsi="Times New Roman" w:cs="Times New Roman"/>
          <w:lang w:eastAsia="pt-PT"/>
        </w:rPr>
      </w:pPr>
    </w:p>
    <w:p w14:paraId="33645487" w14:textId="77777777" w:rsidR="007F1D59" w:rsidRPr="00F01EFB" w:rsidRDefault="007F1D59" w:rsidP="003F3C83">
      <w:pPr>
        <w:pStyle w:val="ListParagraph"/>
        <w:numPr>
          <w:ilvl w:val="0"/>
          <w:numId w:val="1"/>
        </w:numPr>
        <w:ind w:left="426"/>
        <w:jc w:val="both"/>
        <w:rPr>
          <w:rFonts w:ascii="Times New Roman" w:eastAsia="Times New Roman" w:hAnsi="Times New Roman" w:cs="Times New Roman"/>
          <w:lang w:eastAsia="pt-PT"/>
        </w:rPr>
      </w:pPr>
    </w:p>
    <w:tbl>
      <w:tblPr>
        <w:tblStyle w:val="TableGridLight"/>
        <w:tblW w:w="9351" w:type="dxa"/>
        <w:tblLook w:val="04A0" w:firstRow="1" w:lastRow="0" w:firstColumn="1" w:lastColumn="0" w:noHBand="0" w:noVBand="1"/>
      </w:tblPr>
      <w:tblGrid>
        <w:gridCol w:w="1087"/>
        <w:gridCol w:w="1949"/>
        <w:gridCol w:w="3381"/>
        <w:gridCol w:w="1511"/>
        <w:gridCol w:w="1423"/>
      </w:tblGrid>
      <w:tr w:rsidR="007F1D59" w:rsidRPr="00D84555" w14:paraId="064CA06A" w14:textId="77777777" w:rsidTr="004C7749">
        <w:trPr>
          <w:trHeight w:val="337"/>
        </w:trPr>
        <w:tc>
          <w:tcPr>
            <w:tcW w:w="1087" w:type="dxa"/>
            <w:vAlign w:val="center"/>
          </w:tcPr>
          <w:p w14:paraId="2B0B7EBC" w14:textId="77777777" w:rsidR="007F1D59" w:rsidRPr="00D84555" w:rsidRDefault="007F1D59"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A03CA02</w:t>
            </w:r>
          </w:p>
        </w:tc>
        <w:tc>
          <w:tcPr>
            <w:tcW w:w="1949" w:type="dxa"/>
            <w:vAlign w:val="center"/>
          </w:tcPr>
          <w:p w14:paraId="7309B4E8" w14:textId="77777777" w:rsidR="007F1D59" w:rsidRPr="00D84555" w:rsidRDefault="007F1D59"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Clorodiazepóxido</w:t>
            </w:r>
            <w:proofErr w:type="spellEnd"/>
            <w:r w:rsidRPr="00D84555">
              <w:rPr>
                <w:rFonts w:ascii="Times New Roman" w:hAnsi="Times New Roman" w:cs="Times New Roman"/>
                <w:b/>
                <w:sz w:val="18"/>
                <w:szCs w:val="18"/>
              </w:rPr>
              <w:t xml:space="preserve"> + </w:t>
            </w:r>
            <w:proofErr w:type="spellStart"/>
            <w:r w:rsidRPr="00D84555">
              <w:rPr>
                <w:rFonts w:ascii="Times New Roman" w:hAnsi="Times New Roman" w:cs="Times New Roman"/>
                <w:b/>
                <w:sz w:val="18"/>
                <w:szCs w:val="18"/>
              </w:rPr>
              <w:t>Brometo</w:t>
            </w:r>
            <w:proofErr w:type="spellEnd"/>
            <w:r w:rsidRPr="00D84555">
              <w:rPr>
                <w:rFonts w:ascii="Times New Roman" w:hAnsi="Times New Roman" w:cs="Times New Roman"/>
                <w:b/>
                <w:sz w:val="18"/>
                <w:szCs w:val="18"/>
              </w:rPr>
              <w:t xml:space="preserve"> de </w:t>
            </w:r>
            <w:proofErr w:type="spellStart"/>
            <w:r w:rsidRPr="00D84555">
              <w:rPr>
                <w:rFonts w:ascii="Times New Roman" w:hAnsi="Times New Roman" w:cs="Times New Roman"/>
                <w:b/>
                <w:sz w:val="18"/>
                <w:szCs w:val="18"/>
              </w:rPr>
              <w:t>clidínio</w:t>
            </w:r>
            <w:proofErr w:type="spellEnd"/>
          </w:p>
          <w:p w14:paraId="566E147A" w14:textId="77777777" w:rsidR="007F1D59" w:rsidRPr="00D84555" w:rsidRDefault="007F1D59" w:rsidP="004C7749">
            <w:pPr>
              <w:spacing w:line="276" w:lineRule="auto"/>
              <w:jc w:val="center"/>
              <w:rPr>
                <w:rFonts w:ascii="Times New Roman" w:hAnsi="Times New Roman" w:cs="Times New Roman"/>
                <w:b/>
                <w:sz w:val="18"/>
                <w:szCs w:val="18"/>
              </w:rPr>
            </w:pPr>
          </w:p>
        </w:tc>
        <w:tc>
          <w:tcPr>
            <w:tcW w:w="3381" w:type="dxa"/>
            <w:vAlign w:val="center"/>
          </w:tcPr>
          <w:p w14:paraId="5814713F" w14:textId="77777777" w:rsidR="007F1D59" w:rsidRPr="00FB0F1B" w:rsidRDefault="007F1D59" w:rsidP="004C7749">
            <w:pPr>
              <w:spacing w:line="276" w:lineRule="auto"/>
              <w:jc w:val="both"/>
              <w:rPr>
                <w:rFonts w:ascii="Times New Roman" w:hAnsi="Times New Roman" w:cs="Times New Roman"/>
                <w:sz w:val="18"/>
                <w:szCs w:val="18"/>
                <w:lang w:val="pt-PT"/>
              </w:rPr>
            </w:pPr>
            <w:r w:rsidRPr="00FB0F1B">
              <w:rPr>
                <w:rFonts w:ascii="Times New Roman" w:hAnsi="Times New Roman" w:cs="Times New Roman"/>
                <w:sz w:val="18"/>
                <w:szCs w:val="18"/>
                <w:lang w:val="pt-PT"/>
              </w:rPr>
              <w:t>Meia-vida longa em adultos mais velhos (geralmente vários dias), produzindo sedação prolongada e aumentando o risco de quedas e fraturas.</w:t>
            </w:r>
          </w:p>
        </w:tc>
        <w:tc>
          <w:tcPr>
            <w:tcW w:w="1511" w:type="dxa"/>
            <w:vAlign w:val="center"/>
          </w:tcPr>
          <w:p w14:paraId="2349716E" w14:textId="77777777" w:rsidR="007F1D59" w:rsidRPr="00FB0F1B" w:rsidRDefault="007F1D59" w:rsidP="004C7749">
            <w:pPr>
              <w:spacing w:line="276" w:lineRule="auto"/>
              <w:jc w:val="both"/>
              <w:rPr>
                <w:rFonts w:ascii="Times New Roman" w:hAnsi="Times New Roman" w:cs="Times New Roman"/>
                <w:sz w:val="18"/>
                <w:szCs w:val="18"/>
                <w:lang w:val="pt-PT"/>
              </w:rPr>
            </w:pPr>
            <w:r w:rsidRPr="00FB0F1B">
              <w:rPr>
                <w:rFonts w:ascii="Times New Roman" w:hAnsi="Times New Roman" w:cs="Times New Roman"/>
                <w:sz w:val="18"/>
                <w:szCs w:val="18"/>
                <w:lang w:val="pt-PT"/>
              </w:rPr>
              <w:t xml:space="preserve">Não exceder os 10 mg de clorodiazepóxido, 5 mg/d de </w:t>
            </w:r>
            <w:r w:rsidRPr="00FB0F1B">
              <w:rPr>
                <w:rFonts w:ascii="Times New Roman" w:hAnsi="Times New Roman" w:cs="Times New Roman"/>
                <w:sz w:val="18"/>
                <w:szCs w:val="18"/>
                <w:highlight w:val="yellow"/>
                <w:lang w:val="pt-PT"/>
              </w:rPr>
              <w:t>clidinio;</w:t>
            </w:r>
            <w:r w:rsidRPr="00FB0F1B">
              <w:rPr>
                <w:rFonts w:ascii="Times New Roman" w:hAnsi="Times New Roman" w:cs="Times New Roman"/>
                <w:sz w:val="18"/>
                <w:szCs w:val="18"/>
                <w:lang w:val="pt-PT"/>
              </w:rPr>
              <w:t xml:space="preserve"> aumentar gradualmente e limitar à menor dose efetiva.</w:t>
            </w:r>
          </w:p>
        </w:tc>
        <w:tc>
          <w:tcPr>
            <w:tcW w:w="1423" w:type="dxa"/>
            <w:vAlign w:val="center"/>
          </w:tcPr>
          <w:p w14:paraId="53913FE2" w14:textId="77777777" w:rsidR="007F1D59" w:rsidRPr="00FB0F1B" w:rsidRDefault="007F1D59" w:rsidP="004C7749">
            <w:pPr>
              <w:spacing w:line="276" w:lineRule="auto"/>
              <w:jc w:val="both"/>
              <w:rPr>
                <w:rFonts w:ascii="Times New Roman" w:hAnsi="Times New Roman" w:cs="Times New Roman"/>
                <w:sz w:val="18"/>
                <w:szCs w:val="18"/>
                <w:lang w:val="pt-PT"/>
              </w:rPr>
            </w:pPr>
            <w:r w:rsidRPr="00FB0F1B">
              <w:rPr>
                <w:rFonts w:ascii="Times New Roman" w:hAnsi="Times New Roman" w:cs="Times New Roman"/>
                <w:sz w:val="18"/>
                <w:szCs w:val="18"/>
                <w:lang w:val="pt-PT"/>
              </w:rPr>
              <w:t>Medidas não farmacológicas. Ex. dieta.</w:t>
            </w:r>
          </w:p>
        </w:tc>
      </w:tr>
    </w:tbl>
    <w:p w14:paraId="44B2B7C8" w14:textId="77777777" w:rsidR="007F1D59" w:rsidRPr="00FB0F1B" w:rsidRDefault="007F1D59" w:rsidP="007F1D59">
      <w:pPr>
        <w:rPr>
          <w:rFonts w:ascii="Times New Roman" w:eastAsia="Times New Roman" w:hAnsi="Times New Roman" w:cs="Times New Roman"/>
          <w:b/>
          <w:bCs/>
          <w:lang w:eastAsia="pt-PT"/>
        </w:rPr>
      </w:pPr>
      <w:r w:rsidRPr="00FB0F1B">
        <w:rPr>
          <w:rFonts w:ascii="Times New Roman" w:eastAsia="Times New Roman" w:hAnsi="Times New Roman" w:cs="Times New Roman"/>
          <w:b/>
          <w:bCs/>
          <w:lang w:eastAsia="pt-PT"/>
        </w:rPr>
        <w:t xml:space="preserve"> </w:t>
      </w:r>
    </w:p>
    <w:p w14:paraId="1741531E" w14:textId="68852710" w:rsidR="007F1D59" w:rsidRDefault="007F1D59" w:rsidP="007F1D59">
      <w:pPr>
        <w:rPr>
          <w:rFonts w:ascii="Times New Roman" w:eastAsia="Times New Roman" w:hAnsi="Times New Roman" w:cs="Times New Roman"/>
          <w:lang w:eastAsia="pt-PT"/>
        </w:rPr>
      </w:pPr>
      <w:r w:rsidRPr="00FB0F1B">
        <w:rPr>
          <w:rFonts w:ascii="Times New Roman" w:eastAsia="Times New Roman" w:hAnsi="Times New Roman" w:cs="Times New Roman"/>
          <w:b/>
          <w:bCs/>
          <w:lang w:eastAsia="pt-PT"/>
        </w:rPr>
        <w:t>Comentário 8:</w:t>
      </w:r>
      <w:r>
        <w:rPr>
          <w:rFonts w:ascii="Times New Roman" w:eastAsia="Times New Roman" w:hAnsi="Times New Roman" w:cs="Times New Roman"/>
          <w:lang w:eastAsia="pt-PT"/>
        </w:rPr>
        <w:t xml:space="preserve"> Corrigir por clidínio</w:t>
      </w:r>
    </w:p>
    <w:p w14:paraId="300BBB53" w14:textId="1BB2CD65" w:rsidR="00C828C1" w:rsidRDefault="00F01EFB" w:rsidP="00C828C1">
      <w:pPr>
        <w:rPr>
          <w:rFonts w:ascii="Times New Roman" w:eastAsia="Times New Roman" w:hAnsi="Times New Roman" w:cs="Times New Roman"/>
          <w:lang w:eastAsia="pt-PT"/>
        </w:rPr>
      </w:pPr>
      <w:r w:rsidRPr="00C828C1">
        <w:rPr>
          <w:rFonts w:ascii="Times New Roman" w:eastAsia="Times New Roman" w:hAnsi="Times New Roman" w:cs="Times New Roman"/>
          <w:b/>
          <w:bCs/>
          <w:lang w:eastAsia="pt-PT"/>
        </w:rPr>
        <w:t>Resposta ao Comentário 8</w:t>
      </w:r>
      <w:r w:rsidR="00C828C1">
        <w:rPr>
          <w:rFonts w:ascii="Times New Roman" w:eastAsia="Times New Roman" w:hAnsi="Times New Roman" w:cs="Times New Roman"/>
          <w:lang w:eastAsia="pt-PT"/>
        </w:rPr>
        <w:t>:</w:t>
      </w:r>
    </w:p>
    <w:p w14:paraId="69033F75" w14:textId="704F5F66" w:rsidR="00C828C1" w:rsidRPr="00C828C1" w:rsidRDefault="00C828C1" w:rsidP="00C828C1">
      <w:pPr>
        <w:rPr>
          <w:rFonts w:eastAsia="Times New Roman" w:cstheme="minorHAnsi"/>
          <w:lang w:eastAsia="pt-PT"/>
        </w:rPr>
      </w:pPr>
      <w:r w:rsidRPr="00C828C1">
        <w:rPr>
          <w:rFonts w:eastAsia="Times New Roman" w:cstheme="minorHAnsi"/>
          <w:lang w:eastAsia="pt-PT"/>
        </w:rPr>
        <w:t>Os autores agradecem a correção. Foi feita alteração na tabela revista.</w:t>
      </w:r>
    </w:p>
    <w:p w14:paraId="401E691C" w14:textId="3CA65634" w:rsidR="007F1D59" w:rsidRDefault="007F1D59" w:rsidP="007F1D59">
      <w:pPr>
        <w:rPr>
          <w:rFonts w:ascii="Times New Roman" w:eastAsia="Times New Roman" w:hAnsi="Times New Roman" w:cs="Times New Roman"/>
          <w:lang w:eastAsia="pt-PT"/>
        </w:rPr>
      </w:pPr>
    </w:p>
    <w:p w14:paraId="4AE6378F" w14:textId="77777777" w:rsidR="00F01EFB" w:rsidRDefault="00F01EFB" w:rsidP="003F3C83">
      <w:pPr>
        <w:pStyle w:val="ListParagraph"/>
        <w:numPr>
          <w:ilvl w:val="0"/>
          <w:numId w:val="1"/>
        </w:numPr>
        <w:ind w:left="426"/>
        <w:jc w:val="both"/>
        <w:rPr>
          <w:rFonts w:ascii="Times New Roman" w:eastAsia="Times New Roman" w:hAnsi="Times New Roman" w:cs="Times New Roman"/>
          <w:lang w:eastAsia="pt-PT"/>
        </w:rPr>
      </w:pPr>
    </w:p>
    <w:p w14:paraId="69B32E63" w14:textId="0CE96A7A" w:rsidR="007F1D59" w:rsidRDefault="00F01EFB" w:rsidP="00F01EFB">
      <w:pPr>
        <w:ind w:left="142"/>
        <w:rPr>
          <w:rFonts w:ascii="Times New Roman" w:eastAsia="Times New Roman" w:hAnsi="Times New Roman" w:cs="Times New Roman"/>
          <w:lang w:eastAsia="pt-PT"/>
        </w:rPr>
      </w:pPr>
      <w:r w:rsidRPr="00F01EFB">
        <w:rPr>
          <w:rFonts w:ascii="Times New Roman" w:eastAsia="Times New Roman" w:hAnsi="Times New Roman" w:cs="Times New Roman"/>
          <w:b/>
          <w:bCs/>
          <w:lang w:eastAsia="pt-PT"/>
        </w:rPr>
        <w:t>Comentário 9:</w:t>
      </w:r>
      <w:r>
        <w:rPr>
          <w:rFonts w:ascii="Times New Roman" w:eastAsia="Times New Roman" w:hAnsi="Times New Roman" w:cs="Times New Roman"/>
          <w:lang w:eastAsia="pt-PT"/>
        </w:rPr>
        <w:t xml:space="preserve"> </w:t>
      </w:r>
      <w:r w:rsidR="007F1D59" w:rsidRPr="00F01EFB">
        <w:rPr>
          <w:rFonts w:ascii="Times New Roman" w:eastAsia="Times New Roman" w:hAnsi="Times New Roman" w:cs="Times New Roman"/>
          <w:lang w:eastAsia="pt-PT"/>
        </w:rPr>
        <w:t>Prucaloprida não existe PEM</w:t>
      </w:r>
    </w:p>
    <w:p w14:paraId="19FC0B47" w14:textId="77777777" w:rsidR="00C828C1" w:rsidRDefault="00F01EFB" w:rsidP="00F01EFB">
      <w:pPr>
        <w:ind w:left="142"/>
        <w:rPr>
          <w:rFonts w:ascii="Times New Roman" w:eastAsia="Times New Roman" w:hAnsi="Times New Roman" w:cs="Times New Roman"/>
          <w:lang w:eastAsia="pt-PT"/>
        </w:rPr>
      </w:pPr>
      <w:r>
        <w:rPr>
          <w:rFonts w:ascii="Times New Roman" w:eastAsia="Times New Roman" w:hAnsi="Times New Roman" w:cs="Times New Roman"/>
          <w:b/>
          <w:bCs/>
          <w:lang w:eastAsia="pt-PT"/>
        </w:rPr>
        <w:t>Resposta ao Comentário 9:</w:t>
      </w:r>
      <w:r>
        <w:rPr>
          <w:rFonts w:ascii="Times New Roman" w:eastAsia="Times New Roman" w:hAnsi="Times New Roman" w:cs="Times New Roman"/>
          <w:lang w:eastAsia="pt-PT"/>
        </w:rPr>
        <w:t xml:space="preserve"> </w:t>
      </w:r>
    </w:p>
    <w:p w14:paraId="71A6709B" w14:textId="6A85DF4D" w:rsidR="00F01EFB" w:rsidRPr="006E7E14" w:rsidRDefault="00C828C1" w:rsidP="006E7E14">
      <w:pPr>
        <w:rPr>
          <w:rFonts w:eastAsia="Times New Roman" w:cstheme="minorHAnsi"/>
          <w:lang w:eastAsia="pt-PT"/>
        </w:rPr>
      </w:pPr>
      <w:r w:rsidRPr="006E7E14">
        <w:rPr>
          <w:rFonts w:eastAsia="Times New Roman" w:cstheme="minorHAnsi"/>
          <w:lang w:eastAsia="pt-PT"/>
        </w:rPr>
        <w:t>Conforme informação na Infomed, confirmada através de acesso a 10 de maio de 2020, Prucaloprid</w:t>
      </w:r>
      <w:r w:rsidR="00D17526">
        <w:rPr>
          <w:rFonts w:eastAsia="Times New Roman" w:cstheme="minorHAnsi"/>
          <w:lang w:eastAsia="pt-PT"/>
        </w:rPr>
        <w:t>a</w:t>
      </w:r>
      <w:r w:rsidR="006E7E14" w:rsidRPr="006E7E14">
        <w:rPr>
          <w:rFonts w:eastAsia="Times New Roman" w:cstheme="minorHAnsi"/>
          <w:lang w:eastAsia="pt-PT"/>
        </w:rPr>
        <w:t xml:space="preserve"> é um fármaco com AIM em Portugal.</w:t>
      </w:r>
    </w:p>
    <w:p w14:paraId="1BC4A617" w14:textId="4FC4027B" w:rsidR="00F01EFB" w:rsidRDefault="00F01EFB" w:rsidP="00F01EFB">
      <w:pPr>
        <w:ind w:left="142"/>
        <w:rPr>
          <w:rFonts w:ascii="Times New Roman" w:eastAsia="Times New Roman" w:hAnsi="Times New Roman" w:cs="Times New Roman"/>
          <w:lang w:eastAsia="pt-PT"/>
        </w:rPr>
      </w:pPr>
    </w:p>
    <w:p w14:paraId="6CECD31A" w14:textId="77777777" w:rsidR="00F01EFB" w:rsidRDefault="00F01EFB" w:rsidP="003F3C83">
      <w:pPr>
        <w:pStyle w:val="ListParagraph"/>
        <w:numPr>
          <w:ilvl w:val="0"/>
          <w:numId w:val="1"/>
        </w:numPr>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p w14:paraId="546B7BF0" w14:textId="77777777" w:rsidR="00F01EFB" w:rsidRPr="00FB0F1B" w:rsidRDefault="00F01EFB" w:rsidP="00F01EFB">
      <w:pPr>
        <w:pStyle w:val="ListParagraph"/>
        <w:rPr>
          <w:rFonts w:ascii="Times New Roman" w:eastAsia="Times New Roman" w:hAnsi="Times New Roman" w:cs="Times New Roman"/>
          <w:lang w:eastAsia="pt-PT"/>
        </w:rPr>
      </w:pPr>
    </w:p>
    <w:tbl>
      <w:tblPr>
        <w:tblStyle w:val="TableGridLight"/>
        <w:tblW w:w="9209" w:type="dxa"/>
        <w:tblLook w:val="04A0" w:firstRow="1" w:lastRow="0" w:firstColumn="1" w:lastColumn="0" w:noHBand="0" w:noVBand="1"/>
      </w:tblPr>
      <w:tblGrid>
        <w:gridCol w:w="1089"/>
        <w:gridCol w:w="1926"/>
        <w:gridCol w:w="3381"/>
        <w:gridCol w:w="1452"/>
        <w:gridCol w:w="1361"/>
      </w:tblGrid>
      <w:tr w:rsidR="00F01EFB" w:rsidRPr="00D84555" w14:paraId="6FC54203" w14:textId="77777777" w:rsidTr="004C7749">
        <w:trPr>
          <w:trHeight w:val="337"/>
        </w:trPr>
        <w:tc>
          <w:tcPr>
            <w:tcW w:w="1089" w:type="dxa"/>
            <w:vAlign w:val="center"/>
          </w:tcPr>
          <w:p w14:paraId="3A7E8AD1" w14:textId="77777777" w:rsidR="00F01EFB" w:rsidRPr="00D84555" w:rsidRDefault="00F01EFB"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A07XA04</w:t>
            </w:r>
          </w:p>
        </w:tc>
        <w:tc>
          <w:tcPr>
            <w:tcW w:w="1926" w:type="dxa"/>
            <w:vAlign w:val="center"/>
          </w:tcPr>
          <w:p w14:paraId="23A04B98" w14:textId="77777777" w:rsidR="00F01EFB" w:rsidRPr="00D84555" w:rsidRDefault="00F01EFB"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Racecadotril</w:t>
            </w:r>
            <w:proofErr w:type="spellEnd"/>
          </w:p>
        </w:tc>
        <w:tc>
          <w:tcPr>
            <w:tcW w:w="3381" w:type="dxa"/>
            <w:vAlign w:val="center"/>
          </w:tcPr>
          <w:p w14:paraId="5780CDA0" w14:textId="77777777" w:rsidR="00F01EFB" w:rsidRPr="00FB0F1B" w:rsidRDefault="00F01EFB" w:rsidP="004C7749">
            <w:pPr>
              <w:spacing w:line="276" w:lineRule="auto"/>
              <w:jc w:val="both"/>
              <w:rPr>
                <w:rFonts w:ascii="Times New Roman" w:hAnsi="Times New Roman" w:cs="Times New Roman"/>
                <w:sz w:val="18"/>
                <w:szCs w:val="18"/>
                <w:lang w:val="pt-PT"/>
              </w:rPr>
            </w:pPr>
            <w:r w:rsidRPr="00FB0F1B">
              <w:rPr>
                <w:rFonts w:ascii="Times New Roman" w:hAnsi="Times New Roman" w:cs="Times New Roman"/>
                <w:sz w:val="18"/>
                <w:szCs w:val="18"/>
                <w:lang w:val="pt-PT"/>
              </w:rPr>
              <w:t xml:space="preserve">Nenhuma eficácia comprovada; inibidor seletivo da enzima </w:t>
            </w:r>
            <w:r w:rsidRPr="00FB0F1B">
              <w:rPr>
                <w:rFonts w:ascii="Times New Roman" w:hAnsi="Times New Roman" w:cs="Times New Roman"/>
                <w:i/>
                <w:sz w:val="18"/>
                <w:szCs w:val="18"/>
                <w:lang w:val="pt-PT"/>
              </w:rPr>
              <w:t>encefalinase</w:t>
            </w:r>
            <w:r w:rsidRPr="00FB0F1B">
              <w:rPr>
                <w:rFonts w:ascii="Times New Roman" w:hAnsi="Times New Roman" w:cs="Times New Roman"/>
                <w:sz w:val="18"/>
                <w:szCs w:val="18"/>
                <w:lang w:val="pt-PT"/>
              </w:rPr>
              <w:t xml:space="preserve"> responsável pela degradação das encefalinas, </w:t>
            </w:r>
            <w:r w:rsidRPr="00FB0F1B">
              <w:rPr>
                <w:rFonts w:ascii="Times New Roman" w:hAnsi="Times New Roman" w:cs="Times New Roman"/>
                <w:sz w:val="18"/>
                <w:szCs w:val="18"/>
                <w:highlight w:val="yellow"/>
                <w:lang w:val="pt-PT"/>
              </w:rPr>
              <w:t>opioides</w:t>
            </w:r>
            <w:r w:rsidRPr="00FB0F1B">
              <w:rPr>
                <w:rFonts w:ascii="Times New Roman" w:hAnsi="Times New Roman" w:cs="Times New Roman"/>
                <w:sz w:val="18"/>
                <w:szCs w:val="18"/>
                <w:lang w:val="pt-PT"/>
              </w:rPr>
              <w:t xml:space="preserve"> endógenos que agem diminuindo a secreção intestinal de água e eletrólitos,</w:t>
            </w:r>
          </w:p>
        </w:tc>
        <w:tc>
          <w:tcPr>
            <w:tcW w:w="1452" w:type="dxa"/>
            <w:vAlign w:val="center"/>
          </w:tcPr>
          <w:p w14:paraId="035D50F0" w14:textId="77777777" w:rsidR="00F01EFB" w:rsidRPr="00FB0F1B" w:rsidRDefault="00F01EFB" w:rsidP="004C7749">
            <w:pPr>
              <w:spacing w:line="276" w:lineRule="auto"/>
              <w:jc w:val="both"/>
              <w:rPr>
                <w:rFonts w:ascii="Times New Roman" w:hAnsi="Times New Roman" w:cs="Times New Roman"/>
                <w:sz w:val="18"/>
                <w:szCs w:val="18"/>
                <w:lang w:val="pt-PT"/>
              </w:rPr>
            </w:pPr>
            <w:r w:rsidRPr="00FB0F1B">
              <w:rPr>
                <w:rFonts w:ascii="Times New Roman" w:hAnsi="Times New Roman" w:cs="Times New Roman"/>
                <w:sz w:val="18"/>
                <w:szCs w:val="18"/>
                <w:lang w:val="pt-PT"/>
              </w:rPr>
              <w:t>Dose máxima de 100 mg/8h; duração máxima de 7 dias.</w:t>
            </w:r>
          </w:p>
        </w:tc>
        <w:tc>
          <w:tcPr>
            <w:tcW w:w="1361" w:type="dxa"/>
            <w:vAlign w:val="center"/>
          </w:tcPr>
          <w:p w14:paraId="2DF6CA8D" w14:textId="77777777" w:rsidR="00F01EFB" w:rsidRPr="00FB0F1B" w:rsidRDefault="00F01EFB" w:rsidP="004C7749">
            <w:pPr>
              <w:spacing w:line="276" w:lineRule="auto"/>
              <w:jc w:val="both"/>
              <w:rPr>
                <w:rFonts w:ascii="Times New Roman" w:hAnsi="Times New Roman" w:cs="Times New Roman"/>
                <w:sz w:val="18"/>
                <w:szCs w:val="18"/>
                <w:lang w:val="pt-PT"/>
              </w:rPr>
            </w:pPr>
            <w:r w:rsidRPr="00FB0F1B">
              <w:rPr>
                <w:rFonts w:ascii="Times New Roman" w:hAnsi="Times New Roman" w:cs="Times New Roman"/>
                <w:sz w:val="18"/>
                <w:szCs w:val="18"/>
                <w:lang w:val="pt-PT"/>
              </w:rPr>
              <w:t>Medidas não farmacológicas. Ex. dieta.</w:t>
            </w:r>
          </w:p>
        </w:tc>
      </w:tr>
    </w:tbl>
    <w:p w14:paraId="0B241BFC" w14:textId="77777777" w:rsidR="00F01EFB" w:rsidRDefault="00F01EFB" w:rsidP="00F01EFB">
      <w:pPr>
        <w:rPr>
          <w:rFonts w:ascii="Times New Roman" w:eastAsia="Times New Roman" w:hAnsi="Times New Roman" w:cs="Times New Roman"/>
          <w:lang w:eastAsia="pt-PT"/>
        </w:rPr>
      </w:pPr>
    </w:p>
    <w:p w14:paraId="035253AA" w14:textId="1CDDB037" w:rsidR="00F01EFB" w:rsidRDefault="00F01EFB" w:rsidP="00F01EFB">
      <w:pPr>
        <w:rPr>
          <w:rFonts w:ascii="Times New Roman" w:eastAsia="Times New Roman" w:hAnsi="Times New Roman" w:cs="Times New Roman"/>
          <w:lang w:eastAsia="pt-PT"/>
        </w:rPr>
      </w:pPr>
      <w:r w:rsidRPr="0058697B">
        <w:rPr>
          <w:rFonts w:ascii="Times New Roman" w:eastAsia="Times New Roman" w:hAnsi="Times New Roman" w:cs="Times New Roman"/>
          <w:b/>
          <w:bCs/>
          <w:lang w:eastAsia="pt-PT"/>
        </w:rPr>
        <w:t>Comentário 10</w:t>
      </w:r>
      <w:r>
        <w:rPr>
          <w:rFonts w:ascii="Times New Roman" w:eastAsia="Times New Roman" w:hAnsi="Times New Roman" w:cs="Times New Roman"/>
          <w:lang w:eastAsia="pt-PT"/>
        </w:rPr>
        <w:t>: Corrigir por opióides</w:t>
      </w:r>
    </w:p>
    <w:p w14:paraId="4C11A771" w14:textId="25F59725" w:rsidR="006E7E14" w:rsidRDefault="00F01EFB" w:rsidP="00F01EFB">
      <w:pPr>
        <w:rPr>
          <w:rFonts w:ascii="Times New Roman" w:eastAsia="Times New Roman" w:hAnsi="Times New Roman" w:cs="Times New Roman"/>
          <w:b/>
          <w:bCs/>
          <w:lang w:eastAsia="pt-PT"/>
        </w:rPr>
      </w:pPr>
      <w:r w:rsidRPr="0058697B">
        <w:rPr>
          <w:rFonts w:ascii="Times New Roman" w:eastAsia="Times New Roman" w:hAnsi="Times New Roman" w:cs="Times New Roman"/>
          <w:b/>
          <w:bCs/>
          <w:lang w:eastAsia="pt-PT"/>
        </w:rPr>
        <w:t>Resposta ao Comentário 10</w:t>
      </w:r>
      <w:r w:rsidR="006E7E14">
        <w:rPr>
          <w:rFonts w:ascii="Times New Roman" w:eastAsia="Times New Roman" w:hAnsi="Times New Roman" w:cs="Times New Roman"/>
          <w:b/>
          <w:bCs/>
          <w:lang w:eastAsia="pt-PT"/>
        </w:rPr>
        <w:t>:</w:t>
      </w:r>
    </w:p>
    <w:p w14:paraId="6F3BC80E" w14:textId="77777777" w:rsidR="006E7E14" w:rsidRPr="00C828C1" w:rsidRDefault="006E7E14" w:rsidP="006E7E14">
      <w:pPr>
        <w:rPr>
          <w:rFonts w:eastAsia="Times New Roman" w:cstheme="minorHAnsi"/>
          <w:lang w:eastAsia="pt-PT"/>
        </w:rPr>
      </w:pPr>
      <w:r w:rsidRPr="00C828C1">
        <w:rPr>
          <w:rFonts w:eastAsia="Times New Roman" w:cstheme="minorHAnsi"/>
          <w:lang w:eastAsia="pt-PT"/>
        </w:rPr>
        <w:t>Os autores agradecem a correção. Foi feita alteração na tabela revista.</w:t>
      </w:r>
    </w:p>
    <w:p w14:paraId="59B426A7" w14:textId="77777777" w:rsidR="006E7E14" w:rsidRDefault="006E7E14" w:rsidP="00F01EFB">
      <w:pPr>
        <w:rPr>
          <w:rFonts w:ascii="Times New Roman" w:eastAsia="Times New Roman" w:hAnsi="Times New Roman" w:cs="Times New Roman"/>
          <w:lang w:eastAsia="pt-PT"/>
        </w:rPr>
      </w:pPr>
    </w:p>
    <w:p w14:paraId="08604E51" w14:textId="77777777" w:rsidR="00F01EFB" w:rsidRDefault="00F01EFB" w:rsidP="00F01EFB">
      <w:pPr>
        <w:rPr>
          <w:rFonts w:ascii="Times New Roman" w:eastAsia="Times New Roman" w:hAnsi="Times New Roman" w:cs="Times New Roman"/>
          <w:lang w:eastAsia="pt-PT"/>
        </w:rPr>
      </w:pPr>
    </w:p>
    <w:p w14:paraId="6D430A6C" w14:textId="77777777" w:rsidR="0058697B" w:rsidRPr="0058697B" w:rsidRDefault="0058697B" w:rsidP="003F3C83">
      <w:pPr>
        <w:pStyle w:val="ListParagraph"/>
        <w:numPr>
          <w:ilvl w:val="0"/>
          <w:numId w:val="1"/>
        </w:numPr>
        <w:ind w:left="426"/>
        <w:jc w:val="both"/>
        <w:rPr>
          <w:rFonts w:ascii="Times New Roman" w:eastAsia="Times New Roman" w:hAnsi="Times New Roman" w:cs="Times New Roman"/>
          <w:b/>
          <w:bCs/>
          <w:lang w:eastAsia="pt-PT"/>
        </w:rPr>
      </w:pPr>
    </w:p>
    <w:p w14:paraId="71A93DAF" w14:textId="1628EF68" w:rsidR="00F01EFB" w:rsidRDefault="0058697B" w:rsidP="0058697B">
      <w:pPr>
        <w:ind w:left="142"/>
        <w:rPr>
          <w:rFonts w:ascii="Times New Roman" w:eastAsia="Times New Roman" w:hAnsi="Times New Roman" w:cs="Times New Roman"/>
          <w:lang w:eastAsia="pt-PT"/>
        </w:rPr>
      </w:pPr>
      <w:r w:rsidRPr="00DF7C5C">
        <w:rPr>
          <w:rFonts w:ascii="Times New Roman" w:eastAsia="Times New Roman" w:hAnsi="Times New Roman" w:cs="Times New Roman"/>
          <w:b/>
          <w:bCs/>
          <w:lang w:eastAsia="pt-PT"/>
        </w:rPr>
        <w:t>Comentário 11:</w:t>
      </w:r>
      <w:r w:rsidRPr="00DF7C5C">
        <w:rPr>
          <w:rFonts w:ascii="Times New Roman" w:eastAsia="Times New Roman" w:hAnsi="Times New Roman" w:cs="Times New Roman"/>
          <w:lang w:eastAsia="pt-PT"/>
        </w:rPr>
        <w:t xml:space="preserve"> </w:t>
      </w:r>
      <w:r w:rsidR="00F01EFB" w:rsidRPr="00DF7C5C">
        <w:rPr>
          <w:rFonts w:ascii="Times New Roman" w:eastAsia="Times New Roman" w:hAnsi="Times New Roman" w:cs="Times New Roman"/>
          <w:lang w:eastAsia="pt-PT"/>
        </w:rPr>
        <w:t>Nos</w:t>
      </w:r>
      <w:r w:rsidR="00F01EFB" w:rsidRPr="0058697B">
        <w:rPr>
          <w:rFonts w:ascii="Times New Roman" w:eastAsia="Times New Roman" w:hAnsi="Times New Roman" w:cs="Times New Roman"/>
          <w:lang w:eastAsia="pt-PT"/>
        </w:rPr>
        <w:t xml:space="preserve"> antidiabéticos orais, como glibenclamida, glipizida, glimepirida, acarbose, pioglitazona, a alternativa apresentada com uma gliclazida, como a sulfunilureia mais segura, não torna um bom argumento, pois a luz das alternativas atuais como iDPP4, aGLP1 ou até iSLT2 podem ser usados nesta população</w:t>
      </w:r>
    </w:p>
    <w:p w14:paraId="3B751750" w14:textId="187A9502" w:rsidR="005F5652" w:rsidRDefault="005F5652" w:rsidP="0058697B">
      <w:pPr>
        <w:ind w:left="142"/>
        <w:rPr>
          <w:rFonts w:ascii="Times New Roman" w:eastAsia="Times New Roman" w:hAnsi="Times New Roman" w:cs="Times New Roman"/>
          <w:b/>
          <w:bCs/>
          <w:lang w:eastAsia="pt-PT"/>
        </w:rPr>
      </w:pPr>
      <w:r>
        <w:rPr>
          <w:rFonts w:ascii="Times New Roman" w:eastAsia="Times New Roman" w:hAnsi="Times New Roman" w:cs="Times New Roman"/>
          <w:b/>
          <w:bCs/>
          <w:lang w:eastAsia="pt-PT"/>
        </w:rPr>
        <w:t>Resposta ao comentário 11</w:t>
      </w:r>
    </w:p>
    <w:p w14:paraId="4FE2E7BB" w14:textId="711AA1A5" w:rsidR="00B844C6" w:rsidRPr="002D32A3" w:rsidRDefault="00B844C6" w:rsidP="002D32A3">
      <w:pPr>
        <w:pStyle w:val="Default"/>
        <w:jc w:val="both"/>
        <w:rPr>
          <w:rFonts w:asciiTheme="minorHAnsi" w:hAnsiTheme="minorHAnsi" w:cstheme="minorHAnsi"/>
          <w:sz w:val="22"/>
          <w:szCs w:val="22"/>
        </w:rPr>
      </w:pPr>
      <w:r w:rsidRPr="002D32A3">
        <w:rPr>
          <w:rFonts w:asciiTheme="minorHAnsi" w:hAnsiTheme="minorHAnsi" w:cstheme="minorHAnsi"/>
          <w:sz w:val="22"/>
          <w:szCs w:val="22"/>
        </w:rPr>
        <w:t>Os autores agradecem o comentário e oportunidade de atualizar informação.</w:t>
      </w:r>
    </w:p>
    <w:p w14:paraId="5B1605A3" w14:textId="754081F4" w:rsidR="00B844C6" w:rsidRPr="002D32A3" w:rsidRDefault="005F5652" w:rsidP="002D32A3">
      <w:pPr>
        <w:pStyle w:val="Default"/>
        <w:jc w:val="both"/>
        <w:rPr>
          <w:rFonts w:asciiTheme="minorHAnsi" w:hAnsiTheme="minorHAnsi" w:cstheme="minorHAnsi"/>
          <w:sz w:val="22"/>
          <w:szCs w:val="22"/>
        </w:rPr>
      </w:pPr>
      <w:r w:rsidRPr="002D32A3">
        <w:rPr>
          <w:rFonts w:asciiTheme="minorHAnsi" w:hAnsiTheme="minorHAnsi" w:cstheme="minorHAnsi"/>
          <w:sz w:val="22"/>
          <w:szCs w:val="22"/>
        </w:rPr>
        <w:t xml:space="preserve">Nas recomendações da lista europeia a gliclazida é </w:t>
      </w:r>
      <w:r w:rsidR="006D7F6C" w:rsidRPr="002D32A3">
        <w:rPr>
          <w:rFonts w:asciiTheme="minorHAnsi" w:hAnsiTheme="minorHAnsi" w:cstheme="minorHAnsi"/>
          <w:sz w:val="22"/>
          <w:szCs w:val="22"/>
        </w:rPr>
        <w:t xml:space="preserve">referida </w:t>
      </w:r>
      <w:r w:rsidRPr="002D32A3">
        <w:rPr>
          <w:rFonts w:asciiTheme="minorHAnsi" w:hAnsiTheme="minorHAnsi" w:cstheme="minorHAnsi"/>
          <w:sz w:val="22"/>
          <w:szCs w:val="22"/>
        </w:rPr>
        <w:t>como a sulfonilureia mais segura para utilizar nos doentes idosos.</w:t>
      </w:r>
      <w:r w:rsidR="006D7F6C" w:rsidRPr="002D32A3">
        <w:rPr>
          <w:rFonts w:asciiTheme="minorHAnsi" w:hAnsiTheme="minorHAnsi" w:cstheme="minorHAnsi"/>
          <w:sz w:val="22"/>
          <w:szCs w:val="22"/>
        </w:rPr>
        <w:t xml:space="preserve"> </w:t>
      </w:r>
      <w:r w:rsidR="00B844C6" w:rsidRPr="002D32A3">
        <w:rPr>
          <w:rFonts w:asciiTheme="minorHAnsi" w:hAnsiTheme="minorHAnsi" w:cstheme="minorHAnsi"/>
          <w:sz w:val="22"/>
          <w:szCs w:val="22"/>
        </w:rPr>
        <w:t>Apesar de atualmente existirem outras alternativas seguras, os autores conside</w:t>
      </w:r>
      <w:r w:rsidR="002F0153" w:rsidRPr="002D32A3">
        <w:rPr>
          <w:rFonts w:asciiTheme="minorHAnsi" w:hAnsiTheme="minorHAnsi" w:cstheme="minorHAnsi"/>
          <w:sz w:val="22"/>
          <w:szCs w:val="22"/>
        </w:rPr>
        <w:t>ram que apenas se pode recomendar os iDPP4, uma vez que apesar dos GLP1 serem seguros são administrados por via injectável, e, iSLT2 podem ter alguns problemas com infeções do tracto urinário.</w:t>
      </w:r>
      <w:r w:rsidR="00B844C6" w:rsidRPr="002D32A3">
        <w:rPr>
          <w:rFonts w:asciiTheme="minorHAnsi" w:hAnsiTheme="minorHAnsi" w:cstheme="minorHAnsi"/>
          <w:sz w:val="22"/>
          <w:szCs w:val="22"/>
        </w:rPr>
        <w:t xml:space="preserve"> </w:t>
      </w:r>
    </w:p>
    <w:p w14:paraId="52732F59" w14:textId="6BCDBCE2" w:rsidR="006D7F6C" w:rsidRPr="002D32A3" w:rsidRDefault="006D7F6C" w:rsidP="002D32A3">
      <w:pPr>
        <w:pStyle w:val="Default"/>
        <w:jc w:val="both"/>
        <w:rPr>
          <w:rFonts w:asciiTheme="minorHAnsi" w:hAnsiTheme="minorHAnsi" w:cstheme="minorHAnsi"/>
          <w:sz w:val="22"/>
          <w:szCs w:val="22"/>
        </w:rPr>
      </w:pPr>
      <w:r w:rsidRPr="002D32A3">
        <w:rPr>
          <w:rFonts w:asciiTheme="minorHAnsi" w:hAnsiTheme="minorHAnsi" w:cstheme="minorHAnsi"/>
          <w:sz w:val="22"/>
          <w:szCs w:val="22"/>
        </w:rPr>
        <w:t xml:space="preserve">Nas Normas de </w:t>
      </w:r>
      <w:r w:rsidR="002D32A3">
        <w:rPr>
          <w:rFonts w:asciiTheme="minorHAnsi" w:hAnsiTheme="minorHAnsi" w:cstheme="minorHAnsi"/>
          <w:sz w:val="22"/>
          <w:szCs w:val="22"/>
        </w:rPr>
        <w:t>O</w:t>
      </w:r>
      <w:r w:rsidRPr="002D32A3">
        <w:rPr>
          <w:rFonts w:asciiTheme="minorHAnsi" w:hAnsiTheme="minorHAnsi" w:cstheme="minorHAnsi"/>
          <w:sz w:val="22"/>
          <w:szCs w:val="22"/>
        </w:rPr>
        <w:t xml:space="preserve">rientação </w:t>
      </w:r>
      <w:r w:rsidR="002D32A3">
        <w:rPr>
          <w:rFonts w:asciiTheme="minorHAnsi" w:hAnsiTheme="minorHAnsi" w:cstheme="minorHAnsi"/>
          <w:sz w:val="22"/>
          <w:szCs w:val="22"/>
        </w:rPr>
        <w:t>C</w:t>
      </w:r>
      <w:r w:rsidR="00B844C6" w:rsidRPr="002D32A3">
        <w:rPr>
          <w:rFonts w:asciiTheme="minorHAnsi" w:hAnsiTheme="minorHAnsi" w:cstheme="minorHAnsi"/>
          <w:sz w:val="22"/>
          <w:szCs w:val="22"/>
        </w:rPr>
        <w:t>línica</w:t>
      </w:r>
      <w:r w:rsidRPr="002D32A3">
        <w:rPr>
          <w:rFonts w:asciiTheme="minorHAnsi" w:hAnsiTheme="minorHAnsi" w:cstheme="minorHAnsi"/>
          <w:sz w:val="22"/>
          <w:szCs w:val="22"/>
        </w:rPr>
        <w:t xml:space="preserve"> da DGS, apesar de não serem muito atuais, DPP4 são considerado</w:t>
      </w:r>
      <w:r w:rsidR="002F0153" w:rsidRPr="002D32A3">
        <w:rPr>
          <w:rFonts w:asciiTheme="minorHAnsi" w:hAnsiTheme="minorHAnsi" w:cstheme="minorHAnsi"/>
          <w:sz w:val="22"/>
          <w:szCs w:val="22"/>
        </w:rPr>
        <w:t>s</w:t>
      </w:r>
      <w:r w:rsidRPr="002D32A3">
        <w:rPr>
          <w:rFonts w:asciiTheme="minorHAnsi" w:hAnsiTheme="minorHAnsi" w:cstheme="minorHAnsi"/>
          <w:sz w:val="22"/>
          <w:szCs w:val="22"/>
        </w:rPr>
        <w:t xml:space="preserve"> uma alternativa à metformina, apenas em casos de contra-indicação às sulfonilureis.</w:t>
      </w:r>
    </w:p>
    <w:p w14:paraId="0CFC532E" w14:textId="470FCEB2" w:rsidR="002F0153" w:rsidRPr="002D32A3" w:rsidRDefault="002F0153" w:rsidP="002D32A3">
      <w:pPr>
        <w:pStyle w:val="Default"/>
        <w:jc w:val="both"/>
        <w:rPr>
          <w:rFonts w:asciiTheme="minorHAnsi" w:hAnsiTheme="minorHAnsi" w:cstheme="minorHAnsi"/>
          <w:sz w:val="22"/>
          <w:szCs w:val="22"/>
        </w:rPr>
      </w:pPr>
    </w:p>
    <w:p w14:paraId="44796B57" w14:textId="38E40CA3" w:rsidR="002F0153" w:rsidRPr="002D32A3" w:rsidRDefault="002F0153" w:rsidP="002D32A3">
      <w:pPr>
        <w:pStyle w:val="Default"/>
        <w:jc w:val="both"/>
        <w:rPr>
          <w:rFonts w:asciiTheme="minorHAnsi" w:hAnsiTheme="minorHAnsi" w:cstheme="minorHAnsi"/>
          <w:sz w:val="22"/>
          <w:szCs w:val="22"/>
        </w:rPr>
      </w:pPr>
      <w:r w:rsidRPr="002D32A3">
        <w:rPr>
          <w:rFonts w:asciiTheme="minorHAnsi" w:hAnsiTheme="minorHAnsi" w:cstheme="minorHAnsi"/>
          <w:sz w:val="22"/>
          <w:szCs w:val="22"/>
        </w:rPr>
        <w:t>Ten</w:t>
      </w:r>
      <w:r w:rsidR="002D32A3">
        <w:rPr>
          <w:rFonts w:asciiTheme="minorHAnsi" w:hAnsiTheme="minorHAnsi" w:cstheme="minorHAnsi"/>
          <w:sz w:val="22"/>
          <w:szCs w:val="22"/>
        </w:rPr>
        <w:t>d</w:t>
      </w:r>
      <w:r w:rsidRPr="002D32A3">
        <w:rPr>
          <w:rFonts w:asciiTheme="minorHAnsi" w:hAnsiTheme="minorHAnsi" w:cstheme="minorHAnsi"/>
          <w:sz w:val="22"/>
          <w:szCs w:val="22"/>
        </w:rPr>
        <w:t>o em conta sugestão do revisor, foi atualizada a seguinte informação na lista:</w:t>
      </w:r>
    </w:p>
    <w:p w14:paraId="1AA2ADD9" w14:textId="6DF40C23" w:rsidR="002F0153" w:rsidRDefault="002F0153" w:rsidP="006D7F6C">
      <w:pPr>
        <w:pStyle w:val="Default"/>
        <w:rPr>
          <w:rFonts w:ascii="Times New Roman" w:hAnsi="Times New Roman" w:cs="Times New Roman"/>
          <w:sz w:val="18"/>
          <w:szCs w:val="18"/>
        </w:rPr>
      </w:pPr>
    </w:p>
    <w:p w14:paraId="0A48F7B2" w14:textId="77777777" w:rsidR="002F0153" w:rsidRDefault="002F0153" w:rsidP="002F0153">
      <w:pPr>
        <w:pStyle w:val="ListParagraph"/>
        <w:ind w:left="426"/>
        <w:jc w:val="both"/>
        <w:rPr>
          <w:rFonts w:ascii="Times New Roman" w:eastAsia="Times New Roman" w:hAnsi="Times New Roman" w:cs="Times New Roman"/>
          <w:lang w:eastAsia="pt-PT"/>
        </w:rPr>
      </w:pPr>
    </w:p>
    <w:tbl>
      <w:tblPr>
        <w:tblStyle w:val="TableGridLight"/>
        <w:tblW w:w="9175" w:type="dxa"/>
        <w:tblLook w:val="04A0" w:firstRow="1" w:lastRow="0" w:firstColumn="1" w:lastColumn="0" w:noHBand="0" w:noVBand="1"/>
      </w:tblPr>
      <w:tblGrid>
        <w:gridCol w:w="947"/>
        <w:gridCol w:w="927"/>
        <w:gridCol w:w="1949"/>
        <w:gridCol w:w="3118"/>
        <w:gridCol w:w="2234"/>
      </w:tblGrid>
      <w:tr w:rsidR="002F0153" w:rsidRPr="00D84555" w14:paraId="189AF36E" w14:textId="77777777" w:rsidTr="002F0153">
        <w:trPr>
          <w:trHeight w:val="337"/>
        </w:trPr>
        <w:tc>
          <w:tcPr>
            <w:tcW w:w="947" w:type="dxa"/>
            <w:vAlign w:val="center"/>
          </w:tcPr>
          <w:p w14:paraId="2C5327E1" w14:textId="229AD393" w:rsidR="002F0153" w:rsidRPr="00D84555" w:rsidRDefault="002F0153" w:rsidP="002F0153">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A10BB07</w:t>
            </w:r>
          </w:p>
        </w:tc>
        <w:tc>
          <w:tcPr>
            <w:tcW w:w="927" w:type="dxa"/>
            <w:vAlign w:val="center"/>
          </w:tcPr>
          <w:p w14:paraId="0D2DAFC5" w14:textId="0822DF5C" w:rsidR="002F0153" w:rsidRPr="00D84555" w:rsidRDefault="002F0153" w:rsidP="002F0153">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Glipizida</w:t>
            </w:r>
            <w:proofErr w:type="spellEnd"/>
          </w:p>
        </w:tc>
        <w:tc>
          <w:tcPr>
            <w:tcW w:w="1949" w:type="dxa"/>
            <w:vAlign w:val="center"/>
          </w:tcPr>
          <w:p w14:paraId="2CBCC18E" w14:textId="629F8A3A" w:rsidR="002F0153" w:rsidRPr="00927DB4" w:rsidRDefault="002F0153" w:rsidP="002F0153">
            <w:pPr>
              <w:spacing w:line="276" w:lineRule="auto"/>
              <w:jc w:val="both"/>
              <w:rPr>
                <w:rFonts w:ascii="Times New Roman" w:hAnsi="Times New Roman" w:cs="Times New Roman"/>
                <w:sz w:val="18"/>
                <w:szCs w:val="18"/>
                <w:lang w:val="pt-PT"/>
              </w:rPr>
            </w:pPr>
            <w:proofErr w:type="spellStart"/>
            <w:r w:rsidRPr="00D84555">
              <w:rPr>
                <w:rFonts w:ascii="Times New Roman" w:hAnsi="Times New Roman" w:cs="Times New Roman"/>
                <w:sz w:val="18"/>
                <w:szCs w:val="18"/>
              </w:rPr>
              <w:t>Risco</w:t>
            </w:r>
            <w:proofErr w:type="spellEnd"/>
            <w:r w:rsidRPr="00D84555">
              <w:rPr>
                <w:rFonts w:ascii="Times New Roman" w:hAnsi="Times New Roman" w:cs="Times New Roman"/>
                <w:sz w:val="18"/>
                <w:szCs w:val="18"/>
              </w:rPr>
              <w:t xml:space="preserve"> de </w:t>
            </w:r>
            <w:proofErr w:type="spellStart"/>
            <w:r w:rsidRPr="00D84555">
              <w:rPr>
                <w:rFonts w:ascii="Times New Roman" w:hAnsi="Times New Roman" w:cs="Times New Roman"/>
                <w:sz w:val="18"/>
                <w:szCs w:val="18"/>
              </w:rPr>
              <w:t>hipoglicemia</w:t>
            </w:r>
            <w:proofErr w:type="spellEnd"/>
            <w:r w:rsidRPr="00D84555">
              <w:rPr>
                <w:rFonts w:ascii="Times New Roman" w:hAnsi="Times New Roman" w:cs="Times New Roman"/>
                <w:sz w:val="18"/>
                <w:szCs w:val="18"/>
              </w:rPr>
              <w:t xml:space="preserve"> </w:t>
            </w:r>
            <w:proofErr w:type="spellStart"/>
            <w:r w:rsidRPr="00D84555">
              <w:rPr>
                <w:rFonts w:ascii="Times New Roman" w:hAnsi="Times New Roman" w:cs="Times New Roman"/>
                <w:sz w:val="18"/>
                <w:szCs w:val="18"/>
              </w:rPr>
              <w:t>prolongada</w:t>
            </w:r>
            <w:proofErr w:type="spellEnd"/>
            <w:r w:rsidRPr="00D84555">
              <w:rPr>
                <w:rFonts w:ascii="Times New Roman" w:hAnsi="Times New Roman" w:cs="Times New Roman"/>
                <w:sz w:val="18"/>
                <w:szCs w:val="18"/>
              </w:rPr>
              <w:t>.</w:t>
            </w:r>
          </w:p>
        </w:tc>
        <w:tc>
          <w:tcPr>
            <w:tcW w:w="3118" w:type="dxa"/>
            <w:vAlign w:val="center"/>
          </w:tcPr>
          <w:p w14:paraId="57DFBC0D" w14:textId="77777777" w:rsidR="002F0153" w:rsidRPr="008A184F" w:rsidRDefault="002F0153" w:rsidP="002F0153">
            <w:pPr>
              <w:spacing w:line="276" w:lineRule="auto"/>
              <w:jc w:val="both"/>
              <w:rPr>
                <w:rFonts w:ascii="Times New Roman" w:hAnsi="Times New Roman" w:cs="Times New Roman"/>
                <w:sz w:val="18"/>
                <w:szCs w:val="18"/>
                <w:lang w:val="pt-BR"/>
              </w:rPr>
            </w:pPr>
            <w:r w:rsidRPr="008A184F">
              <w:rPr>
                <w:rFonts w:ascii="Times New Roman" w:hAnsi="Times New Roman" w:cs="Times New Roman"/>
                <w:sz w:val="18"/>
                <w:szCs w:val="18"/>
                <w:lang w:val="pt-BR"/>
              </w:rPr>
              <w:t>Use doses conservadoras iniciais e de manutenção.</w:t>
            </w:r>
          </w:p>
          <w:p w14:paraId="3D3E15DD" w14:textId="77777777" w:rsidR="002F0153" w:rsidRPr="008A184F" w:rsidRDefault="002F0153" w:rsidP="002F0153">
            <w:pPr>
              <w:spacing w:line="276" w:lineRule="auto"/>
              <w:jc w:val="both"/>
              <w:rPr>
                <w:rFonts w:ascii="Times New Roman" w:hAnsi="Times New Roman" w:cs="Times New Roman"/>
                <w:sz w:val="18"/>
                <w:szCs w:val="18"/>
                <w:lang w:val="pt-BR"/>
              </w:rPr>
            </w:pPr>
            <w:r w:rsidRPr="008A184F">
              <w:rPr>
                <w:rFonts w:ascii="Times New Roman" w:hAnsi="Times New Roman" w:cs="Times New Roman"/>
                <w:sz w:val="18"/>
                <w:szCs w:val="18"/>
                <w:lang w:val="pt-BR"/>
              </w:rPr>
              <w:t>Dose inicial: 2,5 mg/d.</w:t>
            </w:r>
          </w:p>
          <w:p w14:paraId="605A25C6" w14:textId="11D9A2A5" w:rsidR="002F0153" w:rsidRPr="00927DB4" w:rsidRDefault="002F0153" w:rsidP="002F0153">
            <w:pPr>
              <w:spacing w:line="276" w:lineRule="auto"/>
              <w:jc w:val="both"/>
              <w:rPr>
                <w:rFonts w:ascii="Times New Roman" w:hAnsi="Times New Roman" w:cs="Times New Roman"/>
                <w:sz w:val="18"/>
                <w:szCs w:val="18"/>
                <w:lang w:val="pt-PT"/>
              </w:rPr>
            </w:pPr>
            <w:r w:rsidRPr="008A184F">
              <w:rPr>
                <w:rFonts w:ascii="Times New Roman" w:hAnsi="Times New Roman" w:cs="Times New Roman"/>
                <w:sz w:val="18"/>
                <w:szCs w:val="18"/>
                <w:lang w:val="pt-BR"/>
              </w:rPr>
              <w:t>Aumentar em 2,5-5 mg/d em intervalos de 1 a 2 semanas.</w:t>
            </w:r>
          </w:p>
        </w:tc>
        <w:tc>
          <w:tcPr>
            <w:tcW w:w="2234" w:type="dxa"/>
            <w:vAlign w:val="center"/>
          </w:tcPr>
          <w:p w14:paraId="17906337" w14:textId="0B4D9B38" w:rsidR="002F0153" w:rsidRPr="008A184F" w:rsidRDefault="002F0153" w:rsidP="002F0153">
            <w:pPr>
              <w:spacing w:line="276" w:lineRule="auto"/>
              <w:jc w:val="both"/>
              <w:rPr>
                <w:rFonts w:ascii="Times New Roman" w:hAnsi="Times New Roman" w:cs="Times New Roman"/>
                <w:sz w:val="18"/>
                <w:szCs w:val="18"/>
                <w:lang w:val="pt-BR"/>
              </w:rPr>
            </w:pPr>
            <w:r w:rsidRPr="008A184F">
              <w:rPr>
                <w:rFonts w:ascii="Times New Roman" w:hAnsi="Times New Roman" w:cs="Times New Roman"/>
                <w:sz w:val="18"/>
                <w:szCs w:val="18"/>
                <w:lang w:val="pt-BR"/>
              </w:rPr>
              <w:t xml:space="preserve">Dieta; metformina (&lt;2 x 850 mg/d); insulina; a gliclazida é mais segura do que as restantes sulfunilureias de ação curta. </w:t>
            </w:r>
            <w:r w:rsidRPr="008A184F">
              <w:rPr>
                <w:rFonts w:ascii="Times New Roman" w:hAnsi="Times New Roman" w:cs="Times New Roman"/>
                <w:sz w:val="18"/>
                <w:szCs w:val="18"/>
                <w:highlight w:val="green"/>
                <w:lang w:val="pt-BR"/>
              </w:rPr>
              <w:t>os iDPP4, são também uma alternativa terapêutica.</w:t>
            </w:r>
          </w:p>
          <w:p w14:paraId="7D67F7D0" w14:textId="164CB38A" w:rsidR="002F0153" w:rsidRPr="00927DB4" w:rsidRDefault="002F0153" w:rsidP="002F0153">
            <w:pPr>
              <w:spacing w:line="276" w:lineRule="auto"/>
              <w:jc w:val="both"/>
              <w:rPr>
                <w:rFonts w:ascii="Times New Roman" w:hAnsi="Times New Roman" w:cs="Times New Roman"/>
                <w:sz w:val="18"/>
                <w:szCs w:val="18"/>
                <w:lang w:val="pt-PT"/>
              </w:rPr>
            </w:pPr>
          </w:p>
        </w:tc>
      </w:tr>
    </w:tbl>
    <w:p w14:paraId="0B798906" w14:textId="77777777" w:rsidR="002F0153" w:rsidRDefault="002F0153" w:rsidP="002F0153">
      <w:pPr>
        <w:rPr>
          <w:rFonts w:ascii="Times New Roman" w:eastAsia="Times New Roman" w:hAnsi="Times New Roman" w:cs="Times New Roman"/>
          <w:b/>
          <w:bCs/>
          <w:lang w:eastAsia="pt-PT"/>
        </w:rPr>
      </w:pPr>
    </w:p>
    <w:p w14:paraId="4FFD4E3F" w14:textId="1733EC86" w:rsidR="006D7F6C" w:rsidRDefault="006D7F6C" w:rsidP="003F3C83">
      <w:pPr>
        <w:pStyle w:val="ListParagraph"/>
        <w:numPr>
          <w:ilvl w:val="0"/>
          <w:numId w:val="1"/>
        </w:numPr>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p w14:paraId="377446CD" w14:textId="77777777" w:rsidR="002F0153" w:rsidRDefault="002F0153" w:rsidP="002F0153">
      <w:pPr>
        <w:pStyle w:val="ListParagraph"/>
        <w:ind w:left="426"/>
        <w:jc w:val="both"/>
        <w:rPr>
          <w:rFonts w:ascii="Times New Roman" w:eastAsia="Times New Roman" w:hAnsi="Times New Roman" w:cs="Times New Roman"/>
          <w:lang w:eastAsia="pt-PT"/>
        </w:rPr>
      </w:pPr>
    </w:p>
    <w:tbl>
      <w:tblPr>
        <w:tblStyle w:val="TableGridLight"/>
        <w:tblW w:w="9175" w:type="dxa"/>
        <w:tblLook w:val="04A0" w:firstRow="1" w:lastRow="0" w:firstColumn="1" w:lastColumn="0" w:noHBand="0" w:noVBand="1"/>
      </w:tblPr>
      <w:tblGrid>
        <w:gridCol w:w="1095"/>
        <w:gridCol w:w="1971"/>
        <w:gridCol w:w="3517"/>
        <w:gridCol w:w="2343"/>
        <w:gridCol w:w="249"/>
      </w:tblGrid>
      <w:tr w:rsidR="006D7F6C" w:rsidRPr="00D84555" w14:paraId="77BDCC32" w14:textId="77777777" w:rsidTr="004C7749">
        <w:trPr>
          <w:trHeight w:val="337"/>
        </w:trPr>
        <w:tc>
          <w:tcPr>
            <w:tcW w:w="1095" w:type="dxa"/>
            <w:vAlign w:val="center"/>
          </w:tcPr>
          <w:p w14:paraId="42AD5D24" w14:textId="77777777" w:rsidR="006D7F6C" w:rsidRPr="00D84555" w:rsidRDefault="006D7F6C"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B01AE07</w:t>
            </w:r>
          </w:p>
        </w:tc>
        <w:tc>
          <w:tcPr>
            <w:tcW w:w="1971" w:type="dxa"/>
            <w:vAlign w:val="center"/>
          </w:tcPr>
          <w:p w14:paraId="0FDB02FA" w14:textId="77777777" w:rsidR="006D7F6C" w:rsidRPr="00D84555" w:rsidRDefault="006D7F6C"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Dabigatrano</w:t>
            </w:r>
            <w:proofErr w:type="spellEnd"/>
            <w:r w:rsidRPr="00D84555">
              <w:rPr>
                <w:rFonts w:ascii="Times New Roman" w:hAnsi="Times New Roman" w:cs="Times New Roman"/>
                <w:b/>
                <w:sz w:val="18"/>
                <w:szCs w:val="18"/>
              </w:rPr>
              <w:t xml:space="preserve"> </w:t>
            </w:r>
            <w:proofErr w:type="spellStart"/>
            <w:r w:rsidRPr="00D84555">
              <w:rPr>
                <w:rFonts w:ascii="Times New Roman" w:hAnsi="Times New Roman" w:cs="Times New Roman"/>
                <w:b/>
                <w:sz w:val="18"/>
                <w:szCs w:val="18"/>
              </w:rPr>
              <w:t>etexilato</w:t>
            </w:r>
            <w:proofErr w:type="spellEnd"/>
          </w:p>
        </w:tc>
        <w:tc>
          <w:tcPr>
            <w:tcW w:w="3517" w:type="dxa"/>
            <w:vAlign w:val="center"/>
          </w:tcPr>
          <w:p w14:paraId="600DDC94" w14:textId="77777777" w:rsidR="006D7F6C" w:rsidRPr="00927DB4" w:rsidRDefault="006D7F6C" w:rsidP="004C7749">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t xml:space="preserve">Informações limitadas sobre o uso para idosos e sobre o risco de eventos hemorrágicos nesta população; </w:t>
            </w:r>
            <w:r w:rsidRPr="00927DB4">
              <w:rPr>
                <w:rFonts w:ascii="Times New Roman" w:hAnsi="Times New Roman" w:cs="Times New Roman"/>
                <w:sz w:val="18"/>
                <w:szCs w:val="18"/>
                <w:highlight w:val="yellow"/>
                <w:lang w:val="pt-PT"/>
              </w:rPr>
              <w:t>nenhum agente de reversão está disponível em caso de overdose.</w:t>
            </w:r>
          </w:p>
        </w:tc>
        <w:tc>
          <w:tcPr>
            <w:tcW w:w="2343" w:type="dxa"/>
            <w:vAlign w:val="center"/>
          </w:tcPr>
          <w:p w14:paraId="0ED3F69B" w14:textId="77777777" w:rsidR="006D7F6C" w:rsidRPr="00927DB4" w:rsidRDefault="006D7F6C" w:rsidP="004C7749">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t>Reduzir a dose para indivíduos com idade &gt; 75 anos (150 mg/d) e CrCl 30-50 (110 mg duas vezes por dia); contraindicado se CrCl &lt;30.</w:t>
            </w:r>
          </w:p>
        </w:tc>
        <w:tc>
          <w:tcPr>
            <w:tcW w:w="249" w:type="dxa"/>
            <w:vAlign w:val="center"/>
          </w:tcPr>
          <w:p w14:paraId="74A84DCE" w14:textId="77777777" w:rsidR="006D7F6C" w:rsidRPr="00927DB4" w:rsidRDefault="006D7F6C" w:rsidP="004C7749">
            <w:pPr>
              <w:spacing w:line="276" w:lineRule="auto"/>
              <w:jc w:val="both"/>
              <w:rPr>
                <w:rFonts w:ascii="Times New Roman" w:hAnsi="Times New Roman" w:cs="Times New Roman"/>
                <w:sz w:val="18"/>
                <w:szCs w:val="18"/>
                <w:lang w:val="pt-PT"/>
              </w:rPr>
            </w:pPr>
          </w:p>
        </w:tc>
      </w:tr>
    </w:tbl>
    <w:p w14:paraId="2BF5FF9E" w14:textId="77777777" w:rsidR="006D7F6C" w:rsidRDefault="006D7F6C" w:rsidP="006D7F6C">
      <w:pPr>
        <w:rPr>
          <w:rFonts w:ascii="Times New Roman" w:eastAsia="Times New Roman" w:hAnsi="Times New Roman" w:cs="Times New Roman"/>
          <w:b/>
          <w:bCs/>
          <w:lang w:eastAsia="pt-PT"/>
        </w:rPr>
      </w:pPr>
    </w:p>
    <w:p w14:paraId="546613F2" w14:textId="175C0A05" w:rsidR="006D7F6C" w:rsidRDefault="006D7F6C" w:rsidP="006D7F6C">
      <w:pPr>
        <w:rPr>
          <w:rFonts w:ascii="Times New Roman" w:eastAsia="Times New Roman" w:hAnsi="Times New Roman" w:cs="Times New Roman"/>
          <w:lang w:eastAsia="pt-PT"/>
        </w:rPr>
      </w:pPr>
      <w:r w:rsidRPr="00AE6FBB">
        <w:rPr>
          <w:rFonts w:ascii="Times New Roman" w:eastAsia="Times New Roman" w:hAnsi="Times New Roman" w:cs="Times New Roman"/>
          <w:b/>
          <w:bCs/>
          <w:lang w:eastAsia="pt-PT"/>
        </w:rPr>
        <w:t xml:space="preserve">Comentário </w:t>
      </w:r>
      <w:r>
        <w:rPr>
          <w:rFonts w:ascii="Times New Roman" w:eastAsia="Times New Roman" w:hAnsi="Times New Roman" w:cs="Times New Roman"/>
          <w:b/>
          <w:bCs/>
          <w:lang w:eastAsia="pt-PT"/>
        </w:rPr>
        <w:t>12</w:t>
      </w:r>
      <w:r w:rsidRPr="00AE6FBB">
        <w:rPr>
          <w:rFonts w:ascii="Times New Roman" w:eastAsia="Times New Roman" w:hAnsi="Times New Roman" w:cs="Times New Roman"/>
          <w:b/>
          <w:bCs/>
          <w:lang w:eastAsia="pt-PT"/>
        </w:rPr>
        <w:t>:</w:t>
      </w:r>
      <w:r>
        <w:rPr>
          <w:rFonts w:ascii="Times New Roman" w:eastAsia="Times New Roman" w:hAnsi="Times New Roman" w:cs="Times New Roman"/>
          <w:lang w:eastAsia="pt-PT"/>
        </w:rPr>
        <w:t xml:space="preserve"> Atualmente existe terapêutica de reversão do dabigatrano: idarucizumab</w:t>
      </w:r>
    </w:p>
    <w:p w14:paraId="2A52A2F7" w14:textId="66102868" w:rsidR="006D7F6C" w:rsidRPr="00EF5A10" w:rsidRDefault="00EF5A10" w:rsidP="006D7F6C">
      <w:pPr>
        <w:rPr>
          <w:rFonts w:ascii="Times New Roman" w:eastAsia="Times New Roman" w:hAnsi="Times New Roman" w:cs="Times New Roman"/>
          <w:b/>
          <w:bCs/>
          <w:lang w:eastAsia="pt-PT"/>
        </w:rPr>
      </w:pPr>
      <w:r w:rsidRPr="00EF5A10">
        <w:rPr>
          <w:rFonts w:ascii="Times New Roman" w:eastAsia="Times New Roman" w:hAnsi="Times New Roman" w:cs="Times New Roman"/>
          <w:b/>
          <w:bCs/>
          <w:lang w:eastAsia="pt-PT"/>
        </w:rPr>
        <w:t>Resposta ao Comentário 12:</w:t>
      </w:r>
    </w:p>
    <w:p w14:paraId="14EB0DF4" w14:textId="70542C7D" w:rsidR="00EF5A10" w:rsidRDefault="00EF5A10" w:rsidP="00EF5A10">
      <w:pPr>
        <w:jc w:val="both"/>
        <w:rPr>
          <w:rFonts w:eastAsia="Times New Roman" w:cstheme="minorHAnsi"/>
          <w:lang w:eastAsia="pt-PT"/>
        </w:rPr>
      </w:pPr>
      <w:r w:rsidRPr="00EF5A10">
        <w:rPr>
          <w:rFonts w:eastAsia="Times New Roman" w:cstheme="minorHAnsi"/>
          <w:lang w:eastAsia="pt-PT"/>
        </w:rPr>
        <w:t>Os autores agradecem o comentário e alerta para a necessidade de atualização de informação.</w:t>
      </w:r>
      <w:r>
        <w:rPr>
          <w:rFonts w:eastAsia="Times New Roman" w:cstheme="minorHAnsi"/>
          <w:lang w:eastAsia="pt-PT"/>
        </w:rPr>
        <w:t xml:space="preserve"> </w:t>
      </w:r>
      <w:r w:rsidRPr="00EF5A10">
        <w:rPr>
          <w:rFonts w:eastAsia="Times New Roman" w:cstheme="minorHAnsi"/>
          <w:lang w:eastAsia="pt-PT"/>
        </w:rPr>
        <w:t>Esta era a informação disponível na altura da publicação da lista original</w:t>
      </w:r>
      <w:r>
        <w:rPr>
          <w:rFonts w:eastAsia="Times New Roman" w:cstheme="minorHAnsi"/>
          <w:lang w:eastAsia="pt-PT"/>
        </w:rPr>
        <w:t>. Procedemos à atualização Apêndice 1:</w:t>
      </w:r>
    </w:p>
    <w:p w14:paraId="1C32F038" w14:textId="77777777" w:rsidR="00EF5A10" w:rsidRDefault="00EF5A10" w:rsidP="00EF5A10">
      <w:pPr>
        <w:pStyle w:val="ListParagraph"/>
        <w:ind w:left="426"/>
        <w:jc w:val="both"/>
        <w:rPr>
          <w:rFonts w:ascii="Times New Roman" w:eastAsia="Times New Roman" w:hAnsi="Times New Roman" w:cs="Times New Roman"/>
          <w:lang w:eastAsia="pt-PT"/>
        </w:rPr>
      </w:pPr>
    </w:p>
    <w:tbl>
      <w:tblPr>
        <w:tblStyle w:val="TableGridLight"/>
        <w:tblW w:w="9175" w:type="dxa"/>
        <w:tblLook w:val="04A0" w:firstRow="1" w:lastRow="0" w:firstColumn="1" w:lastColumn="0" w:noHBand="0" w:noVBand="1"/>
      </w:tblPr>
      <w:tblGrid>
        <w:gridCol w:w="1095"/>
        <w:gridCol w:w="1971"/>
        <w:gridCol w:w="3517"/>
        <w:gridCol w:w="2343"/>
        <w:gridCol w:w="249"/>
      </w:tblGrid>
      <w:tr w:rsidR="00EF5A10" w:rsidRPr="00D84555" w14:paraId="10737BE5" w14:textId="77777777" w:rsidTr="005E6CEF">
        <w:trPr>
          <w:trHeight w:val="337"/>
        </w:trPr>
        <w:tc>
          <w:tcPr>
            <w:tcW w:w="1095" w:type="dxa"/>
            <w:vAlign w:val="center"/>
          </w:tcPr>
          <w:p w14:paraId="6936589B" w14:textId="77777777" w:rsidR="00EF5A10" w:rsidRPr="00D84555" w:rsidRDefault="00EF5A10" w:rsidP="005E6CEF">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B01AE07</w:t>
            </w:r>
          </w:p>
        </w:tc>
        <w:tc>
          <w:tcPr>
            <w:tcW w:w="1971" w:type="dxa"/>
            <w:vAlign w:val="center"/>
          </w:tcPr>
          <w:p w14:paraId="64F20EFE" w14:textId="77777777" w:rsidR="00EF5A10" w:rsidRPr="00D84555" w:rsidRDefault="00EF5A10" w:rsidP="005E6CEF">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Dabigatrano</w:t>
            </w:r>
            <w:proofErr w:type="spellEnd"/>
            <w:r w:rsidRPr="00D84555">
              <w:rPr>
                <w:rFonts w:ascii="Times New Roman" w:hAnsi="Times New Roman" w:cs="Times New Roman"/>
                <w:b/>
                <w:sz w:val="18"/>
                <w:szCs w:val="18"/>
              </w:rPr>
              <w:t xml:space="preserve"> </w:t>
            </w:r>
            <w:proofErr w:type="spellStart"/>
            <w:r w:rsidRPr="00D84555">
              <w:rPr>
                <w:rFonts w:ascii="Times New Roman" w:hAnsi="Times New Roman" w:cs="Times New Roman"/>
                <w:b/>
                <w:sz w:val="18"/>
                <w:szCs w:val="18"/>
              </w:rPr>
              <w:t>etexilato</w:t>
            </w:r>
            <w:proofErr w:type="spellEnd"/>
          </w:p>
        </w:tc>
        <w:tc>
          <w:tcPr>
            <w:tcW w:w="3517" w:type="dxa"/>
            <w:vAlign w:val="center"/>
          </w:tcPr>
          <w:p w14:paraId="35361A90" w14:textId="77777777" w:rsidR="00EF5A10" w:rsidRPr="00927DB4" w:rsidRDefault="00EF5A10" w:rsidP="005E6CEF">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t xml:space="preserve">Informações limitadas sobre o uso para idosos e sobre o risco de eventos hemorrágicos nesta população; </w:t>
            </w:r>
            <w:r w:rsidRPr="00EF5A10">
              <w:rPr>
                <w:rFonts w:ascii="Times New Roman" w:hAnsi="Times New Roman" w:cs="Times New Roman"/>
                <w:strike/>
                <w:sz w:val="18"/>
                <w:szCs w:val="18"/>
                <w:highlight w:val="green"/>
                <w:lang w:val="pt-PT"/>
              </w:rPr>
              <w:t>nenhum agente de reversão está disponível em caso de overdose.</w:t>
            </w:r>
          </w:p>
        </w:tc>
        <w:tc>
          <w:tcPr>
            <w:tcW w:w="2343" w:type="dxa"/>
            <w:vAlign w:val="center"/>
          </w:tcPr>
          <w:p w14:paraId="77A5DC8D" w14:textId="77777777" w:rsidR="00EF5A10" w:rsidRPr="00927DB4" w:rsidRDefault="00EF5A10" w:rsidP="005E6CEF">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t>Reduzir a dose para indivíduos com idade &gt; 75 anos (150 mg/d) e CrCl 30-50 (110 mg duas vezes por dia); contraindicado se CrCl &lt;30.</w:t>
            </w:r>
          </w:p>
        </w:tc>
        <w:tc>
          <w:tcPr>
            <w:tcW w:w="249" w:type="dxa"/>
            <w:vAlign w:val="center"/>
          </w:tcPr>
          <w:p w14:paraId="310B100C" w14:textId="77777777" w:rsidR="00EF5A10" w:rsidRPr="00927DB4" w:rsidRDefault="00EF5A10" w:rsidP="005E6CEF">
            <w:pPr>
              <w:spacing w:line="276" w:lineRule="auto"/>
              <w:jc w:val="both"/>
              <w:rPr>
                <w:rFonts w:ascii="Times New Roman" w:hAnsi="Times New Roman" w:cs="Times New Roman"/>
                <w:sz w:val="18"/>
                <w:szCs w:val="18"/>
                <w:lang w:val="pt-PT"/>
              </w:rPr>
            </w:pPr>
          </w:p>
        </w:tc>
      </w:tr>
    </w:tbl>
    <w:p w14:paraId="3964CA5F" w14:textId="77777777" w:rsidR="00EF5A10" w:rsidRDefault="00EF5A10" w:rsidP="00EF5A10">
      <w:pPr>
        <w:rPr>
          <w:rFonts w:ascii="Times New Roman" w:eastAsia="Times New Roman" w:hAnsi="Times New Roman" w:cs="Times New Roman"/>
          <w:b/>
          <w:bCs/>
          <w:lang w:eastAsia="pt-PT"/>
        </w:rPr>
      </w:pPr>
    </w:p>
    <w:p w14:paraId="46ACC61D" w14:textId="77777777" w:rsidR="00EF5A10" w:rsidRPr="00EF5A10" w:rsidRDefault="00EF5A10" w:rsidP="00EF5A10">
      <w:pPr>
        <w:jc w:val="both"/>
        <w:rPr>
          <w:rFonts w:eastAsia="Times New Roman" w:cstheme="minorHAnsi"/>
          <w:lang w:eastAsia="pt-PT"/>
        </w:rPr>
      </w:pPr>
    </w:p>
    <w:p w14:paraId="14380951" w14:textId="4F421CE7" w:rsidR="006D7F6C" w:rsidRPr="006D7F6C" w:rsidRDefault="006D7F6C" w:rsidP="003F3C83">
      <w:pPr>
        <w:pStyle w:val="ListParagraph"/>
        <w:numPr>
          <w:ilvl w:val="0"/>
          <w:numId w:val="1"/>
        </w:numPr>
        <w:ind w:left="426"/>
        <w:jc w:val="both"/>
        <w:rPr>
          <w:rFonts w:ascii="Times New Roman" w:eastAsia="Times New Roman" w:hAnsi="Times New Roman" w:cs="Times New Roman"/>
          <w:lang w:eastAsia="pt-PT"/>
        </w:rPr>
      </w:pPr>
    </w:p>
    <w:tbl>
      <w:tblPr>
        <w:tblStyle w:val="TableGridLight"/>
        <w:tblW w:w="9841" w:type="dxa"/>
        <w:tblLook w:val="04A0" w:firstRow="1" w:lastRow="0" w:firstColumn="1" w:lastColumn="0" w:noHBand="0" w:noVBand="1"/>
      </w:tblPr>
      <w:tblGrid>
        <w:gridCol w:w="1017"/>
        <w:gridCol w:w="1639"/>
        <w:gridCol w:w="2386"/>
        <w:gridCol w:w="3829"/>
        <w:gridCol w:w="970"/>
      </w:tblGrid>
      <w:tr w:rsidR="006D7F6C" w:rsidRPr="00D84555" w14:paraId="1680C981" w14:textId="77777777" w:rsidTr="004C7749">
        <w:trPr>
          <w:trHeight w:val="337"/>
        </w:trPr>
        <w:tc>
          <w:tcPr>
            <w:tcW w:w="1017" w:type="dxa"/>
            <w:vAlign w:val="center"/>
          </w:tcPr>
          <w:p w14:paraId="3F42AF54" w14:textId="77777777" w:rsidR="006D7F6C" w:rsidRPr="00D84555" w:rsidRDefault="006D7F6C"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B01AF01</w:t>
            </w:r>
          </w:p>
        </w:tc>
        <w:tc>
          <w:tcPr>
            <w:tcW w:w="1639" w:type="dxa"/>
            <w:vAlign w:val="center"/>
          </w:tcPr>
          <w:p w14:paraId="7C4CFBEF" w14:textId="77777777" w:rsidR="006D7F6C" w:rsidRPr="00D84555" w:rsidRDefault="006D7F6C"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Rivaroxabano</w:t>
            </w:r>
            <w:proofErr w:type="spellEnd"/>
          </w:p>
        </w:tc>
        <w:tc>
          <w:tcPr>
            <w:tcW w:w="2386" w:type="dxa"/>
            <w:vAlign w:val="center"/>
          </w:tcPr>
          <w:p w14:paraId="3069F889" w14:textId="77777777" w:rsidR="006D7F6C" w:rsidRPr="00927DB4" w:rsidRDefault="006D7F6C" w:rsidP="004C7749">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t xml:space="preserve">Informações limitadas sobre o uso em idosos; risco de efeitos hemorrágicos; </w:t>
            </w:r>
            <w:r w:rsidRPr="00927DB4">
              <w:rPr>
                <w:rFonts w:ascii="Times New Roman" w:hAnsi="Times New Roman" w:cs="Times New Roman"/>
                <w:sz w:val="18"/>
                <w:szCs w:val="18"/>
                <w:highlight w:val="yellow"/>
                <w:lang w:val="pt-PT"/>
              </w:rPr>
              <w:t>nenhum agente de reversão disponível em caso de overdose</w:t>
            </w:r>
            <w:r w:rsidRPr="00927DB4">
              <w:rPr>
                <w:rFonts w:ascii="Times New Roman" w:hAnsi="Times New Roman" w:cs="Times New Roman"/>
                <w:sz w:val="18"/>
                <w:szCs w:val="18"/>
                <w:lang w:val="pt-PT"/>
              </w:rPr>
              <w:t>; risco de sangramento pode ser maior em casos de insuficiência renal grave.</w:t>
            </w:r>
          </w:p>
        </w:tc>
        <w:tc>
          <w:tcPr>
            <w:tcW w:w="3829" w:type="dxa"/>
            <w:vAlign w:val="center"/>
          </w:tcPr>
          <w:p w14:paraId="6C706B38" w14:textId="77777777" w:rsidR="006D7F6C" w:rsidRPr="00927DB4" w:rsidRDefault="006D7F6C" w:rsidP="004C7749">
            <w:pPr>
              <w:spacing w:line="276" w:lineRule="auto"/>
              <w:ind w:right="2199"/>
              <w:jc w:val="both"/>
              <w:rPr>
                <w:rFonts w:ascii="Times New Roman" w:hAnsi="Times New Roman" w:cs="Times New Roman"/>
                <w:sz w:val="18"/>
                <w:szCs w:val="18"/>
                <w:lang w:val="pt-PT"/>
              </w:rPr>
            </w:pPr>
            <w:r w:rsidRPr="00927DB4">
              <w:rPr>
                <w:rFonts w:ascii="Times New Roman" w:hAnsi="Times New Roman" w:cs="Times New Roman"/>
                <w:sz w:val="18"/>
                <w:szCs w:val="18"/>
                <w:highlight w:val="yellow"/>
                <w:lang w:val="pt-PT"/>
              </w:rPr>
              <w:t>Reduzir a dose</w:t>
            </w:r>
            <w:r w:rsidRPr="00927DB4">
              <w:rPr>
                <w:rFonts w:ascii="Times New Roman" w:hAnsi="Times New Roman" w:cs="Times New Roman"/>
                <w:sz w:val="18"/>
                <w:szCs w:val="18"/>
                <w:lang w:val="pt-PT"/>
              </w:rPr>
              <w:t xml:space="preserve"> para indivíduos com idade &gt; 65 anos e evitar o uso em pessoas com CrCl &lt;30 ml/min.</w:t>
            </w:r>
          </w:p>
        </w:tc>
        <w:tc>
          <w:tcPr>
            <w:tcW w:w="970" w:type="dxa"/>
            <w:vAlign w:val="center"/>
          </w:tcPr>
          <w:p w14:paraId="2FCE402D" w14:textId="77777777" w:rsidR="006D7F6C" w:rsidRPr="00927DB4" w:rsidRDefault="006D7F6C" w:rsidP="004C7749">
            <w:pPr>
              <w:spacing w:line="276" w:lineRule="auto"/>
              <w:jc w:val="both"/>
              <w:rPr>
                <w:rFonts w:ascii="Times New Roman" w:hAnsi="Times New Roman" w:cs="Times New Roman"/>
                <w:sz w:val="18"/>
                <w:szCs w:val="18"/>
                <w:lang w:val="pt-PT"/>
              </w:rPr>
            </w:pPr>
          </w:p>
        </w:tc>
      </w:tr>
    </w:tbl>
    <w:p w14:paraId="65BF1475" w14:textId="77777777" w:rsidR="006D7F6C" w:rsidRDefault="006D7F6C" w:rsidP="006D7F6C">
      <w:pPr>
        <w:rPr>
          <w:rFonts w:ascii="Times New Roman" w:eastAsia="Times New Roman" w:hAnsi="Times New Roman" w:cs="Times New Roman"/>
          <w:b/>
          <w:bCs/>
          <w:lang w:eastAsia="pt-PT"/>
        </w:rPr>
      </w:pPr>
    </w:p>
    <w:p w14:paraId="6E80A7FD" w14:textId="77777777" w:rsidR="006D7F6C" w:rsidRDefault="006D7F6C" w:rsidP="006D7F6C">
      <w:pPr>
        <w:rPr>
          <w:rFonts w:ascii="Times New Roman" w:eastAsia="Times New Roman" w:hAnsi="Times New Roman" w:cs="Times New Roman"/>
          <w:lang w:eastAsia="pt-PT"/>
        </w:rPr>
      </w:pPr>
      <w:r w:rsidRPr="00AE6FBB">
        <w:rPr>
          <w:rFonts w:ascii="Times New Roman" w:eastAsia="Times New Roman" w:hAnsi="Times New Roman" w:cs="Times New Roman"/>
          <w:b/>
          <w:bCs/>
          <w:lang w:eastAsia="pt-PT"/>
        </w:rPr>
        <w:t xml:space="preserve">Comentário </w:t>
      </w:r>
      <w:r>
        <w:rPr>
          <w:rFonts w:ascii="Times New Roman" w:eastAsia="Times New Roman" w:hAnsi="Times New Roman" w:cs="Times New Roman"/>
          <w:b/>
          <w:bCs/>
          <w:lang w:eastAsia="pt-PT"/>
        </w:rPr>
        <w:t xml:space="preserve">13: </w:t>
      </w:r>
      <w:r>
        <w:rPr>
          <w:rFonts w:ascii="Times New Roman" w:eastAsia="Times New Roman" w:hAnsi="Times New Roman" w:cs="Times New Roman"/>
          <w:lang w:eastAsia="pt-PT"/>
        </w:rPr>
        <w:t xml:space="preserve">Atualmente existe terapêutica de reversão para </w:t>
      </w:r>
      <w:r w:rsidRPr="00927DB4">
        <w:rPr>
          <w:rFonts w:ascii="Times New Roman" w:eastAsia="Times New Roman" w:hAnsi="Times New Roman" w:cs="Times New Roman"/>
          <w:highlight w:val="yellow"/>
          <w:lang w:eastAsia="pt-PT"/>
        </w:rPr>
        <w:t>rivaroxabano e apixabano:</w:t>
      </w:r>
      <w:r>
        <w:rPr>
          <w:rFonts w:ascii="Times New Roman" w:eastAsia="Times New Roman" w:hAnsi="Times New Roman" w:cs="Times New Roman"/>
          <w:lang w:eastAsia="pt-PT"/>
        </w:rPr>
        <w:t xml:space="preserve"> </w:t>
      </w:r>
      <w:r w:rsidRPr="00AE6FBB">
        <w:rPr>
          <w:rFonts w:ascii="Times New Roman" w:eastAsia="Times New Roman" w:hAnsi="Times New Roman" w:cs="Times New Roman"/>
          <w:lang w:eastAsia="pt-PT"/>
        </w:rPr>
        <w:t>Andexanet alfa</w:t>
      </w:r>
    </w:p>
    <w:p w14:paraId="58B98CCB" w14:textId="77777777" w:rsidR="006D7F6C" w:rsidRDefault="006D7F6C" w:rsidP="006D7F6C">
      <w:pPr>
        <w:rPr>
          <w:rFonts w:ascii="Times New Roman" w:eastAsia="Times New Roman" w:hAnsi="Times New Roman" w:cs="Times New Roman"/>
          <w:lang w:eastAsia="pt-PT"/>
        </w:rPr>
      </w:pPr>
      <w:r>
        <w:rPr>
          <w:rFonts w:ascii="Times New Roman" w:eastAsia="Times New Roman" w:hAnsi="Times New Roman" w:cs="Times New Roman"/>
          <w:lang w:eastAsia="pt-PT"/>
        </w:rPr>
        <w:t>Reduzir para q dose da rivaroxabano...</w:t>
      </w:r>
    </w:p>
    <w:p w14:paraId="615B398F" w14:textId="7820A1E4" w:rsidR="006D7F6C" w:rsidRPr="002E24EA" w:rsidRDefault="006D7F6C" w:rsidP="006D7F6C">
      <w:pPr>
        <w:rPr>
          <w:rFonts w:ascii="Times New Roman" w:eastAsia="Times New Roman" w:hAnsi="Times New Roman" w:cs="Times New Roman"/>
          <w:b/>
          <w:bCs/>
          <w:lang w:eastAsia="pt-PT"/>
        </w:rPr>
      </w:pPr>
      <w:r w:rsidRPr="002E24EA">
        <w:rPr>
          <w:rFonts w:ascii="Times New Roman" w:eastAsia="Times New Roman" w:hAnsi="Times New Roman" w:cs="Times New Roman"/>
          <w:b/>
          <w:bCs/>
          <w:lang w:eastAsia="pt-PT"/>
        </w:rPr>
        <w:t>Resposta ao Comentário 13</w:t>
      </w:r>
    </w:p>
    <w:p w14:paraId="19791442" w14:textId="676140D6" w:rsidR="002E24EA" w:rsidRPr="00EF5A10" w:rsidRDefault="002D32A3" w:rsidP="00EF5A10">
      <w:pPr>
        <w:jc w:val="both"/>
        <w:rPr>
          <w:rFonts w:eastAsia="Times New Roman" w:cstheme="minorHAnsi"/>
          <w:lang w:eastAsia="pt-PT"/>
        </w:rPr>
      </w:pPr>
      <w:r w:rsidRPr="00EF5A10">
        <w:rPr>
          <w:rFonts w:eastAsia="Times New Roman" w:cstheme="minorHAnsi"/>
          <w:lang w:eastAsia="pt-PT"/>
        </w:rPr>
        <w:t>Os autores agradecem</w:t>
      </w:r>
      <w:r w:rsidR="002E24EA" w:rsidRPr="00EF5A10">
        <w:rPr>
          <w:rFonts w:eastAsia="Times New Roman" w:cstheme="minorHAnsi"/>
          <w:lang w:eastAsia="pt-PT"/>
        </w:rPr>
        <w:t xml:space="preserve"> o comentário e alerta para a necessidade de atualização de informação.</w:t>
      </w:r>
    </w:p>
    <w:p w14:paraId="16EF9CA5" w14:textId="35DDCFC9" w:rsidR="002B716F" w:rsidRPr="00EF5A10" w:rsidRDefault="002B716F" w:rsidP="00EF5A10">
      <w:pPr>
        <w:jc w:val="both"/>
        <w:rPr>
          <w:rFonts w:eastAsia="Times New Roman" w:cstheme="minorHAnsi"/>
          <w:i/>
          <w:iCs/>
          <w:lang w:eastAsia="pt-PT"/>
        </w:rPr>
      </w:pPr>
      <w:r w:rsidRPr="00EF5A10">
        <w:rPr>
          <w:rFonts w:eastAsia="Times New Roman" w:cstheme="minorHAnsi"/>
          <w:lang w:eastAsia="pt-PT"/>
        </w:rPr>
        <w:t xml:space="preserve">Esta era a informação disponível na altura da publicação da lista original. Atualmente a informação disponível é a seguinte: </w:t>
      </w:r>
      <w:r w:rsidRPr="00EF5A10">
        <w:rPr>
          <w:rFonts w:eastAsia="Times New Roman" w:cstheme="minorHAnsi"/>
          <w:i/>
          <w:iCs/>
          <w:lang w:eastAsia="pt-PT"/>
        </w:rPr>
        <w:t>Reduzir a dose de 20 mg (prevenção de TVT e tratamento da fibrilação auricular</w:t>
      </w:r>
      <w:r w:rsidR="00E67E04" w:rsidRPr="00EF5A10">
        <w:rPr>
          <w:rFonts w:eastAsia="Times New Roman" w:cstheme="minorHAnsi"/>
          <w:i/>
          <w:iCs/>
          <w:lang w:eastAsia="pt-PT"/>
        </w:rPr>
        <w:t>) para 15 mg/dia em doentes com clearance de creatinina abaixo 50 ml/min. Não utilizar quando a clearance de creatinina é inferior 15 ml/min.</w:t>
      </w:r>
    </w:p>
    <w:p w14:paraId="03BC1FC9" w14:textId="0450B6B4" w:rsidR="006D7F6C" w:rsidRPr="00EF5A10" w:rsidRDefault="00E67E04" w:rsidP="00EF5A10">
      <w:pPr>
        <w:jc w:val="both"/>
        <w:rPr>
          <w:rFonts w:eastAsia="Times New Roman" w:cstheme="minorHAnsi"/>
          <w:lang w:eastAsia="pt-PT"/>
        </w:rPr>
      </w:pPr>
      <w:r w:rsidRPr="00EF5A10">
        <w:rPr>
          <w:rFonts w:eastAsia="Times New Roman" w:cstheme="minorHAnsi"/>
          <w:lang w:eastAsia="pt-PT"/>
        </w:rPr>
        <w:t>Consideramos que esta informação atualizada deverá constar na lista operacionalizada para Portugal</w:t>
      </w:r>
      <w:r w:rsidR="002E24EA" w:rsidRPr="00EF5A10">
        <w:rPr>
          <w:rFonts w:eastAsia="Times New Roman" w:cstheme="minorHAnsi"/>
          <w:lang w:eastAsia="pt-PT"/>
        </w:rPr>
        <w:t>, pelo que será feita a seguinte alteração ao apêncide 1:</w:t>
      </w:r>
    </w:p>
    <w:tbl>
      <w:tblPr>
        <w:tblStyle w:val="TableGrid"/>
        <w:tblW w:w="9776" w:type="dxa"/>
        <w:tblLook w:val="04A0" w:firstRow="1" w:lastRow="0" w:firstColumn="1" w:lastColumn="0" w:noHBand="0" w:noVBand="1"/>
      </w:tblPr>
      <w:tblGrid>
        <w:gridCol w:w="1129"/>
        <w:gridCol w:w="1560"/>
        <w:gridCol w:w="2407"/>
        <w:gridCol w:w="3830"/>
        <w:gridCol w:w="850"/>
      </w:tblGrid>
      <w:tr w:rsidR="007B0AE5" w14:paraId="54053C9E" w14:textId="77777777" w:rsidTr="007B0AE5">
        <w:tc>
          <w:tcPr>
            <w:tcW w:w="1129" w:type="dxa"/>
          </w:tcPr>
          <w:p w14:paraId="7EDA699D" w14:textId="64DA2180" w:rsidR="007B0AE5" w:rsidRPr="007B0AE5" w:rsidRDefault="007B0AE5" w:rsidP="006D7F6C">
            <w:pPr>
              <w:rPr>
                <w:rFonts w:eastAsia="Times New Roman" w:cstheme="minorHAnsi"/>
                <w:lang w:eastAsia="pt-PT"/>
              </w:rPr>
            </w:pPr>
            <w:r w:rsidRPr="007B0AE5">
              <w:rPr>
                <w:rFonts w:eastAsia="Times New Roman" w:cstheme="minorHAnsi"/>
                <w:b/>
                <w:bCs/>
                <w:lang w:eastAsia="pt-PT"/>
              </w:rPr>
              <w:t>B01</w:t>
            </w:r>
            <w:r w:rsidRPr="007B0AE5">
              <w:rPr>
                <w:rFonts w:eastAsia="Times New Roman" w:cstheme="minorHAnsi"/>
                <w:lang w:eastAsia="pt-PT"/>
              </w:rPr>
              <w:t>AF01</w:t>
            </w:r>
          </w:p>
        </w:tc>
        <w:tc>
          <w:tcPr>
            <w:tcW w:w="1560" w:type="dxa"/>
          </w:tcPr>
          <w:p w14:paraId="1C129A8F" w14:textId="69E50FB0" w:rsidR="007B0AE5" w:rsidRPr="007B0AE5" w:rsidRDefault="007B0AE5" w:rsidP="006D7F6C">
            <w:pPr>
              <w:rPr>
                <w:rFonts w:eastAsia="Times New Roman" w:cstheme="minorHAnsi"/>
                <w:b/>
                <w:bCs/>
                <w:lang w:eastAsia="pt-PT"/>
              </w:rPr>
            </w:pPr>
            <w:r w:rsidRPr="007B0AE5">
              <w:rPr>
                <w:rFonts w:eastAsia="Times New Roman" w:cstheme="minorHAnsi"/>
                <w:b/>
                <w:bCs/>
                <w:lang w:eastAsia="pt-PT"/>
              </w:rPr>
              <w:t>Rivaroxabano</w:t>
            </w:r>
          </w:p>
        </w:tc>
        <w:tc>
          <w:tcPr>
            <w:tcW w:w="2407" w:type="dxa"/>
          </w:tcPr>
          <w:p w14:paraId="10C0106E" w14:textId="2888E5C4" w:rsidR="007B0AE5" w:rsidRPr="007B0AE5" w:rsidRDefault="007B0AE5" w:rsidP="006D7F6C">
            <w:pPr>
              <w:rPr>
                <w:rFonts w:eastAsia="Times New Roman" w:cstheme="minorHAnsi"/>
                <w:lang w:eastAsia="pt-PT"/>
              </w:rPr>
            </w:pPr>
            <w:r w:rsidRPr="00EF5A10">
              <w:rPr>
                <w:rFonts w:cstheme="minorHAnsi"/>
              </w:rPr>
              <w:t>Informações limitadas sobre o uso em idosos;</w:t>
            </w:r>
            <w:r w:rsidRPr="007B0AE5">
              <w:rPr>
                <w:rFonts w:cstheme="minorHAnsi"/>
              </w:rPr>
              <w:t xml:space="preserve"> Risco de efeitos hemorrágicos</w:t>
            </w:r>
            <w:r w:rsidRPr="007B0AE5">
              <w:rPr>
                <w:rFonts w:cstheme="minorHAnsi"/>
                <w:strike/>
                <w:highlight w:val="green"/>
              </w:rPr>
              <w:t>; nenhum agente de reversão disponível em caso de overdose</w:t>
            </w:r>
            <w:r w:rsidRPr="007B0AE5">
              <w:rPr>
                <w:rFonts w:cstheme="minorHAnsi"/>
              </w:rPr>
              <w:t>;o risco de sangramento pode ser maior em casos de insuficiência renal grave</w:t>
            </w:r>
          </w:p>
        </w:tc>
        <w:tc>
          <w:tcPr>
            <w:tcW w:w="3830" w:type="dxa"/>
          </w:tcPr>
          <w:p w14:paraId="4B2EB699" w14:textId="77777777" w:rsidR="007B0AE5" w:rsidRPr="007B0AE5" w:rsidRDefault="007B0AE5" w:rsidP="006D7F6C">
            <w:pPr>
              <w:rPr>
                <w:rFonts w:cstheme="minorHAnsi"/>
                <w:strike/>
                <w:highlight w:val="green"/>
              </w:rPr>
            </w:pPr>
            <w:r w:rsidRPr="007B0AE5">
              <w:rPr>
                <w:rFonts w:cstheme="minorHAnsi"/>
                <w:strike/>
                <w:highlight w:val="green"/>
              </w:rPr>
              <w:t>Reduzir a dose para indivíduos com idade &gt; 65 anos e evitar o uso em pessoas com CrCl &lt;30 ml/min.</w:t>
            </w:r>
          </w:p>
          <w:p w14:paraId="168B7C92" w14:textId="77777777" w:rsidR="007B0AE5" w:rsidRPr="007B0AE5" w:rsidRDefault="007B0AE5" w:rsidP="006D7F6C">
            <w:pPr>
              <w:rPr>
                <w:rFonts w:eastAsia="Times New Roman" w:cstheme="minorHAnsi"/>
                <w:strike/>
                <w:highlight w:val="green"/>
                <w:lang w:eastAsia="pt-PT"/>
              </w:rPr>
            </w:pPr>
          </w:p>
          <w:p w14:paraId="33431372" w14:textId="0036AAA2" w:rsidR="007B0AE5" w:rsidRPr="007B0AE5" w:rsidRDefault="007B0AE5" w:rsidP="006D7F6C">
            <w:pPr>
              <w:rPr>
                <w:rFonts w:eastAsia="Times New Roman" w:cstheme="minorHAnsi"/>
                <w:strike/>
                <w:lang w:eastAsia="pt-PT"/>
              </w:rPr>
            </w:pPr>
            <w:r w:rsidRPr="007B0AE5">
              <w:rPr>
                <w:rFonts w:eastAsia="Times New Roman" w:cstheme="minorHAnsi"/>
                <w:i/>
                <w:iCs/>
                <w:highlight w:val="green"/>
                <w:lang w:eastAsia="pt-PT"/>
              </w:rPr>
              <w:t>Reduzir a dose de 20 mg (prevenção de TVT e tratamento da fibrilação auricular) para 15 mg/dia em doentes com clearance de creatinina abaixo 50 ml/min. Não utilizar quando a clearance de creatinina é inferior 15 ml/min.</w:t>
            </w:r>
          </w:p>
        </w:tc>
        <w:tc>
          <w:tcPr>
            <w:tcW w:w="850" w:type="dxa"/>
          </w:tcPr>
          <w:p w14:paraId="2F4DBAD5" w14:textId="77777777" w:rsidR="007B0AE5" w:rsidRDefault="007B0AE5" w:rsidP="006D7F6C">
            <w:pPr>
              <w:rPr>
                <w:rFonts w:ascii="Times New Roman" w:eastAsia="Times New Roman" w:hAnsi="Times New Roman" w:cs="Times New Roman"/>
                <w:lang w:eastAsia="pt-PT"/>
              </w:rPr>
            </w:pPr>
          </w:p>
        </w:tc>
      </w:tr>
    </w:tbl>
    <w:p w14:paraId="277DC459" w14:textId="77777777" w:rsidR="002E24EA" w:rsidRDefault="002E24EA" w:rsidP="006D7F6C">
      <w:pPr>
        <w:rPr>
          <w:rFonts w:ascii="Times New Roman" w:eastAsia="Times New Roman" w:hAnsi="Times New Roman" w:cs="Times New Roman"/>
          <w:lang w:eastAsia="pt-PT"/>
        </w:rPr>
      </w:pPr>
    </w:p>
    <w:p w14:paraId="631C06A8" w14:textId="77777777" w:rsidR="006D7F6C" w:rsidRPr="00927DB4" w:rsidRDefault="006D7F6C" w:rsidP="003F3C83">
      <w:pPr>
        <w:pStyle w:val="ListParagraph"/>
        <w:ind w:left="502"/>
        <w:rPr>
          <w:rFonts w:ascii="Times New Roman" w:eastAsia="Times New Roman" w:hAnsi="Times New Roman" w:cs="Times New Roman"/>
          <w:lang w:eastAsia="pt-PT"/>
        </w:rPr>
      </w:pPr>
    </w:p>
    <w:p w14:paraId="4538546A" w14:textId="77777777" w:rsidR="006D7F6C" w:rsidRDefault="006D7F6C" w:rsidP="007B0AE5">
      <w:pPr>
        <w:pStyle w:val="ListParagraph"/>
        <w:numPr>
          <w:ilvl w:val="0"/>
          <w:numId w:val="1"/>
        </w:numPr>
        <w:ind w:left="426"/>
        <w:jc w:val="both"/>
        <w:rPr>
          <w:rFonts w:ascii="Times New Roman" w:eastAsia="Times New Roman" w:hAnsi="Times New Roman" w:cs="Times New Roman"/>
          <w:lang w:eastAsia="pt-PT"/>
        </w:rPr>
      </w:pPr>
    </w:p>
    <w:tbl>
      <w:tblPr>
        <w:tblStyle w:val="TableGridLight"/>
        <w:tblW w:w="9776" w:type="dxa"/>
        <w:tblLook w:val="04A0" w:firstRow="1" w:lastRow="0" w:firstColumn="1" w:lastColumn="0" w:noHBand="0" w:noVBand="1"/>
      </w:tblPr>
      <w:tblGrid>
        <w:gridCol w:w="1092"/>
        <w:gridCol w:w="1956"/>
        <w:gridCol w:w="3476"/>
        <w:gridCol w:w="1904"/>
        <w:gridCol w:w="1348"/>
      </w:tblGrid>
      <w:tr w:rsidR="006D7F6C" w:rsidRPr="00D84555" w14:paraId="564D158E" w14:textId="77777777" w:rsidTr="004C7749">
        <w:trPr>
          <w:trHeight w:val="337"/>
        </w:trPr>
        <w:tc>
          <w:tcPr>
            <w:tcW w:w="1092" w:type="dxa"/>
            <w:vAlign w:val="center"/>
          </w:tcPr>
          <w:p w14:paraId="1D0B4A3D" w14:textId="77777777" w:rsidR="006D7F6C" w:rsidRPr="00D84555" w:rsidRDefault="006D7F6C"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C01BC03</w:t>
            </w:r>
          </w:p>
        </w:tc>
        <w:tc>
          <w:tcPr>
            <w:tcW w:w="1956" w:type="dxa"/>
            <w:vAlign w:val="center"/>
          </w:tcPr>
          <w:p w14:paraId="552BD6EF" w14:textId="77777777" w:rsidR="006D7F6C" w:rsidRPr="00D84555" w:rsidRDefault="006D7F6C"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Propafenona</w:t>
            </w:r>
            <w:proofErr w:type="spellEnd"/>
          </w:p>
        </w:tc>
        <w:tc>
          <w:tcPr>
            <w:tcW w:w="3476" w:type="dxa"/>
            <w:vAlign w:val="center"/>
          </w:tcPr>
          <w:p w14:paraId="0DE16153" w14:textId="77777777" w:rsidR="006D7F6C" w:rsidRPr="00927DB4" w:rsidRDefault="006D7F6C" w:rsidP="004C7749">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t>Elevado risco de interações medicamentosas.</w:t>
            </w:r>
          </w:p>
          <w:p w14:paraId="1A5F601B" w14:textId="77777777" w:rsidR="006D7F6C" w:rsidRPr="00927DB4" w:rsidRDefault="006D7F6C" w:rsidP="004C7749">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t>Os dados sugerem que, para a maioria dos idosos, o controlo de taxas produz um melhor equilíbrio de benefícios e danos do que o controlo do ritmo.</w:t>
            </w:r>
          </w:p>
        </w:tc>
        <w:tc>
          <w:tcPr>
            <w:tcW w:w="1904" w:type="dxa"/>
            <w:vAlign w:val="center"/>
          </w:tcPr>
          <w:p w14:paraId="57F6B310" w14:textId="77777777" w:rsidR="006D7F6C" w:rsidRPr="00927DB4" w:rsidRDefault="006D7F6C" w:rsidP="004C7749">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highlight w:val="yellow"/>
                <w:lang w:val="pt-PT"/>
              </w:rPr>
              <w:t>Começar a dose na extremidade inferior</w:t>
            </w:r>
            <w:r w:rsidRPr="00927DB4">
              <w:rPr>
                <w:rFonts w:ascii="Times New Roman" w:hAnsi="Times New Roman" w:cs="Times New Roman"/>
                <w:sz w:val="18"/>
                <w:szCs w:val="18"/>
                <w:lang w:val="pt-PT"/>
              </w:rPr>
              <w:t xml:space="preserve"> do intervalo de dosagem e aumentar gradualmente.</w:t>
            </w:r>
          </w:p>
          <w:p w14:paraId="2E40630D" w14:textId="77777777" w:rsidR="006D7F6C" w:rsidRPr="00927DB4" w:rsidRDefault="006D7F6C" w:rsidP="004C7749">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t xml:space="preserve">Uma dose oral única de 600 mg pode ser eficaz para converter </w:t>
            </w:r>
            <w:r w:rsidRPr="00927DB4">
              <w:rPr>
                <w:rFonts w:ascii="Times New Roman" w:hAnsi="Times New Roman" w:cs="Times New Roman"/>
                <w:sz w:val="18"/>
                <w:szCs w:val="18"/>
                <w:highlight w:val="yellow"/>
                <w:lang w:val="pt-PT"/>
              </w:rPr>
              <w:t>fibrilação atrial de início recente em ritmo</w:t>
            </w:r>
            <w:r w:rsidRPr="00927DB4">
              <w:rPr>
                <w:rFonts w:ascii="Times New Roman" w:hAnsi="Times New Roman" w:cs="Times New Roman"/>
                <w:sz w:val="18"/>
                <w:szCs w:val="18"/>
                <w:lang w:val="pt-PT"/>
              </w:rPr>
              <w:t xml:space="preserve"> sinusal em pessoas com mais de 60 anos sem </w:t>
            </w:r>
            <w:r w:rsidRPr="00927DB4">
              <w:rPr>
                <w:rFonts w:ascii="Times New Roman" w:hAnsi="Times New Roman" w:cs="Times New Roman"/>
                <w:sz w:val="18"/>
                <w:szCs w:val="18"/>
                <w:lang w:val="pt-PT"/>
              </w:rPr>
              <w:lastRenderedPageBreak/>
              <w:t>sinais ou sintomas de insuficiência cardíaca.</w:t>
            </w:r>
          </w:p>
        </w:tc>
        <w:tc>
          <w:tcPr>
            <w:tcW w:w="1348" w:type="dxa"/>
            <w:vAlign w:val="center"/>
          </w:tcPr>
          <w:p w14:paraId="7724B552" w14:textId="77777777" w:rsidR="006D7F6C" w:rsidRPr="00927DB4" w:rsidRDefault="006D7F6C" w:rsidP="004C7749">
            <w:pPr>
              <w:spacing w:line="276" w:lineRule="auto"/>
              <w:jc w:val="both"/>
              <w:rPr>
                <w:rFonts w:ascii="Times New Roman" w:hAnsi="Times New Roman" w:cs="Times New Roman"/>
                <w:sz w:val="18"/>
                <w:szCs w:val="18"/>
                <w:lang w:val="pt-PT"/>
              </w:rPr>
            </w:pPr>
            <w:r w:rsidRPr="00927DB4">
              <w:rPr>
                <w:rFonts w:ascii="Times New Roman" w:hAnsi="Times New Roman" w:cs="Times New Roman"/>
                <w:sz w:val="18"/>
                <w:szCs w:val="18"/>
                <w:lang w:val="pt-PT"/>
              </w:rPr>
              <w:lastRenderedPageBreak/>
              <w:t xml:space="preserve">Bloqueadores </w:t>
            </w:r>
            <w:r w:rsidRPr="00D84555">
              <w:rPr>
                <w:rFonts w:ascii="Times New Roman" w:hAnsi="Times New Roman" w:cs="Times New Roman"/>
                <w:sz w:val="18"/>
                <w:szCs w:val="18"/>
              </w:rPr>
              <w:t>β</w:t>
            </w:r>
            <w:r w:rsidRPr="00927DB4">
              <w:rPr>
                <w:rFonts w:ascii="Times New Roman" w:hAnsi="Times New Roman" w:cs="Times New Roman"/>
                <w:sz w:val="18"/>
                <w:szCs w:val="18"/>
                <w:lang w:val="pt-PT"/>
              </w:rPr>
              <w:t xml:space="preserve"> (exceto propranolol, sotalol, labetalol).</w:t>
            </w:r>
          </w:p>
        </w:tc>
      </w:tr>
    </w:tbl>
    <w:p w14:paraId="6640D1B5" w14:textId="77777777" w:rsidR="006D7F6C" w:rsidRDefault="006D7F6C" w:rsidP="006D7F6C">
      <w:pPr>
        <w:rPr>
          <w:rFonts w:ascii="Times New Roman" w:eastAsia="Times New Roman" w:hAnsi="Times New Roman" w:cs="Times New Roman"/>
          <w:lang w:eastAsia="pt-PT"/>
        </w:rPr>
      </w:pPr>
    </w:p>
    <w:p w14:paraId="7EA70F26" w14:textId="025DB943" w:rsidR="006D7F6C" w:rsidRDefault="006D7F6C" w:rsidP="006D7F6C">
      <w:pPr>
        <w:rPr>
          <w:rFonts w:ascii="Times New Roman" w:eastAsia="Times New Roman" w:hAnsi="Times New Roman" w:cs="Times New Roman"/>
          <w:lang w:eastAsia="pt-PT"/>
        </w:rPr>
      </w:pPr>
      <w:r w:rsidRPr="00927DB4">
        <w:rPr>
          <w:rFonts w:ascii="Times New Roman" w:eastAsia="Times New Roman" w:hAnsi="Times New Roman" w:cs="Times New Roman"/>
          <w:b/>
          <w:bCs/>
          <w:lang w:eastAsia="pt-PT"/>
        </w:rPr>
        <w:t>Comentário 14:</w:t>
      </w:r>
      <w:r>
        <w:rPr>
          <w:rFonts w:ascii="Times New Roman" w:eastAsia="Times New Roman" w:hAnsi="Times New Roman" w:cs="Times New Roman"/>
          <w:lang w:eastAsia="pt-PT"/>
        </w:rPr>
        <w:t xml:space="preserve"> Indicar qual a dose na extremidade inferior. Quando indicam FA de início recente indicar qual o tempo inf a 48h?</w:t>
      </w:r>
    </w:p>
    <w:p w14:paraId="6098F80F" w14:textId="42E2A8E3" w:rsidR="003234AD" w:rsidRPr="00C14940" w:rsidRDefault="007B0AE5" w:rsidP="00C14940">
      <w:pPr>
        <w:jc w:val="both"/>
        <w:rPr>
          <w:rFonts w:eastAsia="Times New Roman" w:cstheme="minorHAnsi"/>
          <w:lang w:eastAsia="pt-PT"/>
        </w:rPr>
      </w:pPr>
      <w:r w:rsidRPr="00C14940">
        <w:rPr>
          <w:rFonts w:eastAsia="Times New Roman" w:cstheme="minorHAnsi"/>
          <w:lang w:eastAsia="pt-PT"/>
        </w:rPr>
        <w:t>D</w:t>
      </w:r>
      <w:r w:rsidR="003234AD" w:rsidRPr="00C14940">
        <w:rPr>
          <w:rFonts w:eastAsia="Times New Roman" w:cstheme="minorHAnsi"/>
          <w:lang w:eastAsia="pt-PT"/>
        </w:rPr>
        <w:t xml:space="preserve">e acordo com as diretrizes da American College of Cardiology (ACC), American Heart Association (AHA), e American Society of Cardiology (ESC) em menos de 7 dias. </w:t>
      </w:r>
      <w:r w:rsidR="002B716F" w:rsidRPr="00C14940">
        <w:rPr>
          <w:rFonts w:eastAsia="Times New Roman" w:cstheme="minorHAnsi"/>
          <w:lang w:eastAsia="pt-PT"/>
        </w:rPr>
        <w:t>A gestão</w:t>
      </w:r>
      <w:r w:rsidR="003234AD" w:rsidRPr="00C14940">
        <w:rPr>
          <w:rFonts w:eastAsia="Times New Roman" w:cstheme="minorHAnsi"/>
          <w:lang w:eastAsia="pt-PT"/>
        </w:rPr>
        <w:t xml:space="preserve"> da anticoagulação é o mesmo da eletro-cardioversão, e o risco de eventos trombóticos é maior quando a fibrilação auricular dura mais de 48 horas.</w:t>
      </w:r>
    </w:p>
    <w:p w14:paraId="04B0659E" w14:textId="60E73279" w:rsidR="00F01EFB" w:rsidRDefault="00F01EFB" w:rsidP="00F01EFB">
      <w:pPr>
        <w:ind w:left="142"/>
        <w:rPr>
          <w:rFonts w:ascii="Times New Roman" w:eastAsia="Times New Roman" w:hAnsi="Times New Roman" w:cs="Times New Roman"/>
          <w:lang w:eastAsia="pt-PT"/>
        </w:rPr>
      </w:pPr>
    </w:p>
    <w:p w14:paraId="62BB5BCF" w14:textId="77777777" w:rsidR="0034363F" w:rsidRDefault="002B716F" w:rsidP="00C14940">
      <w:pPr>
        <w:pStyle w:val="ListParagraph"/>
        <w:numPr>
          <w:ilvl w:val="0"/>
          <w:numId w:val="1"/>
        </w:numPr>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p w14:paraId="23246904" w14:textId="3F8EC228" w:rsidR="002B716F" w:rsidRDefault="002B716F" w:rsidP="0034363F">
      <w:pPr>
        <w:pStyle w:val="ListParagraph"/>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tbl>
      <w:tblPr>
        <w:tblStyle w:val="TableGridLight"/>
        <w:tblW w:w="9209" w:type="dxa"/>
        <w:tblLook w:val="04A0" w:firstRow="1" w:lastRow="0" w:firstColumn="1" w:lastColumn="0" w:noHBand="0" w:noVBand="1"/>
      </w:tblPr>
      <w:tblGrid>
        <w:gridCol w:w="2135"/>
        <w:gridCol w:w="3808"/>
        <w:gridCol w:w="1423"/>
        <w:gridCol w:w="1843"/>
      </w:tblGrid>
      <w:tr w:rsidR="002B716F" w:rsidRPr="00D84555" w14:paraId="44805966" w14:textId="77777777" w:rsidTr="004C7749">
        <w:trPr>
          <w:trHeight w:val="337"/>
        </w:trPr>
        <w:tc>
          <w:tcPr>
            <w:tcW w:w="2135" w:type="dxa"/>
            <w:vAlign w:val="center"/>
          </w:tcPr>
          <w:p w14:paraId="115CCCD4" w14:textId="77777777" w:rsidR="002B716F" w:rsidRPr="00D84555" w:rsidRDefault="002B716F"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Flecainida</w:t>
            </w:r>
            <w:proofErr w:type="spellEnd"/>
          </w:p>
        </w:tc>
        <w:tc>
          <w:tcPr>
            <w:tcW w:w="3808" w:type="dxa"/>
            <w:vAlign w:val="center"/>
          </w:tcPr>
          <w:p w14:paraId="302A8B5A" w14:textId="77777777" w:rsidR="002B716F" w:rsidRPr="00934079" w:rsidRDefault="002B716F"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 xml:space="preserve">Maior taxa de efeitos adversos, especialmente em idosos. Os dados sugerem que, para a maioria dos idosos, </w:t>
            </w:r>
            <w:r w:rsidRPr="00934079">
              <w:rPr>
                <w:rFonts w:ascii="Times New Roman" w:hAnsi="Times New Roman" w:cs="Times New Roman"/>
                <w:sz w:val="18"/>
                <w:szCs w:val="18"/>
                <w:highlight w:val="yellow"/>
                <w:lang w:val="pt-PT"/>
              </w:rPr>
              <w:t>o controlo de taxas</w:t>
            </w:r>
            <w:r w:rsidRPr="00934079">
              <w:rPr>
                <w:rFonts w:ascii="Times New Roman" w:hAnsi="Times New Roman" w:cs="Times New Roman"/>
                <w:sz w:val="18"/>
                <w:szCs w:val="18"/>
                <w:lang w:val="pt-PT"/>
              </w:rPr>
              <w:t xml:space="preserve"> produz um melhor equilíbrio de benefícios e danos do que o controlo do ritmo.</w:t>
            </w:r>
          </w:p>
        </w:tc>
        <w:tc>
          <w:tcPr>
            <w:tcW w:w="1423" w:type="dxa"/>
            <w:vAlign w:val="center"/>
          </w:tcPr>
          <w:p w14:paraId="6B30C739" w14:textId="77777777" w:rsidR="002B716F" w:rsidRPr="00934079" w:rsidRDefault="002B716F"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Ajustar a dose em casos de insuficiência renal.</w:t>
            </w:r>
          </w:p>
        </w:tc>
        <w:tc>
          <w:tcPr>
            <w:tcW w:w="1843" w:type="dxa"/>
            <w:vAlign w:val="center"/>
          </w:tcPr>
          <w:p w14:paraId="4957B324" w14:textId="77777777" w:rsidR="002B716F" w:rsidRPr="00934079" w:rsidRDefault="002B716F"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 xml:space="preserve">Bloqueadores </w:t>
            </w:r>
            <w:r w:rsidRPr="00D84555">
              <w:rPr>
                <w:rFonts w:ascii="Times New Roman" w:hAnsi="Times New Roman" w:cs="Times New Roman"/>
                <w:sz w:val="18"/>
                <w:szCs w:val="18"/>
              </w:rPr>
              <w:t>β</w:t>
            </w:r>
            <w:r w:rsidRPr="00934079">
              <w:rPr>
                <w:rFonts w:ascii="Times New Roman" w:hAnsi="Times New Roman" w:cs="Times New Roman"/>
                <w:sz w:val="18"/>
                <w:szCs w:val="18"/>
                <w:lang w:val="pt-PT"/>
              </w:rPr>
              <w:t xml:space="preserve"> (exceto propranolol, sotalol, labetalol).</w:t>
            </w:r>
          </w:p>
        </w:tc>
      </w:tr>
    </w:tbl>
    <w:p w14:paraId="13027CF6" w14:textId="77777777" w:rsidR="002B716F" w:rsidRDefault="002B716F" w:rsidP="002B716F">
      <w:pPr>
        <w:rPr>
          <w:rFonts w:ascii="Times New Roman" w:eastAsia="Times New Roman" w:hAnsi="Times New Roman" w:cs="Times New Roman"/>
          <w:lang w:eastAsia="pt-PT"/>
        </w:rPr>
      </w:pPr>
    </w:p>
    <w:p w14:paraId="6180A5E8" w14:textId="77777777" w:rsidR="002B716F" w:rsidRDefault="002B716F" w:rsidP="002B716F">
      <w:pPr>
        <w:rPr>
          <w:rFonts w:ascii="Times New Roman" w:eastAsia="Times New Roman" w:hAnsi="Times New Roman" w:cs="Times New Roman"/>
          <w:lang w:eastAsia="pt-PT"/>
        </w:rPr>
      </w:pPr>
      <w:r w:rsidRPr="00617094">
        <w:rPr>
          <w:rFonts w:ascii="Times New Roman" w:eastAsia="Times New Roman" w:hAnsi="Times New Roman" w:cs="Times New Roman"/>
          <w:b/>
          <w:bCs/>
          <w:lang w:eastAsia="pt-PT"/>
        </w:rPr>
        <w:t>Comentário 15:</w:t>
      </w:r>
      <w:r>
        <w:rPr>
          <w:rFonts w:ascii="Times New Roman" w:eastAsia="Times New Roman" w:hAnsi="Times New Roman" w:cs="Times New Roman"/>
          <w:lang w:eastAsia="pt-PT"/>
        </w:rPr>
        <w:t xml:space="preserve"> Quando indicada a taxa refere-e a FC?</w:t>
      </w:r>
    </w:p>
    <w:p w14:paraId="1F69AC7F" w14:textId="44769399" w:rsidR="002B716F" w:rsidRPr="000801C3" w:rsidRDefault="000801C3" w:rsidP="002B716F">
      <w:pPr>
        <w:rPr>
          <w:rFonts w:ascii="Times New Roman" w:eastAsia="Times New Roman" w:hAnsi="Times New Roman" w:cs="Times New Roman"/>
          <w:b/>
          <w:bCs/>
          <w:lang w:eastAsia="pt-PT"/>
        </w:rPr>
      </w:pPr>
      <w:r w:rsidRPr="000801C3">
        <w:rPr>
          <w:rFonts w:ascii="Times New Roman" w:eastAsia="Times New Roman" w:hAnsi="Times New Roman" w:cs="Times New Roman"/>
          <w:b/>
          <w:bCs/>
          <w:lang w:eastAsia="pt-PT"/>
        </w:rPr>
        <w:t>Resposta ao Comentário 15:</w:t>
      </w:r>
    </w:p>
    <w:p w14:paraId="2A3F54BF" w14:textId="77777777" w:rsidR="00C14940" w:rsidRPr="00C14940" w:rsidRDefault="000801C3" w:rsidP="00C14940">
      <w:pPr>
        <w:rPr>
          <w:rFonts w:eastAsia="Times New Roman" w:cstheme="minorHAnsi"/>
          <w:lang w:eastAsia="pt-PT"/>
        </w:rPr>
      </w:pPr>
      <w:r w:rsidRPr="00C14940">
        <w:rPr>
          <w:rFonts w:eastAsia="Times New Roman" w:cstheme="minorHAnsi"/>
          <w:lang w:eastAsia="pt-PT"/>
        </w:rPr>
        <w:t xml:space="preserve">Os autores agradecem o alerta para esta imprecisão. </w:t>
      </w:r>
      <w:r w:rsidR="00C14940" w:rsidRPr="00C14940">
        <w:rPr>
          <w:rFonts w:eastAsia="Times New Roman" w:cstheme="minorHAnsi"/>
          <w:lang w:eastAsia="pt-PT"/>
        </w:rPr>
        <w:t>Foi feita alteração na tabela revista.</w:t>
      </w:r>
    </w:p>
    <w:p w14:paraId="3519D4B3" w14:textId="77777777" w:rsidR="0034363F" w:rsidRDefault="0034363F" w:rsidP="0034363F">
      <w:pPr>
        <w:pStyle w:val="ListParagraph"/>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tbl>
      <w:tblPr>
        <w:tblStyle w:val="TableGridLight"/>
        <w:tblW w:w="9209" w:type="dxa"/>
        <w:tblLook w:val="04A0" w:firstRow="1" w:lastRow="0" w:firstColumn="1" w:lastColumn="0" w:noHBand="0" w:noVBand="1"/>
      </w:tblPr>
      <w:tblGrid>
        <w:gridCol w:w="2135"/>
        <w:gridCol w:w="3808"/>
        <w:gridCol w:w="1423"/>
        <w:gridCol w:w="1843"/>
      </w:tblGrid>
      <w:tr w:rsidR="0034363F" w:rsidRPr="00D84555" w14:paraId="1332A73C" w14:textId="77777777" w:rsidTr="00DA6D0A">
        <w:trPr>
          <w:trHeight w:val="337"/>
        </w:trPr>
        <w:tc>
          <w:tcPr>
            <w:tcW w:w="2135" w:type="dxa"/>
            <w:vAlign w:val="center"/>
          </w:tcPr>
          <w:p w14:paraId="3B0198F7" w14:textId="77777777" w:rsidR="0034363F" w:rsidRPr="00D84555" w:rsidRDefault="0034363F" w:rsidP="00DA6D0A">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Flecainida</w:t>
            </w:r>
            <w:proofErr w:type="spellEnd"/>
          </w:p>
        </w:tc>
        <w:tc>
          <w:tcPr>
            <w:tcW w:w="3808" w:type="dxa"/>
            <w:vAlign w:val="center"/>
          </w:tcPr>
          <w:p w14:paraId="47560F93" w14:textId="2709A671" w:rsidR="0034363F" w:rsidRPr="00934079" w:rsidRDefault="0034363F" w:rsidP="00DA6D0A">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 xml:space="preserve">Maior taxa de efeitos adversos, especialmente em idosos. Os dados sugerem que, para a maioria dos </w:t>
            </w:r>
            <w:r w:rsidRPr="0034363F">
              <w:rPr>
                <w:rFonts w:ascii="Times New Roman" w:hAnsi="Times New Roman" w:cs="Times New Roman"/>
                <w:sz w:val="18"/>
                <w:szCs w:val="18"/>
                <w:lang w:val="pt-PT"/>
              </w:rPr>
              <w:t xml:space="preserve">idosos, o </w:t>
            </w:r>
            <w:r w:rsidRPr="00571A19">
              <w:rPr>
                <w:rFonts w:ascii="Times New Roman" w:hAnsi="Times New Roman" w:cs="Times New Roman"/>
                <w:sz w:val="18"/>
                <w:szCs w:val="18"/>
                <w:highlight w:val="green"/>
                <w:lang w:val="pt-PT"/>
              </w:rPr>
              <w:t>controlo</w:t>
            </w:r>
            <w:r w:rsidRPr="0034363F">
              <w:rPr>
                <w:rFonts w:ascii="Times New Roman" w:hAnsi="Times New Roman" w:cs="Times New Roman"/>
                <w:sz w:val="18"/>
                <w:szCs w:val="18"/>
                <w:lang w:val="pt-PT"/>
              </w:rPr>
              <w:t xml:space="preserve"> </w:t>
            </w:r>
            <w:r w:rsidRPr="0034363F">
              <w:rPr>
                <w:rFonts w:ascii="Times New Roman" w:hAnsi="Times New Roman" w:cs="Times New Roman"/>
                <w:strike/>
                <w:sz w:val="18"/>
                <w:szCs w:val="18"/>
                <w:highlight w:val="green"/>
                <w:lang w:val="pt-PT"/>
              </w:rPr>
              <w:t>de taxas</w:t>
            </w:r>
            <w:r w:rsidRPr="0034363F">
              <w:rPr>
                <w:rFonts w:ascii="Times New Roman" w:hAnsi="Times New Roman" w:cs="Times New Roman"/>
                <w:sz w:val="18"/>
                <w:szCs w:val="18"/>
                <w:highlight w:val="green"/>
                <w:lang w:val="pt-PT"/>
              </w:rPr>
              <w:t xml:space="preserve"> da </w:t>
            </w:r>
            <w:r w:rsidRPr="00571A19">
              <w:rPr>
                <w:rFonts w:ascii="Times New Roman" w:hAnsi="Times New Roman" w:cs="Times New Roman"/>
                <w:sz w:val="18"/>
                <w:szCs w:val="18"/>
                <w:highlight w:val="green"/>
                <w:lang w:val="pt-PT"/>
              </w:rPr>
              <w:t>frequência cardíaca</w:t>
            </w:r>
            <w:r w:rsidRPr="00934079">
              <w:rPr>
                <w:rFonts w:ascii="Times New Roman" w:hAnsi="Times New Roman" w:cs="Times New Roman"/>
                <w:sz w:val="18"/>
                <w:szCs w:val="18"/>
                <w:lang w:val="pt-PT"/>
              </w:rPr>
              <w:t xml:space="preserve"> produz um melhor equilíbrio de benefícios e danos do que o controlo do ritmo.</w:t>
            </w:r>
          </w:p>
        </w:tc>
        <w:tc>
          <w:tcPr>
            <w:tcW w:w="1423" w:type="dxa"/>
            <w:vAlign w:val="center"/>
          </w:tcPr>
          <w:p w14:paraId="4BA05E0E" w14:textId="77777777" w:rsidR="0034363F" w:rsidRPr="00934079" w:rsidRDefault="0034363F" w:rsidP="00DA6D0A">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Ajustar a dose em casos de insuficiência renal.</w:t>
            </w:r>
          </w:p>
        </w:tc>
        <w:tc>
          <w:tcPr>
            <w:tcW w:w="1843" w:type="dxa"/>
            <w:vAlign w:val="center"/>
          </w:tcPr>
          <w:p w14:paraId="62452F40" w14:textId="77777777" w:rsidR="0034363F" w:rsidRPr="00934079" w:rsidRDefault="0034363F" w:rsidP="00DA6D0A">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 xml:space="preserve">Bloqueadores </w:t>
            </w:r>
            <w:r w:rsidRPr="00D84555">
              <w:rPr>
                <w:rFonts w:ascii="Times New Roman" w:hAnsi="Times New Roman" w:cs="Times New Roman"/>
                <w:sz w:val="18"/>
                <w:szCs w:val="18"/>
              </w:rPr>
              <w:t>β</w:t>
            </w:r>
            <w:r w:rsidRPr="00934079">
              <w:rPr>
                <w:rFonts w:ascii="Times New Roman" w:hAnsi="Times New Roman" w:cs="Times New Roman"/>
                <w:sz w:val="18"/>
                <w:szCs w:val="18"/>
                <w:lang w:val="pt-PT"/>
              </w:rPr>
              <w:t xml:space="preserve"> (exceto propranolol, sotalol, labetalol).</w:t>
            </w:r>
          </w:p>
        </w:tc>
      </w:tr>
    </w:tbl>
    <w:p w14:paraId="19465B60" w14:textId="77777777" w:rsidR="0034363F" w:rsidRDefault="0034363F" w:rsidP="0034363F">
      <w:pPr>
        <w:rPr>
          <w:rFonts w:ascii="Times New Roman" w:eastAsia="Times New Roman" w:hAnsi="Times New Roman" w:cs="Times New Roman"/>
          <w:lang w:eastAsia="pt-PT"/>
        </w:rPr>
      </w:pPr>
    </w:p>
    <w:p w14:paraId="11BAF93D" w14:textId="5AA2ECF7" w:rsidR="005D57A9" w:rsidRDefault="005D57A9" w:rsidP="002B716F">
      <w:pPr>
        <w:rPr>
          <w:rFonts w:ascii="Times New Roman" w:eastAsia="Times New Roman" w:hAnsi="Times New Roman" w:cs="Times New Roman"/>
          <w:lang w:eastAsia="pt-PT"/>
        </w:rPr>
      </w:pPr>
    </w:p>
    <w:p w14:paraId="340B373D" w14:textId="235EA821" w:rsidR="002B716F" w:rsidRDefault="002B716F" w:rsidP="00C14940">
      <w:pPr>
        <w:pStyle w:val="ListParagraph"/>
        <w:numPr>
          <w:ilvl w:val="0"/>
          <w:numId w:val="1"/>
        </w:numPr>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p w14:paraId="62750EB0" w14:textId="77777777" w:rsidR="002B716F" w:rsidRDefault="002B716F" w:rsidP="002B716F">
      <w:pPr>
        <w:rPr>
          <w:rFonts w:ascii="Times New Roman" w:eastAsia="Times New Roman" w:hAnsi="Times New Roman" w:cs="Times New Roman"/>
          <w:lang w:eastAsia="pt-PT"/>
        </w:rPr>
      </w:pPr>
    </w:p>
    <w:tbl>
      <w:tblPr>
        <w:tblStyle w:val="TableGridLight"/>
        <w:tblW w:w="9351" w:type="dxa"/>
        <w:tblLook w:val="04A0" w:firstRow="1" w:lastRow="0" w:firstColumn="1" w:lastColumn="0" w:noHBand="0" w:noVBand="1"/>
      </w:tblPr>
      <w:tblGrid>
        <w:gridCol w:w="1095"/>
        <w:gridCol w:w="1971"/>
        <w:gridCol w:w="3517"/>
        <w:gridCol w:w="1492"/>
        <w:gridCol w:w="1276"/>
      </w:tblGrid>
      <w:tr w:rsidR="002B716F" w:rsidRPr="00D84555" w14:paraId="1F1E062A" w14:textId="77777777" w:rsidTr="004C7749">
        <w:trPr>
          <w:trHeight w:val="337"/>
        </w:trPr>
        <w:tc>
          <w:tcPr>
            <w:tcW w:w="1095" w:type="dxa"/>
            <w:vAlign w:val="center"/>
          </w:tcPr>
          <w:p w14:paraId="3FC168A7" w14:textId="77777777" w:rsidR="002B716F" w:rsidRPr="00D84555" w:rsidRDefault="002B716F"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C01BD01</w:t>
            </w:r>
          </w:p>
        </w:tc>
        <w:tc>
          <w:tcPr>
            <w:tcW w:w="1971" w:type="dxa"/>
            <w:vAlign w:val="center"/>
          </w:tcPr>
          <w:p w14:paraId="79D8AC07" w14:textId="77777777" w:rsidR="002B716F" w:rsidRPr="00D84555" w:rsidRDefault="002B716F"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Amiodarona</w:t>
            </w:r>
            <w:proofErr w:type="spellEnd"/>
          </w:p>
        </w:tc>
        <w:tc>
          <w:tcPr>
            <w:tcW w:w="3517" w:type="dxa"/>
            <w:vAlign w:val="center"/>
          </w:tcPr>
          <w:p w14:paraId="084C6ED3" w14:textId="77777777" w:rsidR="002B716F" w:rsidRPr="00934079" w:rsidRDefault="002B716F"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 xml:space="preserve">Associado </w:t>
            </w:r>
            <w:r w:rsidRPr="00934079">
              <w:rPr>
                <w:rFonts w:ascii="Times New Roman" w:hAnsi="Times New Roman" w:cs="Times New Roman"/>
                <w:sz w:val="18"/>
                <w:szCs w:val="18"/>
                <w:highlight w:val="yellow"/>
                <w:lang w:val="pt-PT"/>
              </w:rPr>
              <w:t>a problemas</w:t>
            </w:r>
            <w:r w:rsidRPr="00934079">
              <w:rPr>
                <w:rFonts w:ascii="Times New Roman" w:hAnsi="Times New Roman" w:cs="Times New Roman"/>
                <w:sz w:val="18"/>
                <w:szCs w:val="18"/>
                <w:lang w:val="pt-PT"/>
              </w:rPr>
              <w:t xml:space="preserve"> no intervalo QT e risco de provocar "</w:t>
            </w:r>
            <w:r w:rsidRPr="00934079">
              <w:rPr>
                <w:rFonts w:ascii="Times New Roman" w:hAnsi="Times New Roman" w:cs="Times New Roman"/>
                <w:i/>
                <w:sz w:val="18"/>
                <w:szCs w:val="18"/>
                <w:lang w:val="pt-PT"/>
              </w:rPr>
              <w:t>torsades de pointes</w:t>
            </w:r>
            <w:r w:rsidRPr="00934079">
              <w:rPr>
                <w:rFonts w:ascii="Times New Roman" w:hAnsi="Times New Roman" w:cs="Times New Roman"/>
                <w:sz w:val="18"/>
                <w:szCs w:val="18"/>
                <w:lang w:val="pt-PT"/>
              </w:rPr>
              <w:t xml:space="preserve">". Os dados sugerem que, para a maioria dos idosos, o </w:t>
            </w:r>
            <w:r w:rsidRPr="00934079">
              <w:rPr>
                <w:rFonts w:ascii="Times New Roman" w:hAnsi="Times New Roman" w:cs="Times New Roman"/>
                <w:sz w:val="18"/>
                <w:szCs w:val="18"/>
                <w:highlight w:val="yellow"/>
                <w:lang w:val="pt-PT"/>
              </w:rPr>
              <w:t>controlo de taxas</w:t>
            </w:r>
            <w:r w:rsidRPr="00934079">
              <w:rPr>
                <w:rFonts w:ascii="Times New Roman" w:hAnsi="Times New Roman" w:cs="Times New Roman"/>
                <w:sz w:val="18"/>
                <w:szCs w:val="18"/>
                <w:lang w:val="pt-PT"/>
              </w:rPr>
              <w:t xml:space="preserve"> produz um melhor equilíbrio de benefícios e danos do que o controlo do ritmo.</w:t>
            </w:r>
          </w:p>
        </w:tc>
        <w:tc>
          <w:tcPr>
            <w:tcW w:w="1492" w:type="dxa"/>
            <w:vAlign w:val="center"/>
          </w:tcPr>
          <w:p w14:paraId="774445E1" w14:textId="77777777" w:rsidR="002B716F" w:rsidRPr="00934079" w:rsidRDefault="002B716F"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highlight w:val="yellow"/>
                <w:lang w:val="pt-PT"/>
              </w:rPr>
              <w:t>Começar a dose na extremidade inferior do intervalo de dosagem.</w:t>
            </w:r>
          </w:p>
          <w:p w14:paraId="1139AF8B" w14:textId="77777777" w:rsidR="002B716F" w:rsidRPr="00934079" w:rsidRDefault="002B716F"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Usar uma dose de manutenção mais baixa, p.ex. 200 mg/48 h.</w:t>
            </w:r>
          </w:p>
        </w:tc>
        <w:tc>
          <w:tcPr>
            <w:tcW w:w="1276" w:type="dxa"/>
            <w:vAlign w:val="center"/>
          </w:tcPr>
          <w:p w14:paraId="6D102310" w14:textId="77777777" w:rsidR="002B716F" w:rsidRPr="00934079" w:rsidRDefault="002B716F" w:rsidP="004C7749">
            <w:pPr>
              <w:spacing w:line="276" w:lineRule="auto"/>
              <w:jc w:val="both"/>
              <w:rPr>
                <w:rFonts w:ascii="Times New Roman" w:hAnsi="Times New Roman" w:cs="Times New Roman"/>
                <w:sz w:val="18"/>
                <w:szCs w:val="18"/>
                <w:lang w:val="pt-PT"/>
              </w:rPr>
            </w:pPr>
          </w:p>
        </w:tc>
      </w:tr>
    </w:tbl>
    <w:p w14:paraId="5DDF3BB8" w14:textId="77777777" w:rsidR="002B716F" w:rsidRDefault="002B716F" w:rsidP="002B716F">
      <w:pPr>
        <w:rPr>
          <w:rFonts w:ascii="Times New Roman" w:eastAsia="Times New Roman" w:hAnsi="Times New Roman" w:cs="Times New Roman"/>
          <w:lang w:eastAsia="pt-PT"/>
        </w:rPr>
      </w:pPr>
    </w:p>
    <w:p w14:paraId="5802E01A" w14:textId="77777777" w:rsidR="002B716F" w:rsidRDefault="002B716F" w:rsidP="002B716F">
      <w:pPr>
        <w:rPr>
          <w:rFonts w:ascii="Times New Roman" w:eastAsia="Times New Roman" w:hAnsi="Times New Roman" w:cs="Times New Roman"/>
          <w:lang w:eastAsia="pt-PT"/>
        </w:rPr>
      </w:pPr>
      <w:r w:rsidRPr="00617094">
        <w:rPr>
          <w:rFonts w:ascii="Times New Roman" w:eastAsia="Times New Roman" w:hAnsi="Times New Roman" w:cs="Times New Roman"/>
          <w:b/>
          <w:bCs/>
          <w:lang w:eastAsia="pt-PT"/>
        </w:rPr>
        <w:t>Comentário 16:</w:t>
      </w:r>
      <w:r>
        <w:rPr>
          <w:rFonts w:ascii="Times New Roman" w:eastAsia="Times New Roman" w:hAnsi="Times New Roman" w:cs="Times New Roman"/>
          <w:lang w:eastAsia="pt-PT"/>
        </w:rPr>
        <w:t xml:space="preserve"> Quando indicam problemas... ser mais preciso... aumento do intervalo QT. Novamente </w:t>
      </w:r>
      <w:r w:rsidRPr="00934079">
        <w:rPr>
          <w:rFonts w:ascii="Times New Roman" w:eastAsia="Times New Roman" w:hAnsi="Times New Roman" w:cs="Times New Roman"/>
          <w:highlight w:val="yellow"/>
          <w:lang w:eastAsia="pt-PT"/>
        </w:rPr>
        <w:t>controlo de taxas</w:t>
      </w:r>
      <w:r>
        <w:rPr>
          <w:rFonts w:ascii="Times New Roman" w:eastAsia="Times New Roman" w:hAnsi="Times New Roman" w:cs="Times New Roman"/>
          <w:lang w:eastAsia="pt-PT"/>
        </w:rPr>
        <w:t>.</w:t>
      </w:r>
    </w:p>
    <w:p w14:paraId="015C329F" w14:textId="77777777" w:rsidR="002B716F" w:rsidRDefault="002B716F" w:rsidP="002B716F">
      <w:pPr>
        <w:rPr>
          <w:rFonts w:ascii="Times New Roman" w:eastAsia="Times New Roman" w:hAnsi="Times New Roman" w:cs="Times New Roman"/>
          <w:lang w:eastAsia="pt-PT"/>
        </w:rPr>
      </w:pPr>
      <w:r>
        <w:rPr>
          <w:rFonts w:ascii="Times New Roman" w:eastAsia="Times New Roman" w:hAnsi="Times New Roman" w:cs="Times New Roman"/>
          <w:lang w:eastAsia="pt-PT"/>
        </w:rPr>
        <w:t>Qual dose a iniciar... em vez extremidade inferior...pouco preciso.</w:t>
      </w:r>
    </w:p>
    <w:p w14:paraId="490EA3D3" w14:textId="23DAE6BC" w:rsidR="002B716F" w:rsidRDefault="000801C3" w:rsidP="002B716F">
      <w:pPr>
        <w:rPr>
          <w:rFonts w:ascii="Times New Roman" w:eastAsia="Times New Roman" w:hAnsi="Times New Roman" w:cs="Times New Roman"/>
          <w:b/>
          <w:bCs/>
          <w:lang w:eastAsia="pt-PT"/>
        </w:rPr>
      </w:pPr>
      <w:r w:rsidRPr="000801C3">
        <w:rPr>
          <w:rFonts w:ascii="Times New Roman" w:eastAsia="Times New Roman" w:hAnsi="Times New Roman" w:cs="Times New Roman"/>
          <w:b/>
          <w:bCs/>
          <w:lang w:eastAsia="pt-PT"/>
        </w:rPr>
        <w:t>Respo</w:t>
      </w:r>
      <w:r>
        <w:rPr>
          <w:rFonts w:ascii="Times New Roman" w:eastAsia="Times New Roman" w:hAnsi="Times New Roman" w:cs="Times New Roman"/>
          <w:b/>
          <w:bCs/>
          <w:lang w:eastAsia="pt-PT"/>
        </w:rPr>
        <w:t>sta</w:t>
      </w:r>
      <w:r w:rsidRPr="000801C3">
        <w:rPr>
          <w:rFonts w:ascii="Times New Roman" w:eastAsia="Times New Roman" w:hAnsi="Times New Roman" w:cs="Times New Roman"/>
          <w:b/>
          <w:bCs/>
          <w:lang w:eastAsia="pt-PT"/>
        </w:rPr>
        <w:t xml:space="preserve"> ao Comentário 16:</w:t>
      </w:r>
    </w:p>
    <w:p w14:paraId="22C8A56A" w14:textId="589B2BB2" w:rsidR="00982FFE" w:rsidRPr="0034363F" w:rsidRDefault="00982FFE" w:rsidP="002B716F">
      <w:pPr>
        <w:rPr>
          <w:rFonts w:eastAsia="Times New Roman" w:cstheme="minorHAnsi"/>
          <w:lang w:eastAsia="pt-PT"/>
        </w:rPr>
      </w:pPr>
      <w:r w:rsidRPr="0034363F">
        <w:rPr>
          <w:rFonts w:eastAsia="Times New Roman" w:cstheme="minorHAnsi"/>
          <w:lang w:eastAsia="pt-PT"/>
        </w:rPr>
        <w:lastRenderedPageBreak/>
        <w:t xml:space="preserve">Controlo das </w:t>
      </w:r>
      <w:r w:rsidR="00493952">
        <w:rPr>
          <w:rFonts w:eastAsia="Times New Roman" w:cstheme="minorHAnsi"/>
          <w:lang w:eastAsia="pt-PT"/>
        </w:rPr>
        <w:t>“</w:t>
      </w:r>
      <w:r w:rsidRPr="0034363F">
        <w:rPr>
          <w:rFonts w:eastAsia="Times New Roman" w:cstheme="minorHAnsi"/>
          <w:lang w:eastAsia="pt-PT"/>
        </w:rPr>
        <w:t>taxas</w:t>
      </w:r>
      <w:r w:rsidR="00493952">
        <w:rPr>
          <w:rFonts w:eastAsia="Times New Roman" w:cstheme="minorHAnsi"/>
          <w:lang w:eastAsia="pt-PT"/>
        </w:rPr>
        <w:t>”</w:t>
      </w:r>
      <w:r w:rsidRPr="0034363F">
        <w:rPr>
          <w:rFonts w:eastAsia="Times New Roman" w:cstheme="minorHAnsi"/>
          <w:lang w:eastAsia="pt-PT"/>
        </w:rPr>
        <w:t xml:space="preserve"> substituído por controlo da </w:t>
      </w:r>
      <w:r w:rsidR="00493952">
        <w:rPr>
          <w:rFonts w:eastAsia="Times New Roman" w:cstheme="minorHAnsi"/>
          <w:lang w:eastAsia="pt-PT"/>
        </w:rPr>
        <w:t>“</w:t>
      </w:r>
      <w:r w:rsidRPr="0034363F">
        <w:rPr>
          <w:rFonts w:eastAsia="Times New Roman" w:cstheme="minorHAnsi"/>
          <w:lang w:eastAsia="pt-PT"/>
        </w:rPr>
        <w:t>frequência cardíaca.</w:t>
      </w:r>
      <w:r w:rsidR="00493952">
        <w:rPr>
          <w:rFonts w:eastAsia="Times New Roman" w:cstheme="minorHAnsi"/>
          <w:lang w:eastAsia="pt-PT"/>
        </w:rPr>
        <w:t>”</w:t>
      </w:r>
    </w:p>
    <w:p w14:paraId="3A7E09D7" w14:textId="10F7BC1B" w:rsidR="000801C3" w:rsidRPr="0034363F" w:rsidRDefault="000801C3" w:rsidP="002B716F">
      <w:pPr>
        <w:rPr>
          <w:rFonts w:eastAsia="Times New Roman" w:cstheme="minorHAnsi"/>
          <w:lang w:eastAsia="pt-PT"/>
        </w:rPr>
      </w:pPr>
      <w:r w:rsidRPr="0034363F">
        <w:rPr>
          <w:rFonts w:eastAsia="Times New Roman" w:cstheme="minorHAnsi"/>
          <w:lang w:eastAsia="pt-PT"/>
        </w:rPr>
        <w:t>Os autores concordam que fica mais claro identificar: “associado a problemas com o prolongamento do intervalo QT</w:t>
      </w:r>
      <w:r w:rsidR="00C14940" w:rsidRPr="0034363F">
        <w:rPr>
          <w:rFonts w:eastAsia="Times New Roman" w:cstheme="minorHAnsi"/>
          <w:lang w:eastAsia="pt-PT"/>
        </w:rPr>
        <w:t xml:space="preserve"> </w:t>
      </w:r>
      <w:r w:rsidRPr="0034363F">
        <w:rPr>
          <w:rFonts w:eastAsia="Times New Roman" w:cstheme="minorHAnsi"/>
          <w:lang w:eastAsia="pt-PT"/>
        </w:rPr>
        <w:t>e o risco de arritmias de “</w:t>
      </w:r>
      <w:r w:rsidRPr="0034363F">
        <w:rPr>
          <w:rFonts w:eastAsia="Times New Roman" w:cstheme="minorHAnsi"/>
          <w:i/>
          <w:iCs/>
          <w:lang w:eastAsia="pt-PT"/>
        </w:rPr>
        <w:t>torsades pointes”</w:t>
      </w:r>
    </w:p>
    <w:p w14:paraId="697B954F" w14:textId="4D1117C9" w:rsidR="000801C3" w:rsidRPr="008A184F" w:rsidRDefault="000801C3" w:rsidP="002B716F">
      <w:pPr>
        <w:rPr>
          <w:rFonts w:cstheme="minorHAnsi"/>
          <w:lang w:val="pt-BR"/>
        </w:rPr>
      </w:pPr>
      <w:r w:rsidRPr="008A184F">
        <w:rPr>
          <w:rFonts w:cstheme="minorHAnsi"/>
          <w:lang w:val="pt-BR"/>
        </w:rPr>
        <w:t>Iniciar com a dose mais baixa do interval de dosagens, isto é 200 mg</w:t>
      </w:r>
      <w:r w:rsidR="00982FFE" w:rsidRPr="008A184F">
        <w:rPr>
          <w:rFonts w:cstheme="minorHAnsi"/>
          <w:lang w:val="pt-BR"/>
        </w:rPr>
        <w:t>/dia</w:t>
      </w:r>
    </w:p>
    <w:p w14:paraId="23CA5AD4" w14:textId="41650D11" w:rsidR="00C14940" w:rsidRPr="008A184F" w:rsidRDefault="0034363F" w:rsidP="002B716F">
      <w:pPr>
        <w:rPr>
          <w:rFonts w:cstheme="minorHAnsi"/>
          <w:lang w:val="pt-BR"/>
        </w:rPr>
      </w:pPr>
      <w:r w:rsidRPr="008A184F">
        <w:rPr>
          <w:rFonts w:cstheme="minorHAnsi"/>
          <w:lang w:val="pt-BR"/>
        </w:rPr>
        <w:t xml:space="preserve">Foi feita </w:t>
      </w:r>
      <w:r w:rsidR="00493952">
        <w:rPr>
          <w:rFonts w:cstheme="minorHAnsi"/>
          <w:lang w:val="pt-BR"/>
        </w:rPr>
        <w:t xml:space="preserve">a seguinte </w:t>
      </w:r>
      <w:r w:rsidRPr="008A184F">
        <w:rPr>
          <w:rFonts w:cstheme="minorHAnsi"/>
          <w:lang w:val="pt-BR"/>
        </w:rPr>
        <w:t>alteração na tabela do apêndice:</w:t>
      </w:r>
    </w:p>
    <w:p w14:paraId="1B690C75" w14:textId="77777777" w:rsidR="0034363F" w:rsidRDefault="0034363F" w:rsidP="0034363F">
      <w:pPr>
        <w:rPr>
          <w:rFonts w:ascii="Times New Roman" w:eastAsia="Times New Roman" w:hAnsi="Times New Roman" w:cs="Times New Roman"/>
          <w:lang w:eastAsia="pt-PT"/>
        </w:rPr>
      </w:pPr>
    </w:p>
    <w:tbl>
      <w:tblPr>
        <w:tblStyle w:val="TableGridLight"/>
        <w:tblW w:w="9351" w:type="dxa"/>
        <w:tblLook w:val="04A0" w:firstRow="1" w:lastRow="0" w:firstColumn="1" w:lastColumn="0" w:noHBand="0" w:noVBand="1"/>
      </w:tblPr>
      <w:tblGrid>
        <w:gridCol w:w="1095"/>
        <w:gridCol w:w="1971"/>
        <w:gridCol w:w="3025"/>
        <w:gridCol w:w="2268"/>
        <w:gridCol w:w="992"/>
      </w:tblGrid>
      <w:tr w:rsidR="0034363F" w:rsidRPr="00D84555" w14:paraId="2A12289C" w14:textId="77777777" w:rsidTr="0034363F">
        <w:trPr>
          <w:trHeight w:val="337"/>
        </w:trPr>
        <w:tc>
          <w:tcPr>
            <w:tcW w:w="1095" w:type="dxa"/>
            <w:vAlign w:val="center"/>
          </w:tcPr>
          <w:p w14:paraId="280F9C2D" w14:textId="77777777" w:rsidR="0034363F" w:rsidRPr="00D84555" w:rsidRDefault="0034363F" w:rsidP="00DA6D0A">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C01BD01</w:t>
            </w:r>
          </w:p>
        </w:tc>
        <w:tc>
          <w:tcPr>
            <w:tcW w:w="1971" w:type="dxa"/>
            <w:vAlign w:val="center"/>
          </w:tcPr>
          <w:p w14:paraId="79E7429C" w14:textId="77777777" w:rsidR="0034363F" w:rsidRPr="00D84555" w:rsidRDefault="0034363F" w:rsidP="00DA6D0A">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Amiodarona</w:t>
            </w:r>
            <w:proofErr w:type="spellEnd"/>
          </w:p>
        </w:tc>
        <w:tc>
          <w:tcPr>
            <w:tcW w:w="3025" w:type="dxa"/>
            <w:vAlign w:val="center"/>
          </w:tcPr>
          <w:p w14:paraId="37F359D3" w14:textId="079EB820" w:rsidR="0034363F" w:rsidRPr="00934079" w:rsidRDefault="0034363F" w:rsidP="00DA6D0A">
            <w:pPr>
              <w:spacing w:line="276" w:lineRule="auto"/>
              <w:jc w:val="both"/>
              <w:rPr>
                <w:rFonts w:ascii="Times New Roman" w:hAnsi="Times New Roman" w:cs="Times New Roman"/>
                <w:sz w:val="18"/>
                <w:szCs w:val="18"/>
                <w:lang w:val="pt-PT"/>
              </w:rPr>
            </w:pPr>
            <w:r w:rsidRPr="0034363F">
              <w:rPr>
                <w:rFonts w:ascii="Times New Roman" w:hAnsi="Times New Roman" w:cs="Times New Roman"/>
                <w:sz w:val="18"/>
                <w:szCs w:val="18"/>
                <w:lang w:val="pt-PT"/>
              </w:rPr>
              <w:t>Associado a problemas</w:t>
            </w:r>
            <w:r w:rsidRPr="00934079">
              <w:rPr>
                <w:rFonts w:ascii="Times New Roman" w:hAnsi="Times New Roman" w:cs="Times New Roman"/>
                <w:sz w:val="18"/>
                <w:szCs w:val="18"/>
                <w:lang w:val="pt-PT"/>
              </w:rPr>
              <w:t xml:space="preserve"> </w:t>
            </w:r>
            <w:r w:rsidRPr="0034363F">
              <w:rPr>
                <w:rFonts w:ascii="Times New Roman" w:hAnsi="Times New Roman" w:cs="Times New Roman"/>
                <w:sz w:val="18"/>
                <w:szCs w:val="18"/>
                <w:highlight w:val="green"/>
                <w:lang w:val="pt-PT"/>
              </w:rPr>
              <w:t>com o prolongamento do intervalo QT</w:t>
            </w:r>
            <w:r w:rsidRPr="00934079">
              <w:rPr>
                <w:rFonts w:ascii="Times New Roman" w:hAnsi="Times New Roman" w:cs="Times New Roman"/>
                <w:sz w:val="18"/>
                <w:szCs w:val="18"/>
                <w:lang w:val="pt-PT"/>
              </w:rPr>
              <w:t xml:space="preserve"> e risco de provocar "</w:t>
            </w:r>
            <w:r w:rsidRPr="00934079">
              <w:rPr>
                <w:rFonts w:ascii="Times New Roman" w:hAnsi="Times New Roman" w:cs="Times New Roman"/>
                <w:i/>
                <w:sz w:val="18"/>
                <w:szCs w:val="18"/>
                <w:lang w:val="pt-PT"/>
              </w:rPr>
              <w:t>torsades de pointes</w:t>
            </w:r>
            <w:r w:rsidRPr="00934079">
              <w:rPr>
                <w:rFonts w:ascii="Times New Roman" w:hAnsi="Times New Roman" w:cs="Times New Roman"/>
                <w:sz w:val="18"/>
                <w:szCs w:val="18"/>
                <w:lang w:val="pt-PT"/>
              </w:rPr>
              <w:t xml:space="preserve">". Os dados sugerem que, para a maioria dos idosos, o </w:t>
            </w:r>
            <w:r w:rsidRPr="00571A19">
              <w:rPr>
                <w:rFonts w:ascii="Times New Roman" w:hAnsi="Times New Roman" w:cs="Times New Roman"/>
                <w:sz w:val="18"/>
                <w:szCs w:val="18"/>
                <w:highlight w:val="green"/>
                <w:lang w:val="pt-PT"/>
              </w:rPr>
              <w:t>controlo</w:t>
            </w:r>
            <w:r w:rsidRPr="0034363F">
              <w:rPr>
                <w:rFonts w:ascii="Times New Roman" w:hAnsi="Times New Roman" w:cs="Times New Roman"/>
                <w:sz w:val="18"/>
                <w:szCs w:val="18"/>
                <w:lang w:val="pt-PT"/>
              </w:rPr>
              <w:t xml:space="preserve"> </w:t>
            </w:r>
            <w:r w:rsidRPr="0034363F">
              <w:rPr>
                <w:rFonts w:ascii="Times New Roman" w:hAnsi="Times New Roman" w:cs="Times New Roman"/>
                <w:strike/>
                <w:sz w:val="18"/>
                <w:szCs w:val="18"/>
                <w:highlight w:val="green"/>
                <w:lang w:val="pt-PT"/>
              </w:rPr>
              <w:t>de taxas</w:t>
            </w:r>
            <w:r w:rsidRPr="00934079">
              <w:rPr>
                <w:rFonts w:ascii="Times New Roman" w:hAnsi="Times New Roman" w:cs="Times New Roman"/>
                <w:sz w:val="18"/>
                <w:szCs w:val="18"/>
                <w:lang w:val="pt-PT"/>
              </w:rPr>
              <w:t xml:space="preserve"> </w:t>
            </w:r>
            <w:r w:rsidRPr="0034363F">
              <w:rPr>
                <w:rFonts w:ascii="Times New Roman" w:hAnsi="Times New Roman" w:cs="Times New Roman"/>
                <w:sz w:val="18"/>
                <w:szCs w:val="18"/>
                <w:highlight w:val="green"/>
                <w:lang w:val="pt-PT"/>
              </w:rPr>
              <w:t>da frequência cardíaca</w:t>
            </w:r>
            <w:r>
              <w:rPr>
                <w:rFonts w:ascii="Times New Roman" w:hAnsi="Times New Roman" w:cs="Times New Roman"/>
                <w:sz w:val="18"/>
                <w:szCs w:val="18"/>
                <w:lang w:val="pt-PT"/>
              </w:rPr>
              <w:t xml:space="preserve"> </w:t>
            </w:r>
            <w:r w:rsidRPr="00934079">
              <w:rPr>
                <w:rFonts w:ascii="Times New Roman" w:hAnsi="Times New Roman" w:cs="Times New Roman"/>
                <w:sz w:val="18"/>
                <w:szCs w:val="18"/>
                <w:lang w:val="pt-PT"/>
              </w:rPr>
              <w:t>produz um melhor equilíbrio de benefícios e danos do que o controlo do ritmo.</w:t>
            </w:r>
          </w:p>
        </w:tc>
        <w:tc>
          <w:tcPr>
            <w:tcW w:w="2268" w:type="dxa"/>
            <w:vAlign w:val="center"/>
          </w:tcPr>
          <w:p w14:paraId="0DC9D6F0" w14:textId="35C69BF5" w:rsidR="0034363F" w:rsidRPr="0034363F" w:rsidRDefault="0034363F" w:rsidP="00DA6D0A">
            <w:pPr>
              <w:spacing w:line="276" w:lineRule="auto"/>
              <w:jc w:val="both"/>
              <w:rPr>
                <w:rFonts w:ascii="Times New Roman" w:hAnsi="Times New Roman" w:cs="Times New Roman"/>
                <w:sz w:val="18"/>
                <w:szCs w:val="18"/>
                <w:lang w:val="pt-PT"/>
              </w:rPr>
            </w:pPr>
            <w:r w:rsidRPr="0034363F">
              <w:rPr>
                <w:rFonts w:ascii="Times New Roman" w:hAnsi="Times New Roman" w:cs="Times New Roman"/>
                <w:strike/>
                <w:sz w:val="18"/>
                <w:szCs w:val="18"/>
                <w:highlight w:val="green"/>
                <w:lang w:val="pt-PT"/>
              </w:rPr>
              <w:t>Começar a dose na extremidade inferior do intervalo de dosagem</w:t>
            </w:r>
            <w:r w:rsidRPr="0034363F">
              <w:rPr>
                <w:rFonts w:ascii="Times New Roman" w:hAnsi="Times New Roman" w:cs="Times New Roman"/>
                <w:sz w:val="18"/>
                <w:szCs w:val="18"/>
                <w:highlight w:val="green"/>
                <w:lang w:val="pt-PT"/>
              </w:rPr>
              <w:t>. Iniciar com a dose mais baixa do intervalo de dosagens (200 mg/dia)</w:t>
            </w:r>
          </w:p>
          <w:p w14:paraId="13475C27" w14:textId="0D61AAC9" w:rsidR="0034363F" w:rsidRPr="00934079" w:rsidRDefault="0034363F" w:rsidP="00DA6D0A">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Usar uma dose de manutenção mais baixa</w:t>
            </w:r>
            <w:r>
              <w:rPr>
                <w:rFonts w:ascii="Times New Roman" w:hAnsi="Times New Roman" w:cs="Times New Roman"/>
                <w:sz w:val="18"/>
                <w:szCs w:val="18"/>
                <w:lang w:val="pt-PT"/>
              </w:rPr>
              <w:t xml:space="preserve"> (</w:t>
            </w:r>
            <w:r w:rsidRPr="00934079">
              <w:rPr>
                <w:rFonts w:ascii="Times New Roman" w:hAnsi="Times New Roman" w:cs="Times New Roman"/>
                <w:sz w:val="18"/>
                <w:szCs w:val="18"/>
                <w:lang w:val="pt-PT"/>
              </w:rPr>
              <w:t>200 mg/48 h</w:t>
            </w:r>
            <w:r>
              <w:rPr>
                <w:rFonts w:ascii="Times New Roman" w:hAnsi="Times New Roman" w:cs="Times New Roman"/>
                <w:sz w:val="18"/>
                <w:szCs w:val="18"/>
                <w:lang w:val="pt-PT"/>
              </w:rPr>
              <w:t>)</w:t>
            </w:r>
            <w:r w:rsidRPr="00934079">
              <w:rPr>
                <w:rFonts w:ascii="Times New Roman" w:hAnsi="Times New Roman" w:cs="Times New Roman"/>
                <w:sz w:val="18"/>
                <w:szCs w:val="18"/>
                <w:lang w:val="pt-PT"/>
              </w:rPr>
              <w:t>.</w:t>
            </w:r>
          </w:p>
        </w:tc>
        <w:tc>
          <w:tcPr>
            <w:tcW w:w="992" w:type="dxa"/>
            <w:vAlign w:val="center"/>
          </w:tcPr>
          <w:p w14:paraId="33A70907" w14:textId="77777777" w:rsidR="0034363F" w:rsidRPr="00934079" w:rsidRDefault="0034363F" w:rsidP="00DA6D0A">
            <w:pPr>
              <w:spacing w:line="276" w:lineRule="auto"/>
              <w:jc w:val="both"/>
              <w:rPr>
                <w:rFonts w:ascii="Times New Roman" w:hAnsi="Times New Roman" w:cs="Times New Roman"/>
                <w:sz w:val="18"/>
                <w:szCs w:val="18"/>
                <w:lang w:val="pt-PT"/>
              </w:rPr>
            </w:pPr>
          </w:p>
        </w:tc>
      </w:tr>
    </w:tbl>
    <w:p w14:paraId="15ACC510" w14:textId="0AAEF4B2" w:rsidR="0034363F" w:rsidRDefault="0034363F" w:rsidP="0034363F">
      <w:pPr>
        <w:rPr>
          <w:rFonts w:ascii="Times New Roman" w:eastAsia="Times New Roman" w:hAnsi="Times New Roman" w:cs="Times New Roman"/>
          <w:lang w:eastAsia="pt-PT"/>
        </w:rPr>
      </w:pPr>
    </w:p>
    <w:p w14:paraId="74EE04BC" w14:textId="6A38A9B7" w:rsidR="0034363F" w:rsidRDefault="0034363F" w:rsidP="0034363F">
      <w:pPr>
        <w:rPr>
          <w:rFonts w:ascii="Times New Roman" w:eastAsia="Times New Roman" w:hAnsi="Times New Roman" w:cs="Times New Roman"/>
          <w:lang w:eastAsia="pt-PT"/>
        </w:rPr>
      </w:pPr>
    </w:p>
    <w:p w14:paraId="0E22ABF9" w14:textId="77777777" w:rsidR="005D57A9" w:rsidRPr="008A184F" w:rsidRDefault="005D57A9" w:rsidP="0034363F">
      <w:pPr>
        <w:pStyle w:val="ListParagraph"/>
        <w:numPr>
          <w:ilvl w:val="0"/>
          <w:numId w:val="1"/>
        </w:numPr>
        <w:ind w:left="426"/>
        <w:jc w:val="both"/>
        <w:rPr>
          <w:rFonts w:ascii="Times New Roman"/>
          <w:lang w:val="pt-BR"/>
        </w:rPr>
      </w:pPr>
    </w:p>
    <w:p w14:paraId="51AFB9FB" w14:textId="4CF8479E" w:rsidR="002B716F" w:rsidRDefault="002B716F" w:rsidP="0034363F">
      <w:pPr>
        <w:pStyle w:val="ListParagraph"/>
        <w:ind w:left="426"/>
        <w:jc w:val="both"/>
        <w:rPr>
          <w:rFonts w:ascii="Times New Roman" w:eastAsia="Times New Roman" w:hAnsi="Times New Roman" w:cs="Times New Roman"/>
          <w:lang w:eastAsia="pt-PT"/>
        </w:rPr>
      </w:pPr>
    </w:p>
    <w:p w14:paraId="5D7EBFCD" w14:textId="2E7325F0" w:rsidR="002B716F" w:rsidRPr="00934079" w:rsidRDefault="002B716F" w:rsidP="005D57A9">
      <w:pPr>
        <w:pStyle w:val="ListParagraph"/>
        <w:ind w:left="502"/>
        <w:rPr>
          <w:rFonts w:ascii="Times New Roman" w:eastAsia="Times New Roman" w:hAnsi="Times New Roman" w:cs="Times New Roman"/>
          <w:lang w:eastAsia="pt-PT"/>
        </w:rPr>
      </w:pPr>
    </w:p>
    <w:tbl>
      <w:tblPr>
        <w:tblStyle w:val="TableGridLight"/>
        <w:tblW w:w="8169" w:type="dxa"/>
        <w:tblLook w:val="04A0" w:firstRow="1" w:lastRow="0" w:firstColumn="1" w:lastColumn="0" w:noHBand="0" w:noVBand="1"/>
      </w:tblPr>
      <w:tblGrid>
        <w:gridCol w:w="1095"/>
        <w:gridCol w:w="1971"/>
        <w:gridCol w:w="3517"/>
        <w:gridCol w:w="1350"/>
        <w:gridCol w:w="236"/>
      </w:tblGrid>
      <w:tr w:rsidR="002B716F" w:rsidRPr="00D84555" w14:paraId="4D7ADD9C" w14:textId="77777777" w:rsidTr="004C7749">
        <w:trPr>
          <w:trHeight w:val="337"/>
        </w:trPr>
        <w:tc>
          <w:tcPr>
            <w:tcW w:w="1095" w:type="dxa"/>
            <w:vAlign w:val="center"/>
          </w:tcPr>
          <w:p w14:paraId="629111B5" w14:textId="77777777" w:rsidR="002B716F" w:rsidRPr="00D84555" w:rsidRDefault="002B716F"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C01BD07</w:t>
            </w:r>
          </w:p>
        </w:tc>
        <w:tc>
          <w:tcPr>
            <w:tcW w:w="1971" w:type="dxa"/>
            <w:vAlign w:val="center"/>
          </w:tcPr>
          <w:p w14:paraId="72613EB8" w14:textId="77777777" w:rsidR="002B716F" w:rsidRPr="00D84555" w:rsidRDefault="002B716F"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Dronedarona</w:t>
            </w:r>
            <w:proofErr w:type="spellEnd"/>
          </w:p>
        </w:tc>
        <w:tc>
          <w:tcPr>
            <w:tcW w:w="3517" w:type="dxa"/>
            <w:vAlign w:val="center"/>
          </w:tcPr>
          <w:p w14:paraId="17AFFD40" w14:textId="77777777" w:rsidR="002B716F" w:rsidRPr="00934079" w:rsidRDefault="002B716F" w:rsidP="004C7749">
            <w:pPr>
              <w:spacing w:line="276" w:lineRule="auto"/>
              <w:jc w:val="both"/>
              <w:rPr>
                <w:rFonts w:ascii="Times New Roman" w:hAnsi="Times New Roman" w:cs="Times New Roman"/>
                <w:color w:val="000000"/>
                <w:sz w:val="18"/>
                <w:szCs w:val="18"/>
                <w:lang w:val="pt-PT"/>
              </w:rPr>
            </w:pPr>
            <w:r w:rsidRPr="00934079">
              <w:rPr>
                <w:rFonts w:ascii="Times New Roman" w:hAnsi="Times New Roman" w:cs="Times New Roman"/>
                <w:color w:val="000000"/>
                <w:sz w:val="18"/>
                <w:szCs w:val="18"/>
                <w:lang w:val="pt-PT"/>
              </w:rPr>
              <w:t xml:space="preserve">Interações medicamentosas frequentes; intervalo QT prolongado; não recomendado em fibrilação atrial permanente; aumento da mortalidade por causas cardiovasculares. </w:t>
            </w:r>
            <w:r w:rsidRPr="00934079">
              <w:rPr>
                <w:rFonts w:ascii="Times New Roman" w:hAnsi="Times New Roman" w:cs="Times New Roman"/>
                <w:sz w:val="18"/>
                <w:szCs w:val="18"/>
                <w:lang w:val="pt-PT"/>
              </w:rPr>
              <w:t xml:space="preserve">Os dados sugerem que, para a maioria dos adultos mais velhos, o </w:t>
            </w:r>
            <w:r w:rsidRPr="00934079">
              <w:rPr>
                <w:rFonts w:ascii="Times New Roman" w:hAnsi="Times New Roman" w:cs="Times New Roman"/>
                <w:sz w:val="18"/>
                <w:szCs w:val="18"/>
                <w:highlight w:val="yellow"/>
                <w:lang w:val="pt-PT"/>
              </w:rPr>
              <w:t>controlo de taxas</w:t>
            </w:r>
            <w:r w:rsidRPr="00934079">
              <w:rPr>
                <w:rFonts w:ascii="Times New Roman" w:hAnsi="Times New Roman" w:cs="Times New Roman"/>
                <w:sz w:val="18"/>
                <w:szCs w:val="18"/>
                <w:lang w:val="pt-PT"/>
              </w:rPr>
              <w:t xml:space="preserve"> produz um melhor equilíbrio de benefícios e danos do que o controlo do ritmo.</w:t>
            </w:r>
          </w:p>
        </w:tc>
        <w:tc>
          <w:tcPr>
            <w:tcW w:w="1350" w:type="dxa"/>
            <w:vAlign w:val="center"/>
          </w:tcPr>
          <w:p w14:paraId="55934303" w14:textId="77777777" w:rsidR="002B716F" w:rsidRPr="00934079" w:rsidRDefault="002B716F" w:rsidP="004C7749">
            <w:pPr>
              <w:spacing w:line="276" w:lineRule="auto"/>
              <w:jc w:val="both"/>
              <w:rPr>
                <w:rFonts w:ascii="Times New Roman" w:hAnsi="Times New Roman" w:cs="Times New Roman"/>
                <w:sz w:val="18"/>
                <w:szCs w:val="18"/>
                <w:lang w:val="pt-PT"/>
              </w:rPr>
            </w:pPr>
          </w:p>
        </w:tc>
        <w:tc>
          <w:tcPr>
            <w:tcW w:w="236" w:type="dxa"/>
            <w:vAlign w:val="center"/>
          </w:tcPr>
          <w:p w14:paraId="0D7E9DDD" w14:textId="77777777" w:rsidR="002B716F" w:rsidRPr="00934079" w:rsidRDefault="002B716F" w:rsidP="004C7749">
            <w:pPr>
              <w:spacing w:line="276" w:lineRule="auto"/>
              <w:jc w:val="both"/>
              <w:rPr>
                <w:rFonts w:ascii="Times New Roman" w:hAnsi="Times New Roman" w:cs="Times New Roman"/>
                <w:sz w:val="18"/>
                <w:szCs w:val="18"/>
                <w:lang w:val="pt-PT"/>
              </w:rPr>
            </w:pPr>
          </w:p>
        </w:tc>
      </w:tr>
    </w:tbl>
    <w:p w14:paraId="799395FD" w14:textId="77777777" w:rsidR="00982FFE" w:rsidRDefault="00982FFE" w:rsidP="002B716F">
      <w:pPr>
        <w:rPr>
          <w:rFonts w:ascii="Times New Roman" w:eastAsia="Times New Roman" w:hAnsi="Times New Roman" w:cs="Times New Roman"/>
          <w:b/>
          <w:bCs/>
          <w:lang w:eastAsia="pt-PT"/>
        </w:rPr>
      </w:pPr>
    </w:p>
    <w:p w14:paraId="7D947798" w14:textId="65689E73" w:rsidR="002B716F" w:rsidRDefault="002B716F" w:rsidP="002B716F">
      <w:pPr>
        <w:rPr>
          <w:rFonts w:ascii="Times New Roman" w:eastAsia="Times New Roman" w:hAnsi="Times New Roman" w:cs="Times New Roman"/>
          <w:lang w:eastAsia="pt-PT"/>
        </w:rPr>
      </w:pPr>
      <w:r w:rsidRPr="00934079">
        <w:rPr>
          <w:rFonts w:ascii="Times New Roman" w:eastAsia="Times New Roman" w:hAnsi="Times New Roman" w:cs="Times New Roman"/>
          <w:b/>
          <w:bCs/>
          <w:lang w:eastAsia="pt-PT"/>
        </w:rPr>
        <w:t>Comentário 17:</w:t>
      </w:r>
      <w:r>
        <w:rPr>
          <w:rFonts w:ascii="Times New Roman" w:eastAsia="Times New Roman" w:hAnsi="Times New Roman" w:cs="Times New Roman"/>
          <w:lang w:eastAsia="pt-PT"/>
        </w:rPr>
        <w:t xml:space="preserve"> Novamente </w:t>
      </w:r>
      <w:r w:rsidRPr="00934079">
        <w:rPr>
          <w:rFonts w:ascii="Times New Roman" w:eastAsia="Times New Roman" w:hAnsi="Times New Roman" w:cs="Times New Roman"/>
          <w:highlight w:val="yellow"/>
          <w:lang w:eastAsia="pt-PT"/>
        </w:rPr>
        <w:t>controlo de taxas</w:t>
      </w:r>
      <w:r>
        <w:rPr>
          <w:rFonts w:ascii="Times New Roman" w:eastAsia="Times New Roman" w:hAnsi="Times New Roman" w:cs="Times New Roman"/>
          <w:lang w:eastAsia="pt-PT"/>
        </w:rPr>
        <w:t>.</w:t>
      </w:r>
    </w:p>
    <w:p w14:paraId="42D01CCD" w14:textId="331FD2A5" w:rsidR="00982FFE" w:rsidRDefault="00982FFE" w:rsidP="00982FFE">
      <w:pPr>
        <w:rPr>
          <w:rFonts w:ascii="Times New Roman" w:eastAsia="Times New Roman" w:hAnsi="Times New Roman" w:cs="Times New Roman"/>
          <w:b/>
          <w:bCs/>
          <w:lang w:eastAsia="pt-PT"/>
        </w:rPr>
      </w:pPr>
      <w:r w:rsidRPr="000801C3">
        <w:rPr>
          <w:rFonts w:ascii="Times New Roman" w:eastAsia="Times New Roman" w:hAnsi="Times New Roman" w:cs="Times New Roman"/>
          <w:b/>
          <w:bCs/>
          <w:lang w:eastAsia="pt-PT"/>
        </w:rPr>
        <w:t>Respo</w:t>
      </w:r>
      <w:r>
        <w:rPr>
          <w:rFonts w:ascii="Times New Roman" w:eastAsia="Times New Roman" w:hAnsi="Times New Roman" w:cs="Times New Roman"/>
          <w:b/>
          <w:bCs/>
          <w:lang w:eastAsia="pt-PT"/>
        </w:rPr>
        <w:t>sta</w:t>
      </w:r>
      <w:r w:rsidRPr="000801C3">
        <w:rPr>
          <w:rFonts w:ascii="Times New Roman" w:eastAsia="Times New Roman" w:hAnsi="Times New Roman" w:cs="Times New Roman"/>
          <w:b/>
          <w:bCs/>
          <w:lang w:eastAsia="pt-PT"/>
        </w:rPr>
        <w:t xml:space="preserve"> ao Comentário 1</w:t>
      </w:r>
      <w:r w:rsidR="003F3C83">
        <w:rPr>
          <w:rFonts w:ascii="Times New Roman" w:eastAsia="Times New Roman" w:hAnsi="Times New Roman" w:cs="Times New Roman"/>
          <w:b/>
          <w:bCs/>
          <w:lang w:eastAsia="pt-PT"/>
        </w:rPr>
        <w:t>7</w:t>
      </w:r>
      <w:r w:rsidRPr="000801C3">
        <w:rPr>
          <w:rFonts w:ascii="Times New Roman" w:eastAsia="Times New Roman" w:hAnsi="Times New Roman" w:cs="Times New Roman"/>
          <w:b/>
          <w:bCs/>
          <w:lang w:eastAsia="pt-PT"/>
        </w:rPr>
        <w:t>:</w:t>
      </w:r>
    </w:p>
    <w:p w14:paraId="44EDC25C" w14:textId="5C138D65" w:rsidR="00982FFE" w:rsidRDefault="0034363F" w:rsidP="00982FFE">
      <w:pPr>
        <w:rPr>
          <w:rFonts w:ascii="Times New Roman" w:eastAsia="Times New Roman" w:hAnsi="Times New Roman" w:cs="Times New Roman"/>
          <w:lang w:eastAsia="pt-PT"/>
        </w:rPr>
      </w:pPr>
      <w:r>
        <w:rPr>
          <w:rFonts w:ascii="Times New Roman" w:eastAsia="Times New Roman" w:hAnsi="Times New Roman" w:cs="Times New Roman"/>
          <w:lang w:eastAsia="pt-PT"/>
        </w:rPr>
        <w:t>Os autores agradecem de novo o alerta para esta imprecisão. Foi feita a alteração na tabela do Apêndice 1</w:t>
      </w:r>
    </w:p>
    <w:p w14:paraId="4E07FD2E" w14:textId="77777777" w:rsidR="0034363F" w:rsidRPr="00934079" w:rsidRDefault="0034363F" w:rsidP="0034363F">
      <w:pPr>
        <w:pStyle w:val="ListParagraph"/>
        <w:ind w:left="502"/>
        <w:rPr>
          <w:rFonts w:ascii="Times New Roman" w:eastAsia="Times New Roman" w:hAnsi="Times New Roman" w:cs="Times New Roman"/>
          <w:lang w:eastAsia="pt-PT"/>
        </w:rPr>
      </w:pPr>
    </w:p>
    <w:tbl>
      <w:tblPr>
        <w:tblStyle w:val="TableGridLight"/>
        <w:tblW w:w="8169" w:type="dxa"/>
        <w:tblLook w:val="04A0" w:firstRow="1" w:lastRow="0" w:firstColumn="1" w:lastColumn="0" w:noHBand="0" w:noVBand="1"/>
      </w:tblPr>
      <w:tblGrid>
        <w:gridCol w:w="1095"/>
        <w:gridCol w:w="1971"/>
        <w:gridCol w:w="3517"/>
        <w:gridCol w:w="1350"/>
        <w:gridCol w:w="236"/>
      </w:tblGrid>
      <w:tr w:rsidR="0034363F" w:rsidRPr="00D84555" w14:paraId="49785865" w14:textId="77777777" w:rsidTr="00DA6D0A">
        <w:trPr>
          <w:trHeight w:val="337"/>
        </w:trPr>
        <w:tc>
          <w:tcPr>
            <w:tcW w:w="1095" w:type="dxa"/>
            <w:vAlign w:val="center"/>
          </w:tcPr>
          <w:p w14:paraId="2388B2F1" w14:textId="77777777" w:rsidR="0034363F" w:rsidRPr="00D84555" w:rsidRDefault="0034363F" w:rsidP="00DA6D0A">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C01BD07</w:t>
            </w:r>
          </w:p>
        </w:tc>
        <w:tc>
          <w:tcPr>
            <w:tcW w:w="1971" w:type="dxa"/>
            <w:vAlign w:val="center"/>
          </w:tcPr>
          <w:p w14:paraId="4E458A3D" w14:textId="77777777" w:rsidR="0034363F" w:rsidRPr="00D84555" w:rsidRDefault="0034363F" w:rsidP="00DA6D0A">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Dronedarona</w:t>
            </w:r>
            <w:proofErr w:type="spellEnd"/>
          </w:p>
        </w:tc>
        <w:tc>
          <w:tcPr>
            <w:tcW w:w="3517" w:type="dxa"/>
            <w:vAlign w:val="center"/>
          </w:tcPr>
          <w:p w14:paraId="5CD512F6" w14:textId="2D4AB644" w:rsidR="0034363F" w:rsidRPr="00934079" w:rsidRDefault="0034363F" w:rsidP="00DA6D0A">
            <w:pPr>
              <w:spacing w:line="276" w:lineRule="auto"/>
              <w:jc w:val="both"/>
              <w:rPr>
                <w:rFonts w:ascii="Times New Roman" w:hAnsi="Times New Roman" w:cs="Times New Roman"/>
                <w:color w:val="000000"/>
                <w:sz w:val="18"/>
                <w:szCs w:val="18"/>
                <w:lang w:val="pt-PT"/>
              </w:rPr>
            </w:pPr>
            <w:r w:rsidRPr="00934079">
              <w:rPr>
                <w:rFonts w:ascii="Times New Roman" w:hAnsi="Times New Roman" w:cs="Times New Roman"/>
                <w:color w:val="000000"/>
                <w:sz w:val="18"/>
                <w:szCs w:val="18"/>
                <w:lang w:val="pt-PT"/>
              </w:rPr>
              <w:t xml:space="preserve">Interações medicamentosas frequentes; intervalo QT prolongado; não recomendado em fibrilação atrial permanente; aumento da mortalidade por causas cardiovasculares. </w:t>
            </w:r>
            <w:r w:rsidRPr="00934079">
              <w:rPr>
                <w:rFonts w:ascii="Times New Roman" w:hAnsi="Times New Roman" w:cs="Times New Roman"/>
                <w:sz w:val="18"/>
                <w:szCs w:val="18"/>
                <w:lang w:val="pt-PT"/>
              </w:rPr>
              <w:t xml:space="preserve">Os dados sugerem que, para a maioria dos adultos mais velhos, </w:t>
            </w:r>
            <w:r w:rsidRPr="000106FD">
              <w:rPr>
                <w:rFonts w:ascii="Times New Roman" w:hAnsi="Times New Roman" w:cs="Times New Roman"/>
                <w:sz w:val="18"/>
                <w:szCs w:val="18"/>
                <w:highlight w:val="green"/>
                <w:lang w:val="pt-PT"/>
              </w:rPr>
              <w:t xml:space="preserve">o controlo </w:t>
            </w:r>
            <w:r w:rsidRPr="000106FD">
              <w:rPr>
                <w:rFonts w:ascii="Times New Roman" w:hAnsi="Times New Roman" w:cs="Times New Roman"/>
                <w:strike/>
                <w:sz w:val="18"/>
                <w:szCs w:val="18"/>
                <w:highlight w:val="green"/>
                <w:lang w:val="pt-PT"/>
              </w:rPr>
              <w:t>de taxas</w:t>
            </w:r>
            <w:r w:rsidRPr="000106FD">
              <w:rPr>
                <w:rFonts w:ascii="Times New Roman" w:hAnsi="Times New Roman" w:cs="Times New Roman"/>
                <w:sz w:val="18"/>
                <w:szCs w:val="18"/>
                <w:highlight w:val="green"/>
                <w:lang w:val="pt-PT"/>
              </w:rPr>
              <w:t xml:space="preserve"> </w:t>
            </w:r>
            <w:r w:rsidR="00214E8A" w:rsidRPr="000106FD">
              <w:rPr>
                <w:rFonts w:ascii="Times New Roman" w:hAnsi="Times New Roman" w:cs="Times New Roman"/>
                <w:sz w:val="18"/>
                <w:szCs w:val="18"/>
                <w:highlight w:val="green"/>
                <w:lang w:val="pt-PT"/>
              </w:rPr>
              <w:t>da frequência</w:t>
            </w:r>
            <w:r w:rsidR="00214E8A">
              <w:rPr>
                <w:rFonts w:ascii="Times New Roman" w:hAnsi="Times New Roman" w:cs="Times New Roman"/>
                <w:sz w:val="18"/>
                <w:szCs w:val="18"/>
                <w:lang w:val="pt-PT"/>
              </w:rPr>
              <w:t xml:space="preserve"> cardíaca </w:t>
            </w:r>
            <w:r w:rsidRPr="00934079">
              <w:rPr>
                <w:rFonts w:ascii="Times New Roman" w:hAnsi="Times New Roman" w:cs="Times New Roman"/>
                <w:sz w:val="18"/>
                <w:szCs w:val="18"/>
                <w:lang w:val="pt-PT"/>
              </w:rPr>
              <w:t>produz um melhor equilíbrio de benefícios e danos do que o controlo do ritmo.</w:t>
            </w:r>
          </w:p>
        </w:tc>
        <w:tc>
          <w:tcPr>
            <w:tcW w:w="1350" w:type="dxa"/>
            <w:vAlign w:val="center"/>
          </w:tcPr>
          <w:p w14:paraId="7545482C" w14:textId="77777777" w:rsidR="0034363F" w:rsidRPr="00934079" w:rsidRDefault="0034363F" w:rsidP="00DA6D0A">
            <w:pPr>
              <w:spacing w:line="276" w:lineRule="auto"/>
              <w:jc w:val="both"/>
              <w:rPr>
                <w:rFonts w:ascii="Times New Roman" w:hAnsi="Times New Roman" w:cs="Times New Roman"/>
                <w:sz w:val="18"/>
                <w:szCs w:val="18"/>
                <w:lang w:val="pt-PT"/>
              </w:rPr>
            </w:pPr>
          </w:p>
        </w:tc>
        <w:tc>
          <w:tcPr>
            <w:tcW w:w="236" w:type="dxa"/>
            <w:vAlign w:val="center"/>
          </w:tcPr>
          <w:p w14:paraId="7DEEB3E5" w14:textId="77777777" w:rsidR="0034363F" w:rsidRPr="00934079" w:rsidRDefault="0034363F" w:rsidP="00DA6D0A">
            <w:pPr>
              <w:spacing w:line="276" w:lineRule="auto"/>
              <w:jc w:val="both"/>
              <w:rPr>
                <w:rFonts w:ascii="Times New Roman" w:hAnsi="Times New Roman" w:cs="Times New Roman"/>
                <w:sz w:val="18"/>
                <w:szCs w:val="18"/>
                <w:lang w:val="pt-PT"/>
              </w:rPr>
            </w:pPr>
          </w:p>
        </w:tc>
      </w:tr>
    </w:tbl>
    <w:p w14:paraId="28E3EC71" w14:textId="77777777" w:rsidR="0034363F" w:rsidRDefault="0034363F" w:rsidP="0034363F">
      <w:pPr>
        <w:rPr>
          <w:rFonts w:ascii="Times New Roman" w:eastAsia="Times New Roman" w:hAnsi="Times New Roman" w:cs="Times New Roman"/>
          <w:b/>
          <w:bCs/>
          <w:lang w:eastAsia="pt-PT"/>
        </w:rPr>
      </w:pPr>
    </w:p>
    <w:p w14:paraId="43BCFED3" w14:textId="77777777" w:rsidR="002B716F" w:rsidRDefault="002B716F" w:rsidP="002B716F">
      <w:pPr>
        <w:rPr>
          <w:rFonts w:ascii="Times New Roman" w:eastAsia="Times New Roman" w:hAnsi="Times New Roman" w:cs="Times New Roman"/>
          <w:lang w:eastAsia="pt-PT"/>
        </w:rPr>
      </w:pPr>
    </w:p>
    <w:p w14:paraId="4ADA748A" w14:textId="7786E6E0" w:rsidR="00982FFE" w:rsidRPr="005D57A9" w:rsidRDefault="00982FFE" w:rsidP="00214E8A">
      <w:pPr>
        <w:pStyle w:val="ListParagraph"/>
        <w:numPr>
          <w:ilvl w:val="0"/>
          <w:numId w:val="1"/>
        </w:numPr>
        <w:ind w:left="426"/>
        <w:jc w:val="both"/>
        <w:rPr>
          <w:rFonts w:ascii="Times New Roman" w:eastAsia="Times New Roman" w:hAnsi="Times New Roman" w:cs="Times New Roman"/>
          <w:lang w:eastAsia="pt-PT"/>
        </w:rPr>
      </w:pPr>
      <w:r w:rsidRPr="005D57A9">
        <w:rPr>
          <w:rFonts w:ascii="Times New Roman" w:eastAsia="Times New Roman" w:hAnsi="Times New Roman" w:cs="Times New Roman"/>
          <w:lang w:eastAsia="pt-PT"/>
        </w:rPr>
        <w:t xml:space="preserve">   </w:t>
      </w:r>
    </w:p>
    <w:p w14:paraId="39B5A42E" w14:textId="77777777" w:rsidR="00982FFE" w:rsidRDefault="00982FFE" w:rsidP="00982FFE">
      <w:pPr>
        <w:rPr>
          <w:rFonts w:ascii="Times New Roman" w:eastAsia="Times New Roman" w:hAnsi="Times New Roman" w:cs="Times New Roman"/>
          <w:lang w:eastAsia="pt-PT"/>
        </w:rPr>
      </w:pPr>
    </w:p>
    <w:tbl>
      <w:tblPr>
        <w:tblStyle w:val="TableGridLight"/>
        <w:tblW w:w="8778" w:type="dxa"/>
        <w:tblLook w:val="04A0" w:firstRow="1" w:lastRow="0" w:firstColumn="1" w:lastColumn="0" w:noHBand="0" w:noVBand="1"/>
      </w:tblPr>
      <w:tblGrid>
        <w:gridCol w:w="1086"/>
        <w:gridCol w:w="1906"/>
        <w:gridCol w:w="2957"/>
        <w:gridCol w:w="1466"/>
        <w:gridCol w:w="1363"/>
      </w:tblGrid>
      <w:tr w:rsidR="00982FFE" w:rsidRPr="00D84555" w14:paraId="2E3CF372" w14:textId="77777777" w:rsidTr="004C7749">
        <w:trPr>
          <w:trHeight w:val="337"/>
        </w:trPr>
        <w:tc>
          <w:tcPr>
            <w:tcW w:w="1086" w:type="dxa"/>
            <w:vAlign w:val="center"/>
          </w:tcPr>
          <w:p w14:paraId="08684E95" w14:textId="77777777" w:rsidR="00982FFE" w:rsidRPr="00D84555" w:rsidRDefault="00982FFE"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lastRenderedPageBreak/>
              <w:t>C02AC01</w:t>
            </w:r>
          </w:p>
        </w:tc>
        <w:tc>
          <w:tcPr>
            <w:tcW w:w="1906" w:type="dxa"/>
            <w:vAlign w:val="center"/>
          </w:tcPr>
          <w:p w14:paraId="249B63C0" w14:textId="77777777" w:rsidR="00982FFE" w:rsidRPr="00D84555" w:rsidRDefault="00982FFE"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Clonidina</w:t>
            </w:r>
            <w:proofErr w:type="spellEnd"/>
          </w:p>
        </w:tc>
        <w:tc>
          <w:tcPr>
            <w:tcW w:w="2957" w:type="dxa"/>
            <w:vAlign w:val="center"/>
          </w:tcPr>
          <w:p w14:paraId="784E8A5F" w14:textId="77777777" w:rsidR="00982FFE" w:rsidRPr="00934079" w:rsidRDefault="00982FFE"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Risco de hipotensão ortostática, bradicardia, síncope, efeitos colaterais do SNC (sedação, depressão, comprometimento cognitivo).</w:t>
            </w:r>
          </w:p>
        </w:tc>
        <w:tc>
          <w:tcPr>
            <w:tcW w:w="1466" w:type="dxa"/>
            <w:vAlign w:val="center"/>
          </w:tcPr>
          <w:p w14:paraId="781F659B" w14:textId="77777777" w:rsidR="00982FFE" w:rsidRPr="00934079" w:rsidRDefault="00982FF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highlight w:val="yellow"/>
                <w:lang w:val="pt-PT"/>
              </w:rPr>
              <w:t>Doses mais baixas</w:t>
            </w:r>
            <w:r w:rsidRPr="00934079">
              <w:rPr>
                <w:rFonts w:ascii="Times New Roman" w:hAnsi="Times New Roman" w:cs="Times New Roman"/>
                <w:sz w:val="18"/>
                <w:szCs w:val="18"/>
                <w:lang w:val="pt-PT"/>
              </w:rPr>
              <w:t xml:space="preserve"> para tratamento inicial da hipertensão; metade da dose habitual.</w:t>
            </w:r>
          </w:p>
        </w:tc>
        <w:tc>
          <w:tcPr>
            <w:tcW w:w="1363" w:type="dxa"/>
            <w:vAlign w:val="center"/>
          </w:tcPr>
          <w:p w14:paraId="6789D854" w14:textId="77777777" w:rsidR="00982FFE" w:rsidRPr="00934079" w:rsidRDefault="00982FFE"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Outros fármacos anti-hipertensivos. Ex. IECA, ou outros grupos dependendo da comorbidade (excluindo PIMs).</w:t>
            </w:r>
          </w:p>
        </w:tc>
      </w:tr>
    </w:tbl>
    <w:p w14:paraId="73542996" w14:textId="77777777" w:rsidR="00982FFE" w:rsidRPr="00934079" w:rsidRDefault="00982FFE" w:rsidP="00982FFE">
      <w:pPr>
        <w:rPr>
          <w:rFonts w:ascii="Times New Roman" w:eastAsia="Times New Roman" w:hAnsi="Times New Roman" w:cs="Times New Roman"/>
          <w:lang w:eastAsia="pt-PT"/>
        </w:rPr>
      </w:pPr>
    </w:p>
    <w:p w14:paraId="7ECC6323" w14:textId="76E05140" w:rsidR="00982FFE" w:rsidRDefault="00982FFE" w:rsidP="00982FFE">
      <w:pPr>
        <w:rPr>
          <w:rFonts w:ascii="Times New Roman" w:eastAsia="Times New Roman" w:hAnsi="Times New Roman" w:cs="Times New Roman"/>
          <w:lang w:eastAsia="pt-PT"/>
        </w:rPr>
      </w:pPr>
      <w:r w:rsidRPr="00AF43EC">
        <w:rPr>
          <w:rFonts w:ascii="Times New Roman" w:eastAsia="Times New Roman" w:hAnsi="Times New Roman" w:cs="Times New Roman"/>
          <w:b/>
          <w:bCs/>
          <w:lang w:eastAsia="pt-PT"/>
        </w:rPr>
        <w:t xml:space="preserve">Comentário </w:t>
      </w:r>
      <w:r>
        <w:rPr>
          <w:rFonts w:ascii="Times New Roman" w:eastAsia="Times New Roman" w:hAnsi="Times New Roman" w:cs="Times New Roman"/>
          <w:b/>
          <w:bCs/>
          <w:lang w:eastAsia="pt-PT"/>
        </w:rPr>
        <w:t xml:space="preserve">18: </w:t>
      </w:r>
      <w:r>
        <w:rPr>
          <w:rFonts w:ascii="Times New Roman" w:eastAsia="Times New Roman" w:hAnsi="Times New Roman" w:cs="Times New Roman"/>
          <w:lang w:eastAsia="pt-PT"/>
        </w:rPr>
        <w:t>Indicar dose de início...</w:t>
      </w:r>
    </w:p>
    <w:p w14:paraId="1699F2FF" w14:textId="22384317" w:rsidR="005D57A9" w:rsidRDefault="005D57A9" w:rsidP="00982FFE">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 xml:space="preserve">Resposta ao </w:t>
      </w:r>
      <w:r w:rsidRPr="00AF43EC">
        <w:rPr>
          <w:rFonts w:ascii="Times New Roman" w:eastAsia="Times New Roman" w:hAnsi="Times New Roman" w:cs="Times New Roman"/>
          <w:b/>
          <w:bCs/>
          <w:lang w:eastAsia="pt-PT"/>
        </w:rPr>
        <w:t xml:space="preserve">Comentário </w:t>
      </w:r>
      <w:r>
        <w:rPr>
          <w:rFonts w:ascii="Times New Roman" w:eastAsia="Times New Roman" w:hAnsi="Times New Roman" w:cs="Times New Roman"/>
          <w:b/>
          <w:bCs/>
          <w:lang w:eastAsia="pt-PT"/>
        </w:rPr>
        <w:t>18:</w:t>
      </w:r>
    </w:p>
    <w:p w14:paraId="6372843F" w14:textId="54623C59" w:rsidR="005D57A9" w:rsidRPr="008A184F" w:rsidRDefault="00214E8A" w:rsidP="00982FFE">
      <w:pPr>
        <w:rPr>
          <w:rFonts w:cstheme="minorHAnsi"/>
          <w:lang w:val="pt-BR"/>
        </w:rPr>
      </w:pPr>
      <w:r w:rsidRPr="008A184F">
        <w:rPr>
          <w:rFonts w:cstheme="minorHAnsi"/>
          <w:lang w:val="pt-BR"/>
        </w:rPr>
        <w:t>Para o tratamento inicial da hipertensão</w:t>
      </w:r>
      <w:r>
        <w:rPr>
          <w:rFonts w:eastAsia="Times New Roman" w:cstheme="minorHAnsi"/>
          <w:lang w:eastAsia="pt-PT"/>
        </w:rPr>
        <w:t>, a</w:t>
      </w:r>
      <w:r w:rsidRPr="00214E8A">
        <w:rPr>
          <w:rFonts w:eastAsia="Times New Roman" w:cstheme="minorHAnsi"/>
          <w:lang w:eastAsia="pt-PT"/>
        </w:rPr>
        <w:t xml:space="preserve"> dose de inicio pode ser: </w:t>
      </w:r>
      <w:r w:rsidR="005D57A9" w:rsidRPr="00214E8A">
        <w:rPr>
          <w:rFonts w:eastAsia="Times New Roman" w:cstheme="minorHAnsi"/>
          <w:lang w:eastAsia="pt-PT"/>
        </w:rPr>
        <w:t xml:space="preserve">75 </w:t>
      </w:r>
      <w:r w:rsidR="005D57A9" w:rsidRPr="00214E8A">
        <w:rPr>
          <w:rFonts w:cstheme="minorHAnsi"/>
          <w:lang w:val="en-US"/>
        </w:rPr>
        <w:sym w:font="Symbol" w:char="F06D"/>
      </w:r>
      <w:r w:rsidR="005D57A9" w:rsidRPr="008A184F">
        <w:rPr>
          <w:rFonts w:cstheme="minorHAnsi"/>
          <w:lang w:val="pt-BR"/>
        </w:rPr>
        <w:t>g duas vezes ao dia</w:t>
      </w:r>
      <w:r w:rsidRPr="008A184F">
        <w:rPr>
          <w:rFonts w:cstheme="minorHAnsi"/>
          <w:lang w:val="pt-BR"/>
        </w:rPr>
        <w:t>.</w:t>
      </w:r>
    </w:p>
    <w:p w14:paraId="1695BB39" w14:textId="77777777" w:rsidR="000E30DE" w:rsidRDefault="000E30DE" w:rsidP="00982FFE">
      <w:pPr>
        <w:rPr>
          <w:rFonts w:ascii="Times New Roman" w:eastAsia="Times New Roman" w:hAnsi="Times New Roman" w:cs="Times New Roman"/>
          <w:b/>
          <w:bCs/>
          <w:lang w:eastAsia="pt-PT"/>
        </w:rPr>
      </w:pPr>
    </w:p>
    <w:p w14:paraId="776A008B" w14:textId="77777777" w:rsidR="00982FFE" w:rsidRDefault="00982FFE" w:rsidP="00214E8A">
      <w:pPr>
        <w:pStyle w:val="ListParagraph"/>
        <w:numPr>
          <w:ilvl w:val="0"/>
          <w:numId w:val="1"/>
        </w:numPr>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p w14:paraId="0168912B" w14:textId="77777777" w:rsidR="00982FFE" w:rsidRDefault="00982FFE" w:rsidP="00982FFE">
      <w:pPr>
        <w:rPr>
          <w:rFonts w:ascii="Times New Roman" w:eastAsia="Times New Roman" w:hAnsi="Times New Roman" w:cs="Times New Roman"/>
          <w:lang w:eastAsia="pt-PT"/>
        </w:rPr>
      </w:pPr>
    </w:p>
    <w:tbl>
      <w:tblPr>
        <w:tblStyle w:val="TableGridLight"/>
        <w:tblW w:w="8858" w:type="dxa"/>
        <w:tblLook w:val="04A0" w:firstRow="1" w:lastRow="0" w:firstColumn="1" w:lastColumn="0" w:noHBand="0" w:noVBand="1"/>
      </w:tblPr>
      <w:tblGrid>
        <w:gridCol w:w="1095"/>
        <w:gridCol w:w="1971"/>
        <w:gridCol w:w="2741"/>
        <w:gridCol w:w="1776"/>
        <w:gridCol w:w="1275"/>
      </w:tblGrid>
      <w:tr w:rsidR="00982FFE" w:rsidRPr="00D84555" w14:paraId="4C854327" w14:textId="77777777" w:rsidTr="004C7749">
        <w:trPr>
          <w:trHeight w:val="337"/>
        </w:trPr>
        <w:tc>
          <w:tcPr>
            <w:tcW w:w="1095" w:type="dxa"/>
            <w:vAlign w:val="center"/>
          </w:tcPr>
          <w:p w14:paraId="2395CA3B" w14:textId="77777777" w:rsidR="00982FFE" w:rsidRPr="00D84555" w:rsidRDefault="00982FFE"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C02AC02</w:t>
            </w:r>
          </w:p>
        </w:tc>
        <w:tc>
          <w:tcPr>
            <w:tcW w:w="1971" w:type="dxa"/>
            <w:vAlign w:val="center"/>
          </w:tcPr>
          <w:p w14:paraId="447C0856" w14:textId="77777777" w:rsidR="00982FFE" w:rsidRPr="00D84555" w:rsidRDefault="00982FFE"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Guanfacina</w:t>
            </w:r>
            <w:proofErr w:type="spellEnd"/>
          </w:p>
        </w:tc>
        <w:tc>
          <w:tcPr>
            <w:tcW w:w="2741" w:type="dxa"/>
            <w:vAlign w:val="center"/>
          </w:tcPr>
          <w:p w14:paraId="6558947C" w14:textId="77777777" w:rsidR="00982FFE" w:rsidRPr="00934079" w:rsidRDefault="00982FFE"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Risco de hipotensão ortostática, bradicardia, síncope, efeitos colaterais do SNC (sedação, depressão, comprometimento cognitivo).</w:t>
            </w:r>
          </w:p>
        </w:tc>
        <w:tc>
          <w:tcPr>
            <w:tcW w:w="1776" w:type="dxa"/>
            <w:vAlign w:val="center"/>
          </w:tcPr>
          <w:p w14:paraId="124534E9" w14:textId="77777777" w:rsidR="00982FFE" w:rsidRPr="00934079" w:rsidRDefault="00982FF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highlight w:val="yellow"/>
                <w:lang w:val="pt-PT"/>
              </w:rPr>
              <w:t>Dosagem cautelosa</w:t>
            </w:r>
            <w:r w:rsidRPr="00934079">
              <w:rPr>
                <w:rFonts w:ascii="Times New Roman" w:hAnsi="Times New Roman" w:cs="Times New Roman"/>
                <w:sz w:val="18"/>
                <w:szCs w:val="18"/>
                <w:lang w:val="pt-PT"/>
              </w:rPr>
              <w:t xml:space="preserve"> ao usar cloridrato de guanfacina de libertação imediata; começar a dosagem na extremidade inferior do intervalo.</w:t>
            </w:r>
          </w:p>
        </w:tc>
        <w:tc>
          <w:tcPr>
            <w:tcW w:w="1275" w:type="dxa"/>
            <w:vAlign w:val="center"/>
          </w:tcPr>
          <w:p w14:paraId="040B9CA6" w14:textId="77777777" w:rsidR="00982FFE" w:rsidRPr="00934079" w:rsidRDefault="00982FFE"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Outros fármacos anti-hipertensivos. Ex. IECA, ou outros grupos dependendo da comorbidade (excluindo PIMs).</w:t>
            </w:r>
          </w:p>
        </w:tc>
      </w:tr>
    </w:tbl>
    <w:p w14:paraId="2F6E0782" w14:textId="77777777" w:rsidR="00982FFE" w:rsidRDefault="00982FFE" w:rsidP="00982FFE">
      <w:pPr>
        <w:rPr>
          <w:rFonts w:ascii="Times New Roman" w:eastAsia="Times New Roman" w:hAnsi="Times New Roman" w:cs="Times New Roman"/>
          <w:lang w:eastAsia="pt-PT"/>
        </w:rPr>
      </w:pPr>
    </w:p>
    <w:p w14:paraId="2B22E5FD" w14:textId="2814FC7F" w:rsidR="00982FFE" w:rsidRDefault="00982FFE" w:rsidP="00982FFE">
      <w:pPr>
        <w:rPr>
          <w:rFonts w:ascii="Times New Roman" w:eastAsia="Times New Roman" w:hAnsi="Times New Roman" w:cs="Times New Roman"/>
          <w:lang w:eastAsia="pt-PT"/>
        </w:rPr>
      </w:pPr>
      <w:r w:rsidRPr="00AF43EC">
        <w:rPr>
          <w:rFonts w:ascii="Times New Roman" w:eastAsia="Times New Roman" w:hAnsi="Times New Roman" w:cs="Times New Roman"/>
          <w:b/>
          <w:bCs/>
          <w:lang w:eastAsia="pt-PT"/>
        </w:rPr>
        <w:t>Comentário</w:t>
      </w:r>
      <w:r>
        <w:rPr>
          <w:rFonts w:ascii="Times New Roman" w:eastAsia="Times New Roman" w:hAnsi="Times New Roman" w:cs="Times New Roman"/>
          <w:b/>
          <w:bCs/>
          <w:lang w:eastAsia="pt-PT"/>
        </w:rPr>
        <w:t xml:space="preserve"> 19</w:t>
      </w:r>
      <w:r w:rsidRPr="00AF43EC">
        <w:rPr>
          <w:rFonts w:ascii="Times New Roman" w:eastAsia="Times New Roman" w:hAnsi="Times New Roman" w:cs="Times New Roman"/>
          <w:b/>
          <w:bCs/>
          <w:lang w:eastAsia="pt-PT"/>
        </w:rPr>
        <w:t xml:space="preserve"> </w:t>
      </w:r>
      <w:r>
        <w:rPr>
          <w:rFonts w:ascii="Times New Roman" w:eastAsia="Times New Roman" w:hAnsi="Times New Roman" w:cs="Times New Roman"/>
          <w:b/>
          <w:bCs/>
          <w:lang w:eastAsia="pt-PT"/>
        </w:rPr>
        <w:t xml:space="preserve">: </w:t>
      </w:r>
      <w:r>
        <w:rPr>
          <w:rFonts w:ascii="Times New Roman" w:eastAsia="Times New Roman" w:hAnsi="Times New Roman" w:cs="Times New Roman"/>
          <w:lang w:eastAsia="pt-PT"/>
        </w:rPr>
        <w:t>Qual dosagem</w:t>
      </w:r>
    </w:p>
    <w:p w14:paraId="53CC294C" w14:textId="2A5752C2" w:rsidR="00577EE3" w:rsidRDefault="00577EE3" w:rsidP="00577EE3">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 xml:space="preserve">Resposta ao </w:t>
      </w:r>
      <w:r w:rsidRPr="00AF43EC">
        <w:rPr>
          <w:rFonts w:ascii="Times New Roman" w:eastAsia="Times New Roman" w:hAnsi="Times New Roman" w:cs="Times New Roman"/>
          <w:b/>
          <w:bCs/>
          <w:lang w:eastAsia="pt-PT"/>
        </w:rPr>
        <w:t xml:space="preserve">Comentário </w:t>
      </w:r>
      <w:r>
        <w:rPr>
          <w:rFonts w:ascii="Times New Roman" w:eastAsia="Times New Roman" w:hAnsi="Times New Roman" w:cs="Times New Roman"/>
          <w:b/>
          <w:bCs/>
          <w:lang w:eastAsia="pt-PT"/>
        </w:rPr>
        <w:t>19:</w:t>
      </w:r>
    </w:p>
    <w:p w14:paraId="4827534D" w14:textId="0F775128" w:rsidR="00577EE3" w:rsidRPr="005B7104" w:rsidRDefault="005B7104" w:rsidP="005B7104">
      <w:pPr>
        <w:jc w:val="both"/>
        <w:rPr>
          <w:rFonts w:eastAsia="Times New Roman" w:cstheme="minorHAnsi"/>
          <w:lang w:eastAsia="pt-PT"/>
        </w:rPr>
      </w:pPr>
      <w:r w:rsidRPr="005B7104">
        <w:rPr>
          <w:rFonts w:eastAsia="Times New Roman" w:cstheme="minorHAnsi"/>
          <w:lang w:eastAsia="pt-PT"/>
        </w:rPr>
        <w:t>Atualmente em Portugal só são comercializadas formas farmacêuticas de libertação prolongada. Assim, os autores consideram que essa informação deve ser retirada da tabela. Deverá começar-se com a dosagem mais baixa disponível que é 1mg.</w:t>
      </w:r>
    </w:p>
    <w:p w14:paraId="74DDD3A1" w14:textId="30C69B75" w:rsidR="00982FFE" w:rsidRPr="005B7104" w:rsidRDefault="005B7104" w:rsidP="005B7104">
      <w:pPr>
        <w:jc w:val="both"/>
        <w:rPr>
          <w:rFonts w:eastAsia="Times New Roman" w:cstheme="minorHAnsi"/>
          <w:lang w:eastAsia="pt-PT"/>
        </w:rPr>
      </w:pPr>
      <w:r w:rsidRPr="005B7104">
        <w:rPr>
          <w:rFonts w:eastAsia="Times New Roman" w:cstheme="minorHAnsi"/>
          <w:lang w:eastAsia="pt-PT"/>
        </w:rPr>
        <w:t>Foi feita a seguinte alteração:</w:t>
      </w:r>
    </w:p>
    <w:tbl>
      <w:tblPr>
        <w:tblStyle w:val="TableGridLight"/>
        <w:tblW w:w="8858" w:type="dxa"/>
        <w:tblLook w:val="04A0" w:firstRow="1" w:lastRow="0" w:firstColumn="1" w:lastColumn="0" w:noHBand="0" w:noVBand="1"/>
      </w:tblPr>
      <w:tblGrid>
        <w:gridCol w:w="2248"/>
        <w:gridCol w:w="3128"/>
        <w:gridCol w:w="2027"/>
        <w:gridCol w:w="1455"/>
      </w:tblGrid>
      <w:tr w:rsidR="005B7104" w:rsidRPr="00934079" w14:paraId="78BFB5B3" w14:textId="77777777" w:rsidTr="00DA6D0A">
        <w:trPr>
          <w:trHeight w:val="337"/>
        </w:trPr>
        <w:tc>
          <w:tcPr>
            <w:tcW w:w="1971" w:type="dxa"/>
            <w:vAlign w:val="center"/>
          </w:tcPr>
          <w:p w14:paraId="7893AE9F" w14:textId="77777777" w:rsidR="005B7104" w:rsidRPr="00D84555" w:rsidRDefault="005B7104" w:rsidP="00DA6D0A">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Guanfacina</w:t>
            </w:r>
            <w:proofErr w:type="spellEnd"/>
          </w:p>
        </w:tc>
        <w:tc>
          <w:tcPr>
            <w:tcW w:w="2741" w:type="dxa"/>
            <w:vAlign w:val="center"/>
          </w:tcPr>
          <w:p w14:paraId="549EF25C" w14:textId="77777777" w:rsidR="005B7104" w:rsidRPr="00934079" w:rsidRDefault="005B7104" w:rsidP="00DA6D0A">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Risco de hipotensão ortostática, bradicardia, síncope, efeitos colaterais do SNC (sedação, depressão, comprometimento cognitivo).</w:t>
            </w:r>
          </w:p>
        </w:tc>
        <w:tc>
          <w:tcPr>
            <w:tcW w:w="1776" w:type="dxa"/>
            <w:vAlign w:val="center"/>
          </w:tcPr>
          <w:p w14:paraId="70C4A323" w14:textId="3C42088C" w:rsidR="005B7104" w:rsidRPr="00934079" w:rsidRDefault="005B7104" w:rsidP="00DA6D0A">
            <w:pPr>
              <w:spacing w:line="276" w:lineRule="auto"/>
              <w:jc w:val="both"/>
              <w:rPr>
                <w:rFonts w:ascii="Times New Roman" w:hAnsi="Times New Roman" w:cs="Times New Roman"/>
                <w:sz w:val="18"/>
                <w:szCs w:val="18"/>
                <w:lang w:val="pt-PT"/>
              </w:rPr>
            </w:pPr>
            <w:r w:rsidRPr="00EE522B">
              <w:rPr>
                <w:rFonts w:ascii="Times New Roman" w:hAnsi="Times New Roman" w:cs="Times New Roman"/>
                <w:strike/>
                <w:sz w:val="18"/>
                <w:szCs w:val="18"/>
                <w:highlight w:val="green"/>
                <w:lang w:val="pt-PT"/>
              </w:rPr>
              <w:t>Dosagem cautelosa ao usar cloridrato de guanfacina de libertação imediata;</w:t>
            </w:r>
            <w:r w:rsidRPr="00934079">
              <w:rPr>
                <w:rFonts w:ascii="Times New Roman" w:hAnsi="Times New Roman" w:cs="Times New Roman"/>
                <w:sz w:val="18"/>
                <w:szCs w:val="18"/>
                <w:lang w:val="pt-PT"/>
              </w:rPr>
              <w:t xml:space="preserve"> </w:t>
            </w:r>
            <w:r w:rsidRPr="00EE522B">
              <w:rPr>
                <w:rFonts w:ascii="Times New Roman" w:hAnsi="Times New Roman" w:cs="Times New Roman"/>
                <w:sz w:val="18"/>
                <w:szCs w:val="18"/>
                <w:highlight w:val="green"/>
                <w:lang w:val="pt-PT"/>
              </w:rPr>
              <w:t>Iniciar o tratamento com a dosagem mais baixa.</w:t>
            </w:r>
          </w:p>
        </w:tc>
        <w:tc>
          <w:tcPr>
            <w:tcW w:w="1275" w:type="dxa"/>
            <w:vAlign w:val="center"/>
          </w:tcPr>
          <w:p w14:paraId="42B36F40" w14:textId="77777777" w:rsidR="005B7104" w:rsidRPr="00934079" w:rsidRDefault="005B7104" w:rsidP="00DA6D0A">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Outros fármacos anti-hipertensivos. Ex. IECA, ou outros grupos dependendo da comorbidade (excluindo PIMs).</w:t>
            </w:r>
          </w:p>
        </w:tc>
      </w:tr>
    </w:tbl>
    <w:p w14:paraId="4BA4490F" w14:textId="77777777" w:rsidR="005B7104" w:rsidRDefault="005B7104" w:rsidP="00982FFE">
      <w:pPr>
        <w:rPr>
          <w:rFonts w:ascii="Times New Roman" w:eastAsia="Times New Roman" w:hAnsi="Times New Roman" w:cs="Times New Roman"/>
          <w:lang w:eastAsia="pt-PT"/>
        </w:rPr>
      </w:pPr>
    </w:p>
    <w:p w14:paraId="7D0CB495" w14:textId="77777777" w:rsidR="00982FFE" w:rsidRDefault="00982FFE" w:rsidP="005B7104">
      <w:pPr>
        <w:pStyle w:val="ListParagraph"/>
        <w:numPr>
          <w:ilvl w:val="0"/>
          <w:numId w:val="1"/>
        </w:numPr>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p w14:paraId="6B78A3F3" w14:textId="77777777" w:rsidR="00982FFE" w:rsidRDefault="00982FFE" w:rsidP="00982FFE">
      <w:pPr>
        <w:ind w:left="142"/>
        <w:rPr>
          <w:rFonts w:ascii="Times New Roman" w:eastAsia="Times New Roman" w:hAnsi="Times New Roman" w:cs="Times New Roman"/>
          <w:lang w:eastAsia="pt-PT"/>
        </w:rPr>
      </w:pPr>
      <w:r w:rsidRPr="00AF43EC">
        <w:rPr>
          <w:rFonts w:ascii="Times New Roman" w:eastAsia="Times New Roman" w:hAnsi="Times New Roman" w:cs="Times New Roman"/>
          <w:b/>
          <w:bCs/>
          <w:lang w:eastAsia="pt-PT"/>
        </w:rPr>
        <w:t>Comentário</w:t>
      </w:r>
      <w:r>
        <w:rPr>
          <w:rFonts w:ascii="Times New Roman" w:eastAsia="Times New Roman" w:hAnsi="Times New Roman" w:cs="Times New Roman"/>
          <w:b/>
          <w:bCs/>
          <w:lang w:eastAsia="pt-PT"/>
        </w:rPr>
        <w:t xml:space="preserve"> 20: </w:t>
      </w:r>
      <w:r w:rsidRPr="00AF43EC">
        <w:rPr>
          <w:rFonts w:ascii="Times New Roman" w:eastAsia="Times New Roman" w:hAnsi="Times New Roman" w:cs="Times New Roman"/>
          <w:b/>
          <w:bCs/>
          <w:lang w:eastAsia="pt-PT"/>
        </w:rPr>
        <w:t xml:space="preserve"> </w:t>
      </w:r>
      <w:r>
        <w:rPr>
          <w:rFonts w:ascii="Times New Roman" w:eastAsia="Times New Roman" w:hAnsi="Times New Roman" w:cs="Times New Roman"/>
          <w:b/>
          <w:bCs/>
          <w:lang w:eastAsia="pt-PT"/>
        </w:rPr>
        <w:t xml:space="preserve"> </w:t>
      </w:r>
      <w:r>
        <w:rPr>
          <w:rFonts w:ascii="Times New Roman" w:eastAsia="Times New Roman" w:hAnsi="Times New Roman" w:cs="Times New Roman"/>
          <w:lang w:eastAsia="pt-PT"/>
        </w:rPr>
        <w:t>Monoxidina e urapidilo não existem  PEM</w:t>
      </w:r>
    </w:p>
    <w:p w14:paraId="0E3689CE" w14:textId="5C1C2024" w:rsidR="00982FFE" w:rsidRPr="00577EE3" w:rsidRDefault="00577EE3" w:rsidP="00982FFE">
      <w:pPr>
        <w:ind w:left="142"/>
        <w:rPr>
          <w:rFonts w:ascii="Times New Roman" w:eastAsia="Times New Roman" w:hAnsi="Times New Roman" w:cs="Times New Roman"/>
          <w:b/>
          <w:bCs/>
          <w:lang w:eastAsia="pt-PT"/>
        </w:rPr>
      </w:pPr>
      <w:r w:rsidRPr="00577EE3">
        <w:rPr>
          <w:rFonts w:ascii="Times New Roman" w:eastAsia="Times New Roman" w:hAnsi="Times New Roman" w:cs="Times New Roman"/>
          <w:b/>
          <w:bCs/>
          <w:lang w:eastAsia="pt-PT"/>
        </w:rPr>
        <w:t>Resposta ao comentário 20:</w:t>
      </w:r>
    </w:p>
    <w:p w14:paraId="3E09F9E4" w14:textId="1FB3B170" w:rsidR="00577EE3" w:rsidRPr="00493952" w:rsidRDefault="00577EE3" w:rsidP="000E30DE">
      <w:pPr>
        <w:jc w:val="both"/>
        <w:rPr>
          <w:rFonts w:eastAsia="Times New Roman" w:cstheme="minorHAnsi"/>
          <w:lang w:eastAsia="pt-PT"/>
        </w:rPr>
      </w:pPr>
      <w:r w:rsidRPr="00493952">
        <w:rPr>
          <w:rFonts w:eastAsia="Times New Roman" w:cstheme="minorHAnsi"/>
          <w:lang w:eastAsia="pt-PT"/>
        </w:rPr>
        <w:lastRenderedPageBreak/>
        <w:t xml:space="preserve">A DCI do fármaco C02AC05, estava </w:t>
      </w:r>
      <w:r w:rsidR="005B7104" w:rsidRPr="00493952">
        <w:rPr>
          <w:rFonts w:eastAsia="Times New Roman" w:cstheme="minorHAnsi"/>
          <w:lang w:eastAsia="pt-PT"/>
        </w:rPr>
        <w:t>incorreta</w:t>
      </w:r>
      <w:r w:rsidRPr="00493952">
        <w:rPr>
          <w:rFonts w:eastAsia="Times New Roman" w:cstheme="minorHAnsi"/>
          <w:lang w:eastAsia="pt-PT"/>
        </w:rPr>
        <w:t xml:space="preserve">. </w:t>
      </w:r>
      <w:r w:rsidR="005B7104" w:rsidRPr="00493952">
        <w:rPr>
          <w:rFonts w:eastAsia="Times New Roman" w:cstheme="minorHAnsi"/>
          <w:lang w:eastAsia="pt-PT"/>
        </w:rPr>
        <w:t xml:space="preserve">Os autores agradecem o alerta para esta imprecisão. Foi feita alteração na tabela substituindo </w:t>
      </w:r>
      <w:r w:rsidR="000E30DE" w:rsidRPr="00493952">
        <w:rPr>
          <w:rFonts w:eastAsia="Times New Roman" w:cstheme="minorHAnsi"/>
          <w:lang w:eastAsia="pt-PT"/>
        </w:rPr>
        <w:t xml:space="preserve">“Monoxidina” </w:t>
      </w:r>
      <w:r w:rsidR="005B7104" w:rsidRPr="00493952">
        <w:rPr>
          <w:rFonts w:eastAsia="Times New Roman" w:cstheme="minorHAnsi"/>
          <w:lang w:eastAsia="pt-PT"/>
        </w:rPr>
        <w:t>pela</w:t>
      </w:r>
      <w:r w:rsidR="000E30DE" w:rsidRPr="00493952">
        <w:rPr>
          <w:rFonts w:eastAsia="Times New Roman" w:cstheme="minorHAnsi"/>
          <w:lang w:eastAsia="pt-PT"/>
        </w:rPr>
        <w:t xml:space="preserve"> DCI correta</w:t>
      </w:r>
      <w:r w:rsidRPr="00493952">
        <w:rPr>
          <w:rFonts w:eastAsia="Times New Roman" w:cstheme="minorHAnsi"/>
          <w:lang w:eastAsia="pt-PT"/>
        </w:rPr>
        <w:t xml:space="preserve"> </w:t>
      </w:r>
      <w:r w:rsidR="005B7104" w:rsidRPr="00493952">
        <w:rPr>
          <w:rFonts w:eastAsia="Times New Roman" w:cstheme="minorHAnsi"/>
          <w:lang w:eastAsia="pt-PT"/>
        </w:rPr>
        <w:t>“</w:t>
      </w:r>
      <w:r w:rsidR="000E30DE" w:rsidRPr="00493952">
        <w:rPr>
          <w:rFonts w:eastAsia="Times New Roman" w:cstheme="minorHAnsi"/>
          <w:lang w:eastAsia="pt-PT"/>
        </w:rPr>
        <w:t>Moxonidina</w:t>
      </w:r>
      <w:r w:rsidR="005B7104" w:rsidRPr="00493952">
        <w:rPr>
          <w:rFonts w:eastAsia="Times New Roman" w:cstheme="minorHAnsi"/>
          <w:lang w:eastAsia="pt-PT"/>
        </w:rPr>
        <w:t>”</w:t>
      </w:r>
      <w:r w:rsidR="000E30DE" w:rsidRPr="00493952">
        <w:rPr>
          <w:rFonts w:eastAsia="Times New Roman" w:cstheme="minorHAnsi"/>
          <w:lang w:eastAsia="pt-PT"/>
        </w:rPr>
        <w:t xml:space="preserve">. </w:t>
      </w:r>
      <w:r w:rsidR="005B7104" w:rsidRPr="00493952">
        <w:rPr>
          <w:rFonts w:eastAsia="Times New Roman" w:cstheme="minorHAnsi"/>
          <w:lang w:eastAsia="pt-PT"/>
        </w:rPr>
        <w:t>Foi confirmada a informação na base de dados Infomed (acesso a 10 de maio 2020) e</w:t>
      </w:r>
      <w:r w:rsidR="008A78DB" w:rsidRPr="00493952">
        <w:rPr>
          <w:rFonts w:eastAsia="Times New Roman" w:cstheme="minorHAnsi"/>
          <w:lang w:eastAsia="pt-PT"/>
        </w:rPr>
        <w:t xml:space="preserve"> </w:t>
      </w:r>
      <w:r w:rsidR="000E30DE" w:rsidRPr="00493952">
        <w:rPr>
          <w:rFonts w:eastAsia="Times New Roman" w:cstheme="minorHAnsi"/>
          <w:lang w:eastAsia="pt-PT"/>
        </w:rPr>
        <w:t xml:space="preserve">a Moxonidina, quer o </w:t>
      </w:r>
      <w:r w:rsidR="008A78DB" w:rsidRPr="00493952">
        <w:rPr>
          <w:rFonts w:eastAsia="Times New Roman" w:cstheme="minorHAnsi"/>
          <w:lang w:eastAsia="pt-PT"/>
        </w:rPr>
        <w:t>U</w:t>
      </w:r>
      <w:r w:rsidR="000E30DE" w:rsidRPr="00493952">
        <w:rPr>
          <w:rFonts w:eastAsia="Times New Roman" w:cstheme="minorHAnsi"/>
          <w:lang w:eastAsia="pt-PT"/>
        </w:rPr>
        <w:t>rapidilo, têm AIM aprovada em Portugal</w:t>
      </w:r>
      <w:r w:rsidR="008A78DB" w:rsidRPr="00493952">
        <w:rPr>
          <w:rFonts w:eastAsia="Times New Roman" w:cstheme="minorHAnsi"/>
          <w:lang w:eastAsia="pt-PT"/>
        </w:rPr>
        <w:t>.</w:t>
      </w:r>
    </w:p>
    <w:p w14:paraId="5D51664C" w14:textId="77777777" w:rsidR="00982FFE" w:rsidRDefault="00982FFE" w:rsidP="000E30DE">
      <w:pPr>
        <w:rPr>
          <w:rFonts w:ascii="Times New Roman" w:eastAsia="Times New Roman" w:hAnsi="Times New Roman" w:cs="Times New Roman"/>
          <w:lang w:eastAsia="pt-PT"/>
        </w:rPr>
      </w:pPr>
    </w:p>
    <w:p w14:paraId="53E1B6CB" w14:textId="77777777" w:rsidR="002A5B20" w:rsidRDefault="000E30DE" w:rsidP="002A5B20">
      <w:pPr>
        <w:pStyle w:val="ListParagraph"/>
        <w:numPr>
          <w:ilvl w:val="0"/>
          <w:numId w:val="1"/>
        </w:numPr>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p w14:paraId="4E7AE19F" w14:textId="28CCCD03" w:rsidR="000E30DE" w:rsidRDefault="000E30DE" w:rsidP="002A5B20">
      <w:pPr>
        <w:pStyle w:val="ListParagraph"/>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tbl>
      <w:tblPr>
        <w:tblStyle w:val="TableGridLight"/>
        <w:tblW w:w="9634" w:type="dxa"/>
        <w:tblLook w:val="04A0" w:firstRow="1" w:lastRow="0" w:firstColumn="1" w:lastColumn="0" w:noHBand="0" w:noVBand="1"/>
      </w:tblPr>
      <w:tblGrid>
        <w:gridCol w:w="1095"/>
        <w:gridCol w:w="1971"/>
        <w:gridCol w:w="3517"/>
        <w:gridCol w:w="1492"/>
        <w:gridCol w:w="1559"/>
      </w:tblGrid>
      <w:tr w:rsidR="000E30DE" w:rsidRPr="00D84555" w14:paraId="1FE08F6E" w14:textId="77777777" w:rsidTr="004C7749">
        <w:trPr>
          <w:trHeight w:val="337"/>
        </w:trPr>
        <w:tc>
          <w:tcPr>
            <w:tcW w:w="1095" w:type="dxa"/>
            <w:vAlign w:val="center"/>
          </w:tcPr>
          <w:p w14:paraId="5B2E7949" w14:textId="77777777" w:rsidR="000E30DE" w:rsidRPr="00D84555" w:rsidRDefault="000E30DE"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C07AA05</w:t>
            </w:r>
          </w:p>
        </w:tc>
        <w:tc>
          <w:tcPr>
            <w:tcW w:w="1971" w:type="dxa"/>
            <w:vAlign w:val="center"/>
          </w:tcPr>
          <w:p w14:paraId="20EFCE46" w14:textId="77777777" w:rsidR="000E30DE" w:rsidRPr="00D84555" w:rsidRDefault="000E30DE"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Propranolol</w:t>
            </w:r>
          </w:p>
        </w:tc>
        <w:tc>
          <w:tcPr>
            <w:tcW w:w="3517" w:type="dxa"/>
            <w:vAlign w:val="center"/>
          </w:tcPr>
          <w:p w14:paraId="2AC9045C" w14:textId="77777777" w:rsidR="000E30DE" w:rsidRPr="00934079" w:rsidRDefault="000E30DE"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Bloqueador beta-adrenérgico não seletivo; pode exacerbar ou causar depressão respiratória; possíveis efeitos adversos no SNC.</w:t>
            </w:r>
          </w:p>
        </w:tc>
        <w:tc>
          <w:tcPr>
            <w:tcW w:w="1492" w:type="dxa"/>
            <w:vAlign w:val="center"/>
          </w:tcPr>
          <w:p w14:paraId="7CB90859" w14:textId="77777777" w:rsidR="000E30DE" w:rsidRPr="00934079" w:rsidRDefault="000E30DE"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highlight w:val="yellow"/>
                <w:lang w:val="pt-PT"/>
              </w:rPr>
              <w:t>3 doses de 20 mg por dia.</w:t>
            </w:r>
          </w:p>
          <w:p w14:paraId="618230BF" w14:textId="77777777" w:rsidR="000E30DE" w:rsidRPr="00934079" w:rsidRDefault="000E30DE"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 xml:space="preserve">Começar lentamente para idosos e pacientes com insuficiência renal. </w:t>
            </w:r>
          </w:p>
        </w:tc>
        <w:tc>
          <w:tcPr>
            <w:tcW w:w="1559" w:type="dxa"/>
            <w:vAlign w:val="center"/>
          </w:tcPr>
          <w:p w14:paraId="5A94F750" w14:textId="77777777" w:rsidR="000E30DE" w:rsidRPr="00934079" w:rsidRDefault="000E30DE" w:rsidP="004C7749">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 xml:space="preserve">Depende da indicação: bloqueadores </w:t>
            </w:r>
            <w:r w:rsidRPr="00D84555">
              <w:rPr>
                <w:rFonts w:ascii="Times New Roman" w:hAnsi="Times New Roman" w:cs="Times New Roman"/>
                <w:sz w:val="18"/>
                <w:szCs w:val="18"/>
              </w:rPr>
              <w:t>β</w:t>
            </w:r>
            <w:r w:rsidRPr="00934079">
              <w:rPr>
                <w:rFonts w:ascii="Times New Roman" w:hAnsi="Times New Roman" w:cs="Times New Roman"/>
                <w:sz w:val="18"/>
                <w:szCs w:val="18"/>
                <w:lang w:val="pt-PT"/>
              </w:rPr>
              <w:t xml:space="preserve"> cardioseletivos, IECA, diuréticos.</w:t>
            </w:r>
          </w:p>
        </w:tc>
      </w:tr>
    </w:tbl>
    <w:p w14:paraId="0E919D8E" w14:textId="77777777" w:rsidR="000E30DE" w:rsidRDefault="000E30DE" w:rsidP="000E30DE">
      <w:pPr>
        <w:rPr>
          <w:rFonts w:ascii="Times New Roman" w:eastAsia="Times New Roman" w:hAnsi="Times New Roman" w:cs="Times New Roman"/>
          <w:b/>
          <w:bCs/>
          <w:lang w:eastAsia="pt-PT"/>
        </w:rPr>
      </w:pPr>
    </w:p>
    <w:p w14:paraId="04EB40DD" w14:textId="0356100E" w:rsidR="000E30DE" w:rsidRDefault="000E30DE" w:rsidP="000E30DE">
      <w:pPr>
        <w:rPr>
          <w:rFonts w:ascii="Times New Roman" w:eastAsia="Times New Roman" w:hAnsi="Times New Roman" w:cs="Times New Roman"/>
          <w:lang w:eastAsia="pt-PT"/>
        </w:rPr>
      </w:pPr>
      <w:r w:rsidRPr="00AF43EC">
        <w:rPr>
          <w:rFonts w:ascii="Times New Roman" w:eastAsia="Times New Roman" w:hAnsi="Times New Roman" w:cs="Times New Roman"/>
          <w:b/>
          <w:bCs/>
          <w:lang w:eastAsia="pt-PT"/>
        </w:rPr>
        <w:t>Comentário</w:t>
      </w:r>
      <w:r>
        <w:rPr>
          <w:rFonts w:ascii="Times New Roman" w:eastAsia="Times New Roman" w:hAnsi="Times New Roman" w:cs="Times New Roman"/>
          <w:b/>
          <w:bCs/>
          <w:lang w:eastAsia="pt-PT"/>
        </w:rPr>
        <w:t xml:space="preserve"> 21: </w:t>
      </w:r>
      <w:r w:rsidRPr="00AF43EC">
        <w:rPr>
          <w:rFonts w:ascii="Times New Roman" w:eastAsia="Times New Roman" w:hAnsi="Times New Roman" w:cs="Times New Roman"/>
          <w:b/>
          <w:bCs/>
          <w:lang w:eastAsia="pt-PT"/>
        </w:rPr>
        <w:t xml:space="preserve"> </w:t>
      </w:r>
      <w:r>
        <w:rPr>
          <w:rFonts w:ascii="Times New Roman" w:eastAsia="Times New Roman" w:hAnsi="Times New Roman" w:cs="Times New Roman"/>
          <w:lang w:eastAsia="pt-PT"/>
        </w:rPr>
        <w:t>A posologia 3 doses 20 mg/dia não está correta.</w:t>
      </w:r>
    </w:p>
    <w:p w14:paraId="17B296CC" w14:textId="53B6541E" w:rsidR="000E30DE" w:rsidRPr="000E30DE" w:rsidRDefault="000E30DE" w:rsidP="000E30DE">
      <w:pPr>
        <w:rPr>
          <w:rFonts w:ascii="Times New Roman" w:eastAsia="Times New Roman" w:hAnsi="Times New Roman" w:cs="Times New Roman"/>
          <w:b/>
          <w:bCs/>
          <w:lang w:eastAsia="pt-PT"/>
        </w:rPr>
      </w:pPr>
      <w:r w:rsidRPr="000E30DE">
        <w:rPr>
          <w:rFonts w:ascii="Times New Roman" w:eastAsia="Times New Roman" w:hAnsi="Times New Roman" w:cs="Times New Roman"/>
          <w:b/>
          <w:bCs/>
          <w:lang w:eastAsia="pt-PT"/>
        </w:rPr>
        <w:t>Resposta ao Comentário 21:</w:t>
      </w:r>
    </w:p>
    <w:p w14:paraId="14C5E6EE" w14:textId="08F0BB25" w:rsidR="000E30DE" w:rsidRPr="004C7749" w:rsidRDefault="000E30DE" w:rsidP="004C7749">
      <w:pPr>
        <w:jc w:val="both"/>
      </w:pPr>
      <w:r w:rsidRPr="004C7749">
        <w:t xml:space="preserve">Existem diferentes recomendações posológicas para preparações de propranolol. </w:t>
      </w:r>
      <w:r w:rsidR="008A78DB">
        <w:t>Na maioria dos países</w:t>
      </w:r>
      <w:r w:rsidRPr="004C7749">
        <w:t>, recomenda-se 40 mg, 3 vezes ao dia, como dose inicial. Em outros países,</w:t>
      </w:r>
      <w:r w:rsidR="008A78DB">
        <w:t xml:space="preserve"> recomenda-se </w:t>
      </w:r>
      <w:r w:rsidRPr="004C7749">
        <w:t xml:space="preserve">80 mg duas vezes ao dia. A recomendação amplamente usada </w:t>
      </w:r>
      <w:r w:rsidR="008A78DB">
        <w:t>(</w:t>
      </w:r>
      <w:r w:rsidRPr="004C7749">
        <w:t>40 mg</w:t>
      </w:r>
      <w:r w:rsidR="008A78DB">
        <w:t>,</w:t>
      </w:r>
      <w:r w:rsidRPr="004C7749">
        <w:t xml:space="preserve"> 3 vezes ao dia foi abordada pelos geriatras</w:t>
      </w:r>
      <w:r w:rsidR="00493952">
        <w:t xml:space="preserve"> do grupo Delphi da Lista original</w:t>
      </w:r>
      <w:r w:rsidR="008A78DB">
        <w:t xml:space="preserve">, que recomendam </w:t>
      </w:r>
      <w:r w:rsidRPr="004C7749">
        <w:t>metade dessa dose</w:t>
      </w:r>
      <w:r w:rsidR="008A78DB">
        <w:t xml:space="preserve">, a que corresponde a posologia </w:t>
      </w:r>
      <w:r w:rsidRPr="004C7749">
        <w:t>de 20 mg 3 vezes ao dia</w:t>
      </w:r>
      <w:r w:rsidR="004C7749" w:rsidRPr="004C7749">
        <w:t>.</w:t>
      </w:r>
      <w:r w:rsidR="002A5B20">
        <w:t xml:space="preserve"> Assim foi cons</w:t>
      </w:r>
      <w:r w:rsidR="00EE522B">
        <w:t>e</w:t>
      </w:r>
      <w:r w:rsidR="002A5B20">
        <w:t>nso do grupo de trabalho da lista original colocar esta informação.</w:t>
      </w:r>
    </w:p>
    <w:p w14:paraId="3452029A" w14:textId="382F1605" w:rsidR="004C7749" w:rsidRDefault="004C7749" w:rsidP="004C7749">
      <w:pPr>
        <w:jc w:val="both"/>
      </w:pPr>
      <w:r w:rsidRPr="004C7749">
        <w:t>No RCM do medicamento Inderal</w:t>
      </w:r>
      <w:r w:rsidRPr="004C7749">
        <w:rPr>
          <w:vertAlign w:val="superscript"/>
        </w:rPr>
        <w:t>R</w:t>
      </w:r>
      <w:r w:rsidRPr="004C7749">
        <w:t>, comercializado em Portugal é referido o seguinte: “</w:t>
      </w:r>
      <w:r>
        <w:t>Não existem dados concretos acerca da relação entre os níveis sanguíneos e a idade dos doentes. No caso dos idosos, a dose adequada deverá ser determinada individualmente de acordo com a resposta clínica dos doentes.”</w:t>
      </w:r>
    </w:p>
    <w:p w14:paraId="016C8F1E" w14:textId="3E8D76C4" w:rsidR="008A78DB" w:rsidRPr="00AF43EC" w:rsidRDefault="008A78DB" w:rsidP="004C7749">
      <w:pPr>
        <w:jc w:val="both"/>
        <w:rPr>
          <w:rFonts w:ascii="Times New Roman" w:eastAsia="Times New Roman" w:hAnsi="Times New Roman" w:cs="Times New Roman"/>
          <w:b/>
          <w:bCs/>
          <w:lang w:eastAsia="pt-PT"/>
        </w:rPr>
      </w:pPr>
      <w:r>
        <w:t>Apesar de na lista original constar a dose de 20mg, 3 x dia, tendo em conta o comentário do revisor e a informação no RCM, consideramos que essa informação pode ser retirada da tabela</w:t>
      </w:r>
      <w:r w:rsidR="002A5B20">
        <w:t xml:space="preserve"> e não constar na lista operacionalizada para a realidade portuguesa, ficando ao critério do médico de acordo coma especificidade de cada doente.</w:t>
      </w:r>
    </w:p>
    <w:p w14:paraId="71158EA9" w14:textId="77777777" w:rsidR="002A5B20" w:rsidRDefault="002A5B20" w:rsidP="002A5B20">
      <w:pPr>
        <w:pStyle w:val="ListParagraph"/>
        <w:ind w:left="426"/>
        <w:jc w:val="both"/>
        <w:rPr>
          <w:rFonts w:ascii="Times New Roman" w:eastAsia="Times New Roman" w:hAnsi="Times New Roman" w:cs="Times New Roman"/>
          <w:lang w:eastAsia="pt-PT"/>
        </w:rPr>
      </w:pPr>
    </w:p>
    <w:tbl>
      <w:tblPr>
        <w:tblStyle w:val="TableGridLight"/>
        <w:tblW w:w="9634" w:type="dxa"/>
        <w:tblLook w:val="04A0" w:firstRow="1" w:lastRow="0" w:firstColumn="1" w:lastColumn="0" w:noHBand="0" w:noVBand="1"/>
      </w:tblPr>
      <w:tblGrid>
        <w:gridCol w:w="1095"/>
        <w:gridCol w:w="1971"/>
        <w:gridCol w:w="3517"/>
        <w:gridCol w:w="1492"/>
        <w:gridCol w:w="1559"/>
      </w:tblGrid>
      <w:tr w:rsidR="002A5B20" w:rsidRPr="00D84555" w14:paraId="7B68AB25" w14:textId="77777777" w:rsidTr="00DA6D0A">
        <w:trPr>
          <w:trHeight w:val="337"/>
        </w:trPr>
        <w:tc>
          <w:tcPr>
            <w:tcW w:w="1095" w:type="dxa"/>
            <w:vAlign w:val="center"/>
          </w:tcPr>
          <w:p w14:paraId="630ECA93" w14:textId="77777777" w:rsidR="002A5B20" w:rsidRPr="00D84555" w:rsidRDefault="002A5B20" w:rsidP="00DA6D0A">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C07AA05</w:t>
            </w:r>
          </w:p>
        </w:tc>
        <w:tc>
          <w:tcPr>
            <w:tcW w:w="1971" w:type="dxa"/>
            <w:vAlign w:val="center"/>
          </w:tcPr>
          <w:p w14:paraId="497E59DF" w14:textId="77777777" w:rsidR="002A5B20" w:rsidRPr="00D84555" w:rsidRDefault="002A5B20" w:rsidP="00DA6D0A">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Propranolol</w:t>
            </w:r>
          </w:p>
        </w:tc>
        <w:tc>
          <w:tcPr>
            <w:tcW w:w="3517" w:type="dxa"/>
            <w:vAlign w:val="center"/>
          </w:tcPr>
          <w:p w14:paraId="0F4A8C24" w14:textId="77777777" w:rsidR="002A5B20" w:rsidRPr="00934079" w:rsidRDefault="002A5B20" w:rsidP="00DA6D0A">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Bloqueador beta-adrenérgico não seletivo; pode exacerbar ou causar depressão respiratória; possíveis efeitos adversos no SNC.</w:t>
            </w:r>
          </w:p>
        </w:tc>
        <w:tc>
          <w:tcPr>
            <w:tcW w:w="1492" w:type="dxa"/>
            <w:vAlign w:val="center"/>
          </w:tcPr>
          <w:p w14:paraId="39EF0989" w14:textId="77777777" w:rsidR="002A5B20" w:rsidRPr="002A5B20" w:rsidRDefault="002A5B20" w:rsidP="00DA6D0A">
            <w:pPr>
              <w:spacing w:line="276" w:lineRule="auto"/>
              <w:jc w:val="both"/>
              <w:rPr>
                <w:rFonts w:ascii="Times New Roman" w:hAnsi="Times New Roman" w:cs="Times New Roman"/>
                <w:strike/>
                <w:sz w:val="18"/>
                <w:szCs w:val="18"/>
                <w:lang w:val="pt-PT"/>
              </w:rPr>
            </w:pPr>
            <w:r w:rsidRPr="002A5B20">
              <w:rPr>
                <w:rFonts w:ascii="Times New Roman" w:hAnsi="Times New Roman" w:cs="Times New Roman"/>
                <w:strike/>
                <w:sz w:val="18"/>
                <w:szCs w:val="18"/>
                <w:highlight w:val="green"/>
                <w:lang w:val="pt-PT"/>
              </w:rPr>
              <w:t>3 doses de 20 mg por dia.</w:t>
            </w:r>
          </w:p>
          <w:p w14:paraId="224D990C" w14:textId="1000156D" w:rsidR="002A5B20" w:rsidRPr="00934079" w:rsidRDefault="002A5B20" w:rsidP="00DA6D0A">
            <w:pPr>
              <w:spacing w:line="276" w:lineRule="auto"/>
              <w:jc w:val="both"/>
              <w:rPr>
                <w:rFonts w:ascii="Times New Roman" w:hAnsi="Times New Roman" w:cs="Times New Roman"/>
                <w:sz w:val="18"/>
                <w:szCs w:val="18"/>
                <w:lang w:val="pt-PT"/>
              </w:rPr>
            </w:pPr>
            <w:r w:rsidRPr="00EE522B">
              <w:rPr>
                <w:rFonts w:ascii="Times New Roman" w:hAnsi="Times New Roman" w:cs="Times New Roman"/>
                <w:sz w:val="18"/>
                <w:szCs w:val="18"/>
                <w:highlight w:val="green"/>
                <w:lang w:val="pt-PT"/>
              </w:rPr>
              <w:t>Deverá iniciar-se com a dose mais baixa e aumentar lentamente em doentes idosos e com insuficiência renal.</w:t>
            </w:r>
            <w:r w:rsidRPr="00934079">
              <w:rPr>
                <w:rFonts w:ascii="Times New Roman" w:hAnsi="Times New Roman" w:cs="Times New Roman"/>
                <w:sz w:val="18"/>
                <w:szCs w:val="18"/>
                <w:lang w:val="pt-PT"/>
              </w:rPr>
              <w:t xml:space="preserve"> </w:t>
            </w:r>
          </w:p>
        </w:tc>
        <w:tc>
          <w:tcPr>
            <w:tcW w:w="1559" w:type="dxa"/>
            <w:vAlign w:val="center"/>
          </w:tcPr>
          <w:p w14:paraId="15F537C1" w14:textId="77777777" w:rsidR="002A5B20" w:rsidRPr="00934079" w:rsidRDefault="002A5B20" w:rsidP="00DA6D0A">
            <w:pPr>
              <w:spacing w:line="276" w:lineRule="auto"/>
              <w:jc w:val="both"/>
              <w:rPr>
                <w:rFonts w:ascii="Times New Roman" w:hAnsi="Times New Roman" w:cs="Times New Roman"/>
                <w:sz w:val="18"/>
                <w:szCs w:val="18"/>
                <w:lang w:val="pt-PT"/>
              </w:rPr>
            </w:pPr>
            <w:r w:rsidRPr="00934079">
              <w:rPr>
                <w:rFonts w:ascii="Times New Roman" w:hAnsi="Times New Roman" w:cs="Times New Roman"/>
                <w:sz w:val="18"/>
                <w:szCs w:val="18"/>
                <w:lang w:val="pt-PT"/>
              </w:rPr>
              <w:t xml:space="preserve">Depende da indicação: bloqueadores </w:t>
            </w:r>
            <w:r w:rsidRPr="00D84555">
              <w:rPr>
                <w:rFonts w:ascii="Times New Roman" w:hAnsi="Times New Roman" w:cs="Times New Roman"/>
                <w:sz w:val="18"/>
                <w:szCs w:val="18"/>
              </w:rPr>
              <w:t>β</w:t>
            </w:r>
            <w:r w:rsidRPr="00934079">
              <w:rPr>
                <w:rFonts w:ascii="Times New Roman" w:hAnsi="Times New Roman" w:cs="Times New Roman"/>
                <w:sz w:val="18"/>
                <w:szCs w:val="18"/>
                <w:lang w:val="pt-PT"/>
              </w:rPr>
              <w:t xml:space="preserve"> cardioseletivos, IECA, diuréticos.</w:t>
            </w:r>
          </w:p>
        </w:tc>
      </w:tr>
    </w:tbl>
    <w:p w14:paraId="797AA7F1" w14:textId="77777777" w:rsidR="002A5B20" w:rsidRDefault="002A5B20" w:rsidP="002A5B20">
      <w:pPr>
        <w:rPr>
          <w:rFonts w:ascii="Times New Roman" w:eastAsia="Times New Roman" w:hAnsi="Times New Roman" w:cs="Times New Roman"/>
          <w:b/>
          <w:bCs/>
          <w:lang w:eastAsia="pt-PT"/>
        </w:rPr>
      </w:pPr>
    </w:p>
    <w:p w14:paraId="5023FFDA" w14:textId="77777777" w:rsidR="000E30DE" w:rsidRDefault="000E30DE" w:rsidP="004C7749">
      <w:pPr>
        <w:jc w:val="both"/>
        <w:rPr>
          <w:rFonts w:ascii="Times New Roman" w:eastAsia="Times New Roman" w:hAnsi="Times New Roman" w:cs="Times New Roman"/>
          <w:lang w:eastAsia="pt-PT"/>
        </w:rPr>
      </w:pPr>
    </w:p>
    <w:p w14:paraId="101B366C" w14:textId="77777777" w:rsidR="000E30DE" w:rsidRDefault="000E30DE" w:rsidP="002A5B20">
      <w:pPr>
        <w:pStyle w:val="ListParagraph"/>
        <w:numPr>
          <w:ilvl w:val="0"/>
          <w:numId w:val="1"/>
        </w:numPr>
        <w:ind w:left="426"/>
        <w:jc w:val="both"/>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    </w:t>
      </w:r>
    </w:p>
    <w:p w14:paraId="483C0BF3" w14:textId="77777777" w:rsidR="000E30DE" w:rsidRDefault="000E30DE" w:rsidP="000E30DE">
      <w:pPr>
        <w:rPr>
          <w:rFonts w:ascii="Times New Roman" w:eastAsia="Times New Roman" w:hAnsi="Times New Roman" w:cs="Times New Roman"/>
          <w:lang w:eastAsia="pt-PT"/>
        </w:rPr>
      </w:pPr>
    </w:p>
    <w:tbl>
      <w:tblPr>
        <w:tblStyle w:val="TableGridLight"/>
        <w:tblW w:w="9422" w:type="dxa"/>
        <w:tblLook w:val="04A0" w:firstRow="1" w:lastRow="0" w:firstColumn="1" w:lastColumn="0" w:noHBand="0" w:noVBand="1"/>
      </w:tblPr>
      <w:tblGrid>
        <w:gridCol w:w="1052"/>
        <w:gridCol w:w="1702"/>
        <w:gridCol w:w="2800"/>
        <w:gridCol w:w="1595"/>
        <w:gridCol w:w="2273"/>
      </w:tblGrid>
      <w:tr w:rsidR="000E30DE" w:rsidRPr="00D84555" w14:paraId="2B4A500A" w14:textId="77777777" w:rsidTr="004C7749">
        <w:trPr>
          <w:trHeight w:val="337"/>
        </w:trPr>
        <w:tc>
          <w:tcPr>
            <w:tcW w:w="1052" w:type="dxa"/>
            <w:vAlign w:val="center"/>
          </w:tcPr>
          <w:p w14:paraId="42A332C8" w14:textId="77777777" w:rsidR="000E30DE" w:rsidRPr="00D84555" w:rsidRDefault="000E30DE"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lastRenderedPageBreak/>
              <w:t>M01AB01</w:t>
            </w:r>
          </w:p>
        </w:tc>
        <w:tc>
          <w:tcPr>
            <w:tcW w:w="1702" w:type="dxa"/>
            <w:vAlign w:val="center"/>
          </w:tcPr>
          <w:p w14:paraId="09E003C4" w14:textId="77777777" w:rsidR="000E30DE" w:rsidRPr="00D84555" w:rsidRDefault="000E30DE" w:rsidP="004C7749">
            <w:pPr>
              <w:spacing w:line="276" w:lineRule="auto"/>
              <w:jc w:val="center"/>
              <w:rPr>
                <w:rFonts w:ascii="Times New Roman" w:hAnsi="Times New Roman" w:cs="Times New Roman"/>
                <w:b/>
                <w:sz w:val="18"/>
                <w:szCs w:val="18"/>
              </w:rPr>
            </w:pPr>
            <w:proofErr w:type="spellStart"/>
            <w:r w:rsidRPr="00D84555">
              <w:rPr>
                <w:rFonts w:ascii="Times New Roman" w:hAnsi="Times New Roman" w:cs="Times New Roman"/>
                <w:b/>
                <w:sz w:val="18"/>
                <w:szCs w:val="18"/>
              </w:rPr>
              <w:t>Indometacina</w:t>
            </w:r>
            <w:proofErr w:type="spellEnd"/>
          </w:p>
        </w:tc>
        <w:tc>
          <w:tcPr>
            <w:tcW w:w="2800" w:type="dxa"/>
            <w:vAlign w:val="center"/>
          </w:tcPr>
          <w:p w14:paraId="71FD3943" w14:textId="77777777" w:rsidR="000E30DE" w:rsidRPr="00AF43EC" w:rsidRDefault="000E30D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Elevado risco de sangramento gastrointestinal, ulceração ou perfuração, que pode ser fatal; risco de perturbações do SNC.</w:t>
            </w:r>
          </w:p>
        </w:tc>
        <w:tc>
          <w:tcPr>
            <w:tcW w:w="1595" w:type="dxa"/>
            <w:vAlign w:val="center"/>
          </w:tcPr>
          <w:p w14:paraId="1A8AAEFC" w14:textId="77777777" w:rsidR="000E30DE" w:rsidRPr="00AF43EC" w:rsidRDefault="000E30D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Reduzir a dose em 25%.</w:t>
            </w:r>
          </w:p>
          <w:p w14:paraId="5567C5E6" w14:textId="77777777" w:rsidR="000E30DE" w:rsidRPr="00AF43EC" w:rsidRDefault="000E30D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Usar durante o menor período possível.</w:t>
            </w:r>
          </w:p>
          <w:p w14:paraId="091FE5EB" w14:textId="77777777" w:rsidR="000E30DE" w:rsidRPr="00AF43EC" w:rsidRDefault="000E30D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O risco de sangramento pode ser reduzido se combinado com inibidores da bomba de protões (usar &lt;8 semanas, dose baixa).</w:t>
            </w:r>
          </w:p>
        </w:tc>
        <w:tc>
          <w:tcPr>
            <w:tcW w:w="2273" w:type="dxa"/>
            <w:vAlign w:val="center"/>
          </w:tcPr>
          <w:p w14:paraId="27C42849" w14:textId="77777777" w:rsidR="000E30DE" w:rsidRPr="00AF43EC" w:rsidRDefault="000E30D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 xml:space="preserve">Paracetamol; ibuprofeno (≤3 x 400 mg/d ou por um período inferior a uma semana); naproxeno (≤2 x 250 mg/d ou por um período inferior a uma semana). </w:t>
            </w:r>
            <w:r w:rsidRPr="00AF43EC">
              <w:rPr>
                <w:rFonts w:ascii="Times New Roman" w:hAnsi="Times New Roman" w:cs="Times New Roman"/>
                <w:sz w:val="18"/>
                <w:szCs w:val="18"/>
                <w:highlight w:val="yellow"/>
                <w:lang w:val="pt-PT"/>
              </w:rPr>
              <w:t>Opioides</w:t>
            </w:r>
            <w:r w:rsidRPr="00AF43EC">
              <w:rPr>
                <w:rFonts w:ascii="Times New Roman" w:hAnsi="Times New Roman" w:cs="Times New Roman"/>
                <w:sz w:val="18"/>
                <w:szCs w:val="18"/>
                <w:lang w:val="pt-PT"/>
              </w:rPr>
              <w:t xml:space="preserve"> com menor risco de delírio (por exemplo, naloxona, morfina, oxicodona, buprenorfina, hidromorfona).</w:t>
            </w:r>
          </w:p>
        </w:tc>
      </w:tr>
      <w:tr w:rsidR="000E30DE" w:rsidRPr="00D84555" w14:paraId="7B488E70" w14:textId="77777777" w:rsidTr="004C7749">
        <w:trPr>
          <w:trHeight w:val="337"/>
        </w:trPr>
        <w:tc>
          <w:tcPr>
            <w:tcW w:w="1052" w:type="dxa"/>
            <w:vAlign w:val="center"/>
          </w:tcPr>
          <w:p w14:paraId="5CED491A" w14:textId="77777777" w:rsidR="000E30DE" w:rsidRPr="00D84555" w:rsidRDefault="000E30DE"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M01AB05</w:t>
            </w:r>
          </w:p>
        </w:tc>
        <w:tc>
          <w:tcPr>
            <w:tcW w:w="1702" w:type="dxa"/>
            <w:vAlign w:val="center"/>
          </w:tcPr>
          <w:p w14:paraId="161A5080" w14:textId="77777777" w:rsidR="000E30DE" w:rsidRPr="00D84555" w:rsidRDefault="000E30DE"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Diclofenac</w:t>
            </w:r>
          </w:p>
        </w:tc>
        <w:tc>
          <w:tcPr>
            <w:tcW w:w="2800" w:type="dxa"/>
            <w:vAlign w:val="center"/>
          </w:tcPr>
          <w:p w14:paraId="0A8F011D" w14:textId="77777777" w:rsidR="000E30DE" w:rsidRPr="00AF43EC" w:rsidRDefault="000E30D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Elevado risco de sangramento gastrointestinal, ulceração ou perfuração, que pode ser fatal; contraindicações cardiovasculares.</w:t>
            </w:r>
          </w:p>
        </w:tc>
        <w:tc>
          <w:tcPr>
            <w:tcW w:w="1595" w:type="dxa"/>
            <w:vAlign w:val="center"/>
          </w:tcPr>
          <w:p w14:paraId="2B2A7B5F" w14:textId="77777777" w:rsidR="000E30DE" w:rsidRPr="00AF43EC" w:rsidRDefault="000E30D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50 mg/d; começar a usar dose baixa; o risco de sangramento pode ser reduzido se combinado com inibidores da bomba de protões (usar &lt;8 semanas, dose baixa).</w:t>
            </w:r>
          </w:p>
        </w:tc>
        <w:tc>
          <w:tcPr>
            <w:tcW w:w="2273" w:type="dxa"/>
            <w:vAlign w:val="center"/>
          </w:tcPr>
          <w:p w14:paraId="17CBAA14" w14:textId="77777777" w:rsidR="000E30DE" w:rsidRPr="00AF43EC" w:rsidRDefault="000E30DE"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 xml:space="preserve">Paracetamol; ibuprofeno (≤3 x 400 mg/d ou por um período inferior a uma semana); naproxeno (≤2 x 250 mg/d ou por um período inferior a uma semana). </w:t>
            </w:r>
            <w:r w:rsidRPr="00AF43EC">
              <w:rPr>
                <w:rFonts w:ascii="Times New Roman" w:hAnsi="Times New Roman" w:cs="Times New Roman"/>
                <w:sz w:val="18"/>
                <w:szCs w:val="18"/>
                <w:highlight w:val="yellow"/>
                <w:lang w:val="pt-PT"/>
              </w:rPr>
              <w:t>Opioides</w:t>
            </w:r>
            <w:r w:rsidRPr="00AF43EC">
              <w:rPr>
                <w:rFonts w:ascii="Times New Roman" w:hAnsi="Times New Roman" w:cs="Times New Roman"/>
                <w:sz w:val="18"/>
                <w:szCs w:val="18"/>
                <w:lang w:val="pt-PT"/>
              </w:rPr>
              <w:t xml:space="preserve"> com menor risco de delírio (por exemplo, naloxona, morfina, oxicodona, buprenorfina, hidromorfona).</w:t>
            </w:r>
          </w:p>
        </w:tc>
      </w:tr>
    </w:tbl>
    <w:p w14:paraId="298D6257" w14:textId="77777777" w:rsidR="000E30DE" w:rsidRDefault="000E30DE" w:rsidP="000E30DE">
      <w:pPr>
        <w:rPr>
          <w:rFonts w:ascii="Times New Roman" w:eastAsia="Times New Roman" w:hAnsi="Times New Roman" w:cs="Times New Roman"/>
          <w:lang w:eastAsia="pt-PT"/>
        </w:rPr>
      </w:pPr>
    </w:p>
    <w:p w14:paraId="30025CA1" w14:textId="4EF61EAD" w:rsidR="000E30DE" w:rsidRPr="00FA30A7" w:rsidRDefault="000E30DE" w:rsidP="000E30DE">
      <w:pPr>
        <w:rPr>
          <w:rFonts w:ascii="Times New Roman" w:eastAsia="Times New Roman" w:hAnsi="Times New Roman" w:cs="Times New Roman"/>
          <w:lang w:eastAsia="pt-PT"/>
        </w:rPr>
      </w:pPr>
      <w:r w:rsidRPr="00AF43EC">
        <w:rPr>
          <w:rFonts w:ascii="Times New Roman" w:eastAsia="Times New Roman" w:hAnsi="Times New Roman" w:cs="Times New Roman"/>
          <w:b/>
          <w:bCs/>
          <w:lang w:eastAsia="pt-PT"/>
        </w:rPr>
        <w:t xml:space="preserve">Comentário </w:t>
      </w:r>
      <w:r>
        <w:rPr>
          <w:rFonts w:ascii="Times New Roman" w:eastAsia="Times New Roman" w:hAnsi="Times New Roman" w:cs="Times New Roman"/>
          <w:b/>
          <w:bCs/>
          <w:lang w:eastAsia="pt-PT"/>
        </w:rPr>
        <w:t xml:space="preserve">22: </w:t>
      </w:r>
      <w:r w:rsidRPr="00FA30A7">
        <w:rPr>
          <w:rFonts w:ascii="Times New Roman" w:eastAsia="Times New Roman" w:hAnsi="Times New Roman" w:cs="Times New Roman"/>
          <w:lang w:eastAsia="pt-PT"/>
        </w:rPr>
        <w:t>corrigir por Opióide em TODA A PÁGINA 13, 14, 15 16, 29</w:t>
      </w:r>
    </w:p>
    <w:p w14:paraId="5303B381" w14:textId="3F50C45D" w:rsidR="004C7749" w:rsidRDefault="004C7749" w:rsidP="000E30DE">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Resposta ao Comentário 22:</w:t>
      </w:r>
    </w:p>
    <w:p w14:paraId="1889EF8A" w14:textId="6F3A4B99" w:rsidR="004C7749" w:rsidRPr="004C7749" w:rsidRDefault="002A5B20" w:rsidP="004C7749">
      <w:pPr>
        <w:jc w:val="both"/>
      </w:pPr>
      <w:r>
        <w:t>Os autores agradecem a correção</w:t>
      </w:r>
      <w:r w:rsidR="004C7749" w:rsidRPr="004C7749">
        <w:t xml:space="preserve">. A mesma </w:t>
      </w:r>
      <w:r w:rsidR="00A178CE">
        <w:t>foi</w:t>
      </w:r>
      <w:r w:rsidR="004C7749" w:rsidRPr="004C7749">
        <w:t xml:space="preserve"> feita ao longo do documento.</w:t>
      </w:r>
    </w:p>
    <w:p w14:paraId="61988C60" w14:textId="77777777" w:rsidR="004C7749" w:rsidRDefault="004C7749" w:rsidP="004C7749">
      <w:pPr>
        <w:pStyle w:val="ListParagraph"/>
        <w:ind w:left="502"/>
        <w:rPr>
          <w:rFonts w:ascii="Times New Roman" w:eastAsia="Times New Roman" w:hAnsi="Times New Roman" w:cs="Times New Roman"/>
          <w:b/>
          <w:bCs/>
          <w:lang w:eastAsia="pt-PT"/>
        </w:rPr>
      </w:pPr>
      <w:r>
        <w:rPr>
          <w:rFonts w:ascii="Times New Roman" w:eastAsia="Times New Roman" w:hAnsi="Times New Roman" w:cs="Times New Roman"/>
          <w:b/>
          <w:bCs/>
          <w:lang w:eastAsia="pt-PT"/>
        </w:rPr>
        <w:t xml:space="preserve">  </w:t>
      </w:r>
      <w:bookmarkStart w:id="0" w:name="_Hlk39787805"/>
    </w:p>
    <w:p w14:paraId="344E2993" w14:textId="77777777" w:rsidR="004C7749" w:rsidRDefault="004C7749" w:rsidP="002A5B20">
      <w:pPr>
        <w:pStyle w:val="ListParagraph"/>
        <w:numPr>
          <w:ilvl w:val="0"/>
          <w:numId w:val="1"/>
        </w:numPr>
        <w:ind w:left="426"/>
        <w:jc w:val="both"/>
        <w:rPr>
          <w:rFonts w:ascii="Times New Roman" w:eastAsia="Times New Roman" w:hAnsi="Times New Roman" w:cs="Times New Roman"/>
          <w:b/>
          <w:bCs/>
          <w:lang w:eastAsia="pt-PT"/>
        </w:rPr>
      </w:pPr>
    </w:p>
    <w:p w14:paraId="359DB90E" w14:textId="77777777" w:rsidR="004C7749" w:rsidRDefault="004C7749" w:rsidP="004C7749">
      <w:pPr>
        <w:rPr>
          <w:rFonts w:ascii="Times New Roman" w:eastAsia="Times New Roman" w:hAnsi="Times New Roman" w:cs="Times New Roman"/>
          <w:b/>
          <w:bCs/>
          <w:lang w:eastAsia="pt-PT"/>
        </w:rPr>
      </w:pPr>
    </w:p>
    <w:tbl>
      <w:tblPr>
        <w:tblStyle w:val="TableGridLight"/>
        <w:tblW w:w="9493" w:type="dxa"/>
        <w:tblLook w:val="04A0" w:firstRow="1" w:lastRow="0" w:firstColumn="1" w:lastColumn="0" w:noHBand="0" w:noVBand="1"/>
      </w:tblPr>
      <w:tblGrid>
        <w:gridCol w:w="1077"/>
        <w:gridCol w:w="1265"/>
        <w:gridCol w:w="1639"/>
        <w:gridCol w:w="3102"/>
        <w:gridCol w:w="2410"/>
      </w:tblGrid>
      <w:tr w:rsidR="004C7749" w:rsidRPr="00D84555" w14:paraId="68E88765" w14:textId="77777777" w:rsidTr="004C7749">
        <w:trPr>
          <w:trHeight w:val="337"/>
        </w:trPr>
        <w:tc>
          <w:tcPr>
            <w:tcW w:w="1077" w:type="dxa"/>
            <w:vAlign w:val="center"/>
          </w:tcPr>
          <w:p w14:paraId="7ED120F4" w14:textId="77777777" w:rsidR="004C7749" w:rsidRPr="00D84555" w:rsidRDefault="004C7749" w:rsidP="004C7749">
            <w:pPr>
              <w:spacing w:line="276" w:lineRule="auto"/>
              <w:jc w:val="center"/>
              <w:rPr>
                <w:rFonts w:ascii="Times New Roman" w:hAnsi="Times New Roman" w:cs="Times New Roman"/>
                <w:b/>
                <w:sz w:val="18"/>
                <w:szCs w:val="18"/>
              </w:rPr>
            </w:pPr>
            <w:r w:rsidRPr="00D84555">
              <w:rPr>
                <w:rFonts w:ascii="Times New Roman" w:hAnsi="Times New Roman" w:cs="Times New Roman"/>
                <w:b/>
                <w:sz w:val="18"/>
                <w:szCs w:val="18"/>
              </w:rPr>
              <w:t>M01AE02</w:t>
            </w:r>
          </w:p>
        </w:tc>
        <w:tc>
          <w:tcPr>
            <w:tcW w:w="1265" w:type="dxa"/>
            <w:vAlign w:val="center"/>
          </w:tcPr>
          <w:p w14:paraId="37EA2CCC" w14:textId="77777777" w:rsidR="004C7749" w:rsidRPr="00AF43EC" w:rsidRDefault="004C7749" w:rsidP="004C7749">
            <w:pPr>
              <w:spacing w:line="276" w:lineRule="auto"/>
              <w:jc w:val="center"/>
              <w:rPr>
                <w:rFonts w:ascii="Times New Roman" w:hAnsi="Times New Roman" w:cs="Times New Roman"/>
                <w:b/>
                <w:sz w:val="18"/>
                <w:szCs w:val="18"/>
                <w:lang w:val="pt-PT"/>
              </w:rPr>
            </w:pPr>
            <w:r w:rsidRPr="00AF43EC">
              <w:rPr>
                <w:rFonts w:ascii="Times New Roman" w:hAnsi="Times New Roman" w:cs="Times New Roman"/>
                <w:b/>
                <w:sz w:val="18"/>
                <w:szCs w:val="18"/>
                <w:lang w:val="pt-PT"/>
              </w:rPr>
              <w:t>Naproxeno (&gt;2 x 250 mg/d ou por um período superior a uma semana)</w:t>
            </w:r>
          </w:p>
        </w:tc>
        <w:tc>
          <w:tcPr>
            <w:tcW w:w="1639" w:type="dxa"/>
            <w:vAlign w:val="center"/>
          </w:tcPr>
          <w:p w14:paraId="2DC56733" w14:textId="77777777" w:rsidR="004C7749" w:rsidRPr="00AF43EC" w:rsidRDefault="004C7749"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Elevado risco de sangramento gastrointestinal, ulceração ou perfuração, que pode ser fatal.</w:t>
            </w:r>
          </w:p>
        </w:tc>
        <w:tc>
          <w:tcPr>
            <w:tcW w:w="3102" w:type="dxa"/>
            <w:vAlign w:val="center"/>
          </w:tcPr>
          <w:p w14:paraId="0914E83F" w14:textId="77777777" w:rsidR="004C7749" w:rsidRPr="00AF43EC" w:rsidRDefault="004C7749"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highlight w:val="yellow"/>
                <w:lang w:val="pt-PT"/>
              </w:rPr>
              <w:t>Reduzir a dose; começar</w:t>
            </w:r>
            <w:r w:rsidRPr="00AF43EC">
              <w:rPr>
                <w:rFonts w:ascii="Times New Roman" w:hAnsi="Times New Roman" w:cs="Times New Roman"/>
                <w:sz w:val="18"/>
                <w:szCs w:val="18"/>
                <w:lang w:val="pt-PT"/>
              </w:rPr>
              <w:t xml:space="preserve"> lentamente em idosos; evitar se CrCl &lt;30 mL/min.</w:t>
            </w:r>
          </w:p>
          <w:p w14:paraId="021E6EC4" w14:textId="77777777" w:rsidR="004C7749" w:rsidRPr="00AF43EC" w:rsidRDefault="004C7749"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O risco de sangramento pode ser reduzido se combinado com inibidores da bomba de protões (usar &lt;8 semanas, dose baixa).</w:t>
            </w:r>
          </w:p>
        </w:tc>
        <w:tc>
          <w:tcPr>
            <w:tcW w:w="2410" w:type="dxa"/>
            <w:vAlign w:val="center"/>
          </w:tcPr>
          <w:p w14:paraId="648BF951" w14:textId="77777777" w:rsidR="004C7749" w:rsidRPr="00AF43EC" w:rsidRDefault="004C7749" w:rsidP="004C7749">
            <w:pPr>
              <w:spacing w:line="276" w:lineRule="auto"/>
              <w:jc w:val="both"/>
              <w:rPr>
                <w:rFonts w:ascii="Times New Roman" w:hAnsi="Times New Roman" w:cs="Times New Roman"/>
                <w:sz w:val="18"/>
                <w:szCs w:val="18"/>
                <w:lang w:val="pt-PT"/>
              </w:rPr>
            </w:pPr>
            <w:r w:rsidRPr="00AF43EC">
              <w:rPr>
                <w:rFonts w:ascii="Times New Roman" w:hAnsi="Times New Roman" w:cs="Times New Roman"/>
                <w:sz w:val="18"/>
                <w:szCs w:val="18"/>
                <w:lang w:val="pt-PT"/>
              </w:rPr>
              <w:t>Paracetamol; ibuprofeno (≤3 x 400 mg/d ou por um período inferior a uma semana); naproxeno (≤2 x 250 mg/d ou por um período inferior a uma semana). Opioides com menor risco de delírio (por exemplo, naloxona, morfina, oxicodona, buprenorfina, hidromorfona).</w:t>
            </w:r>
          </w:p>
        </w:tc>
      </w:tr>
    </w:tbl>
    <w:p w14:paraId="3B9F1EE9" w14:textId="77777777" w:rsidR="004C7749" w:rsidRDefault="004C7749" w:rsidP="004C7749">
      <w:pPr>
        <w:rPr>
          <w:rFonts w:ascii="Times New Roman" w:eastAsia="Times New Roman" w:hAnsi="Times New Roman" w:cs="Times New Roman"/>
          <w:b/>
          <w:bCs/>
          <w:lang w:eastAsia="pt-PT"/>
        </w:rPr>
      </w:pPr>
    </w:p>
    <w:p w14:paraId="3A89EC8B" w14:textId="77777777" w:rsidR="004C7749" w:rsidRPr="00FA30A7" w:rsidRDefault="004C7749" w:rsidP="004C7749">
      <w:pPr>
        <w:rPr>
          <w:rFonts w:ascii="Times New Roman" w:eastAsia="Times New Roman" w:hAnsi="Times New Roman" w:cs="Times New Roman"/>
          <w:lang w:eastAsia="pt-PT"/>
        </w:rPr>
      </w:pPr>
      <w:r>
        <w:rPr>
          <w:rFonts w:ascii="Times New Roman" w:eastAsia="Times New Roman" w:hAnsi="Times New Roman" w:cs="Times New Roman"/>
          <w:b/>
          <w:bCs/>
          <w:lang w:eastAsia="pt-PT"/>
        </w:rPr>
        <w:t xml:space="preserve">Comentário 23: </w:t>
      </w:r>
      <w:r w:rsidRPr="00FA30A7">
        <w:rPr>
          <w:rFonts w:ascii="Times New Roman" w:eastAsia="Times New Roman" w:hAnsi="Times New Roman" w:cs="Times New Roman"/>
          <w:lang w:eastAsia="pt-PT"/>
        </w:rPr>
        <w:t>Indicar qual a dose</w:t>
      </w:r>
    </w:p>
    <w:p w14:paraId="58446085" w14:textId="41BB125A" w:rsidR="004C7749" w:rsidRDefault="00D12ECD" w:rsidP="004C7749">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Resposta Comentário 23:</w:t>
      </w:r>
    </w:p>
    <w:p w14:paraId="40BBDE49" w14:textId="25F874C3" w:rsidR="00D12ECD" w:rsidRPr="008A184F" w:rsidRDefault="00FA30A7" w:rsidP="004C7749">
      <w:pPr>
        <w:rPr>
          <w:rFonts w:ascii="Times New Roman"/>
          <w:lang w:val="pt-BR"/>
        </w:rPr>
      </w:pPr>
      <w:r w:rsidRPr="008A184F">
        <w:rPr>
          <w:rFonts w:ascii="Times New Roman"/>
          <w:lang w:val="pt-BR"/>
        </w:rPr>
        <w:t>Recomendam-se d</w:t>
      </w:r>
      <w:r w:rsidR="00D12ECD" w:rsidRPr="008A184F">
        <w:rPr>
          <w:rFonts w:ascii="Times New Roman"/>
          <w:lang w:val="pt-BR"/>
        </w:rPr>
        <w:t xml:space="preserve">oses </w:t>
      </w:r>
      <w:r w:rsidR="00D12ECD" w:rsidRPr="008A184F">
        <w:rPr>
          <w:rFonts w:ascii="Times New Roman"/>
          <w:lang w:val="pt-BR"/>
        </w:rPr>
        <w:t>≤</w:t>
      </w:r>
      <w:r w:rsidR="00D12ECD" w:rsidRPr="008A184F">
        <w:rPr>
          <w:rFonts w:ascii="Times New Roman"/>
          <w:lang w:val="pt-BR"/>
        </w:rPr>
        <w:t xml:space="preserve"> 2 x 250 mg/d</w:t>
      </w:r>
      <w:r w:rsidRPr="008A184F">
        <w:rPr>
          <w:rFonts w:ascii="Times New Roman"/>
          <w:lang w:val="pt-BR"/>
        </w:rPr>
        <w:t xml:space="preserve">ia, </w:t>
      </w:r>
      <w:r w:rsidR="00D12ECD" w:rsidRPr="008A184F">
        <w:rPr>
          <w:rFonts w:ascii="Times New Roman"/>
          <w:lang w:val="pt-BR"/>
        </w:rPr>
        <w:t>por um per</w:t>
      </w:r>
      <w:r w:rsidRPr="008A184F">
        <w:rPr>
          <w:rFonts w:ascii="Times New Roman"/>
          <w:lang w:val="pt-BR"/>
        </w:rPr>
        <w:t>io</w:t>
      </w:r>
      <w:r w:rsidR="00D12ECD" w:rsidRPr="008A184F">
        <w:rPr>
          <w:rFonts w:ascii="Times New Roman"/>
          <w:lang w:val="pt-BR"/>
        </w:rPr>
        <w:t>do inferior a uma semana</w:t>
      </w:r>
      <w:r w:rsidRPr="008A184F">
        <w:rPr>
          <w:rFonts w:ascii="Times New Roman"/>
          <w:lang w:val="pt-BR"/>
        </w:rPr>
        <w:t>.</w:t>
      </w:r>
    </w:p>
    <w:p w14:paraId="3C2F58B9" w14:textId="77777777" w:rsidR="004C7749" w:rsidRDefault="004C7749" w:rsidP="004C7749">
      <w:pPr>
        <w:rPr>
          <w:rFonts w:ascii="Times New Roman" w:eastAsia="Times New Roman" w:hAnsi="Times New Roman" w:cs="Times New Roman"/>
          <w:b/>
          <w:bCs/>
          <w:lang w:eastAsia="pt-PT"/>
        </w:rPr>
      </w:pPr>
    </w:p>
    <w:p w14:paraId="7F6B74B7" w14:textId="253B487D" w:rsidR="004C7749" w:rsidRDefault="004C7749" w:rsidP="00FA30A7">
      <w:pPr>
        <w:pStyle w:val="ListParagraph"/>
        <w:numPr>
          <w:ilvl w:val="0"/>
          <w:numId w:val="1"/>
        </w:numPr>
        <w:ind w:left="426"/>
        <w:jc w:val="both"/>
        <w:rPr>
          <w:rFonts w:ascii="Times New Roman" w:eastAsia="Times New Roman" w:hAnsi="Times New Roman" w:cs="Times New Roman"/>
          <w:b/>
          <w:bCs/>
          <w:lang w:eastAsia="pt-PT"/>
        </w:rPr>
      </w:pPr>
      <w:r>
        <w:rPr>
          <w:rFonts w:ascii="Times New Roman" w:eastAsia="Times New Roman" w:hAnsi="Times New Roman" w:cs="Times New Roman"/>
          <w:b/>
          <w:bCs/>
          <w:lang w:eastAsia="pt-PT"/>
        </w:rPr>
        <w:t xml:space="preserve">     Indicar qual a dose de </w:t>
      </w:r>
      <w:r w:rsidR="00D12ECD">
        <w:rPr>
          <w:rFonts w:ascii="Times New Roman" w:eastAsia="Times New Roman" w:hAnsi="Times New Roman" w:cs="Times New Roman"/>
          <w:b/>
          <w:bCs/>
          <w:lang w:eastAsia="pt-PT"/>
        </w:rPr>
        <w:t>início</w:t>
      </w:r>
      <w:r>
        <w:rPr>
          <w:rFonts w:ascii="Times New Roman" w:eastAsia="Times New Roman" w:hAnsi="Times New Roman" w:cs="Times New Roman"/>
          <w:b/>
          <w:bCs/>
          <w:lang w:eastAsia="pt-PT"/>
        </w:rPr>
        <w:t xml:space="preserve"> no etoricoxib, tizanidina, ciclobenzaprina, tramadol, carbamazepina</w:t>
      </w:r>
    </w:p>
    <w:p w14:paraId="58698392" w14:textId="6E58BB39" w:rsidR="004C7749" w:rsidRDefault="004C7749" w:rsidP="004C7749">
      <w:pPr>
        <w:rPr>
          <w:rFonts w:ascii="Times New Roman" w:eastAsia="Times New Roman" w:hAnsi="Times New Roman" w:cs="Times New Roman"/>
          <w:b/>
          <w:bCs/>
          <w:lang w:eastAsia="pt-PT"/>
        </w:rPr>
      </w:pPr>
    </w:p>
    <w:p w14:paraId="5D13756A" w14:textId="243F2416" w:rsidR="00D12ECD" w:rsidRDefault="00D12ECD" w:rsidP="004C7749">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lastRenderedPageBreak/>
        <w:t>Resposta ao Comentário 24:</w:t>
      </w:r>
    </w:p>
    <w:p w14:paraId="13C9A524" w14:textId="11289FB7" w:rsidR="00FA30A7" w:rsidRDefault="00FA30A7" w:rsidP="00FB2EE6">
      <w:pPr>
        <w:jc w:val="both"/>
      </w:pPr>
      <w:r>
        <w:t xml:space="preserve">Na lista original, </w:t>
      </w:r>
      <w:r w:rsidR="00493952">
        <w:t xml:space="preserve">por consenso dos autores, </w:t>
      </w:r>
      <w:r>
        <w:t xml:space="preserve">não foram colocadas as doses de </w:t>
      </w:r>
      <w:r w:rsidR="00926307">
        <w:t>início</w:t>
      </w:r>
      <w:r>
        <w:t>, no entanto recomendam-se as seguintes doses:</w:t>
      </w:r>
    </w:p>
    <w:p w14:paraId="25582C92" w14:textId="1502497B" w:rsidR="00D12ECD" w:rsidRPr="00FB2EE6" w:rsidRDefault="00D12ECD" w:rsidP="00FB2EE6">
      <w:pPr>
        <w:jc w:val="both"/>
      </w:pPr>
      <w:r w:rsidRPr="00FB2EE6">
        <w:t>Etoricoxib – Iniciar com 30 mg/dia</w:t>
      </w:r>
    </w:p>
    <w:p w14:paraId="4AF23319" w14:textId="20603D3D" w:rsidR="00D12ECD" w:rsidRPr="00FB2EE6" w:rsidRDefault="00D12ECD" w:rsidP="00FB2EE6">
      <w:pPr>
        <w:jc w:val="both"/>
      </w:pPr>
      <w:r w:rsidRPr="00FB2EE6">
        <w:t>Tizanidine – Iniciar com 2mg/dia e aumentar 2 mg semanalment</w:t>
      </w:r>
      <w:r w:rsidR="00FA30A7">
        <w:t>e</w:t>
      </w:r>
    </w:p>
    <w:p w14:paraId="38675B57" w14:textId="2BF047FB" w:rsidR="00D12ECD" w:rsidRPr="00FB2EE6" w:rsidRDefault="00D12ECD" w:rsidP="00FB2EE6">
      <w:pPr>
        <w:jc w:val="both"/>
      </w:pPr>
      <w:r w:rsidRPr="00FB2EE6">
        <w:t>Ciclobenzaprina – Iniciar com 5mg/dia e titular lentamente até ao máximo de 5mg, 3x dia.</w:t>
      </w:r>
    </w:p>
    <w:p w14:paraId="6D6E134E" w14:textId="271A1684" w:rsidR="00FB2EE6" w:rsidRPr="00FB2EE6" w:rsidRDefault="00FB2EE6" w:rsidP="00FB2EE6">
      <w:pPr>
        <w:jc w:val="both"/>
      </w:pPr>
      <w:r w:rsidRPr="00FB2EE6">
        <w:t>Tramadol - Iniciar com uma dose única de 50 mg e não exceeder a dose máxima de 300 mg.</w:t>
      </w:r>
    </w:p>
    <w:p w14:paraId="05894605" w14:textId="004B2622" w:rsidR="00FB2EE6" w:rsidRDefault="00FB2EE6" w:rsidP="00FB2EE6">
      <w:pPr>
        <w:jc w:val="both"/>
      </w:pPr>
      <w:r w:rsidRPr="00FB2EE6">
        <w:t>Carbamazepina – uma vez que a carbamazepin</w:t>
      </w:r>
      <w:r w:rsidR="003274D2">
        <w:t>a</w:t>
      </w:r>
      <w:r w:rsidRPr="00FB2EE6">
        <w:t xml:space="preserve"> está sujeita a um metabolism muito heterogéneo, pode apenas recomendar-se uma dose inicial baixa e titulação de acordo com os níveis séricos.</w:t>
      </w:r>
      <w:r>
        <w:t xml:space="preserve"> Iniciar com 200mg duas vezes ao dia e ajustar a dose consoante a resposta e as concentrações séricas.</w:t>
      </w:r>
    </w:p>
    <w:p w14:paraId="01E139EF" w14:textId="77777777" w:rsidR="00FB2EE6" w:rsidRPr="008A184F" w:rsidRDefault="00FB2EE6" w:rsidP="00FB2EE6">
      <w:pPr>
        <w:pStyle w:val="Text"/>
        <w:rPr>
          <w:rFonts w:ascii="Times New Roman"/>
          <w:lang w:val="pt-BR"/>
        </w:rPr>
      </w:pPr>
    </w:p>
    <w:p w14:paraId="62E951E0" w14:textId="77777777" w:rsidR="004C7749" w:rsidRDefault="004C7749" w:rsidP="00FA30A7">
      <w:pPr>
        <w:pStyle w:val="ListParagraph"/>
        <w:numPr>
          <w:ilvl w:val="0"/>
          <w:numId w:val="1"/>
        </w:numPr>
        <w:ind w:left="426"/>
        <w:jc w:val="both"/>
        <w:rPr>
          <w:rFonts w:ascii="Times New Roman" w:eastAsia="Times New Roman" w:hAnsi="Times New Roman" w:cs="Times New Roman"/>
          <w:b/>
          <w:bCs/>
          <w:lang w:eastAsia="pt-PT"/>
        </w:rPr>
      </w:pPr>
      <w:r>
        <w:rPr>
          <w:rFonts w:ascii="Times New Roman" w:eastAsia="Times New Roman" w:hAnsi="Times New Roman" w:cs="Times New Roman"/>
          <w:b/>
          <w:bCs/>
          <w:lang w:eastAsia="pt-PT"/>
        </w:rPr>
        <w:t xml:space="preserve"> Mequitzazina não existe PEM</w:t>
      </w:r>
    </w:p>
    <w:bookmarkEnd w:id="0"/>
    <w:p w14:paraId="20882C9E" w14:textId="79802733" w:rsidR="002B716F" w:rsidRDefault="002B716F" w:rsidP="00F01EFB">
      <w:pPr>
        <w:ind w:left="142"/>
        <w:rPr>
          <w:rFonts w:ascii="Times New Roman" w:eastAsia="Times New Roman" w:hAnsi="Times New Roman" w:cs="Times New Roman"/>
          <w:lang w:eastAsia="pt-PT"/>
        </w:rPr>
      </w:pPr>
    </w:p>
    <w:p w14:paraId="1A67AD58" w14:textId="241AD5CE" w:rsidR="00B30331" w:rsidRDefault="00B30331" w:rsidP="00B30331">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Resposta ao Comentário 25:</w:t>
      </w:r>
    </w:p>
    <w:p w14:paraId="2A732285" w14:textId="5E83E367" w:rsidR="00A178CE" w:rsidRPr="00A178CE" w:rsidRDefault="00A178CE" w:rsidP="00A178CE">
      <w:pPr>
        <w:jc w:val="both"/>
        <w:rPr>
          <w:rFonts w:eastAsia="Times New Roman" w:cstheme="minorHAnsi"/>
          <w:lang w:eastAsia="pt-PT"/>
        </w:rPr>
      </w:pPr>
      <w:r w:rsidRPr="00A178CE">
        <w:rPr>
          <w:rFonts w:eastAsia="Times New Roman" w:cstheme="minorHAnsi"/>
          <w:lang w:eastAsia="pt-PT"/>
        </w:rPr>
        <w:t xml:space="preserve">Foi confirmada a informação na base de dados </w:t>
      </w:r>
      <w:r w:rsidRPr="00A178CE">
        <w:rPr>
          <w:rFonts w:eastAsia="Times New Roman" w:cstheme="minorHAnsi"/>
          <w:i/>
          <w:iCs/>
          <w:lang w:eastAsia="pt-PT"/>
        </w:rPr>
        <w:t>Infomed</w:t>
      </w:r>
      <w:r w:rsidRPr="00A178CE">
        <w:rPr>
          <w:rFonts w:eastAsia="Times New Roman" w:cstheme="minorHAnsi"/>
          <w:lang w:eastAsia="pt-PT"/>
        </w:rPr>
        <w:t xml:space="preserve"> (acesso a 10 de maio 2020) e a Mequitzazina tem AIM aprovada em Portugal.</w:t>
      </w:r>
    </w:p>
    <w:p w14:paraId="7E95BD99" w14:textId="1230D597" w:rsidR="007F1D59" w:rsidRPr="00A178CE" w:rsidRDefault="007F1D59" w:rsidP="00E000EB">
      <w:pPr>
        <w:rPr>
          <w:rFonts w:cstheme="minorHAnsi"/>
          <w:b/>
          <w:bCs/>
        </w:rPr>
      </w:pPr>
    </w:p>
    <w:p w14:paraId="07F30A31" w14:textId="77777777" w:rsidR="00B30331" w:rsidRPr="00B30331" w:rsidRDefault="00B30331" w:rsidP="00A178CE">
      <w:pPr>
        <w:pStyle w:val="ListParagraph"/>
        <w:numPr>
          <w:ilvl w:val="0"/>
          <w:numId w:val="1"/>
        </w:numPr>
        <w:ind w:left="426"/>
        <w:jc w:val="both"/>
        <w:rPr>
          <w:rFonts w:ascii="Times New Roman" w:eastAsia="Times New Roman" w:hAnsi="Times New Roman" w:cs="Times New Roman"/>
          <w:iCs/>
          <w:lang w:eastAsia="pt-PT"/>
        </w:rPr>
      </w:pPr>
    </w:p>
    <w:p w14:paraId="405D04F7" w14:textId="653045CF" w:rsidR="005666E8" w:rsidRPr="00B30331" w:rsidRDefault="005666E8" w:rsidP="00B30331">
      <w:pPr>
        <w:ind w:left="142"/>
        <w:rPr>
          <w:rFonts w:ascii="Times New Roman" w:eastAsia="Times New Roman" w:hAnsi="Times New Roman" w:cs="Times New Roman"/>
          <w:iCs/>
          <w:lang w:eastAsia="pt-PT"/>
        </w:rPr>
      </w:pPr>
      <w:r w:rsidRPr="00B30331">
        <w:rPr>
          <w:rFonts w:ascii="Times New Roman" w:hAnsi="Times New Roman" w:cs="Times New Roman"/>
          <w:iCs/>
        </w:rPr>
        <w:t>“Ensaio piloto para análise da aplicabilidade da EU(7)-PIM List adaptada à realidade portuguesa</w:t>
      </w:r>
    </w:p>
    <w:p w14:paraId="5ED14376" w14:textId="487B7228" w:rsidR="005666E8" w:rsidRPr="005666E8" w:rsidRDefault="005666E8" w:rsidP="005666E8">
      <w:pPr>
        <w:ind w:left="142"/>
        <w:rPr>
          <w:rFonts w:ascii="Times New Roman" w:hAnsi="Times New Roman" w:cs="Times New Roman"/>
          <w:b/>
          <w:bCs/>
        </w:rPr>
      </w:pPr>
      <w:r w:rsidRPr="005666E8">
        <w:rPr>
          <w:rFonts w:ascii="Times New Roman" w:hAnsi="Times New Roman" w:cs="Times New Roman"/>
          <w:b/>
          <w:bCs/>
        </w:rPr>
        <w:t xml:space="preserve">Comentário </w:t>
      </w:r>
      <w:r w:rsidR="00B30331">
        <w:rPr>
          <w:rFonts w:ascii="Times New Roman" w:hAnsi="Times New Roman" w:cs="Times New Roman"/>
          <w:b/>
          <w:bCs/>
        </w:rPr>
        <w:t>26</w:t>
      </w:r>
    </w:p>
    <w:p w14:paraId="4B9456F7" w14:textId="7B6ABE85" w:rsidR="005666E8" w:rsidRPr="00B30331" w:rsidRDefault="00B30331" w:rsidP="005666E8">
      <w:pPr>
        <w:rPr>
          <w:rFonts w:ascii="Times New Roman" w:eastAsia="Times New Roman" w:hAnsi="Times New Roman" w:cs="Times New Roman"/>
          <w:i/>
          <w:iCs/>
          <w:lang w:eastAsia="pt-PT"/>
        </w:rPr>
      </w:pPr>
      <w:r>
        <w:rPr>
          <w:rFonts w:ascii="Times New Roman" w:hAnsi="Times New Roman" w:cs="Times New Roman"/>
          <w:i/>
          <w:iCs/>
        </w:rPr>
        <w:t>“</w:t>
      </w:r>
      <w:r w:rsidR="005666E8" w:rsidRPr="00B30331">
        <w:rPr>
          <w:rFonts w:ascii="Times New Roman" w:hAnsi="Times New Roman" w:cs="Times New Roman"/>
          <w:i/>
          <w:iCs/>
        </w:rPr>
        <w:t>Desta análise, destaca-se que 43,9% dos indivíduos da amostra toma pelo menos um medicamento do grupo dos inibidores da bomba de protões (IBP). 35,9% toma pelo menos uma benzodiazepina, incluída na lista de PIM”</w:t>
      </w:r>
    </w:p>
    <w:p w14:paraId="673D2AA2" w14:textId="18D5B66C" w:rsidR="005666E8" w:rsidRPr="00B30331" w:rsidRDefault="005666E8" w:rsidP="005666E8">
      <w:pPr>
        <w:rPr>
          <w:rFonts w:ascii="Times New Roman" w:eastAsia="Times New Roman" w:hAnsi="Times New Roman" w:cs="Times New Roman"/>
          <w:i/>
          <w:iCs/>
          <w:lang w:eastAsia="pt-PT"/>
        </w:rPr>
      </w:pPr>
      <w:r w:rsidRPr="00B30331">
        <w:rPr>
          <w:rFonts w:ascii="Times New Roman" w:eastAsia="Times New Roman" w:hAnsi="Times New Roman" w:cs="Times New Roman"/>
          <w:i/>
          <w:iCs/>
          <w:lang w:eastAsia="pt-PT"/>
        </w:rPr>
        <w:t>A tabela 3 deveria ser um gráfico de queijos/barras para melhor visualização de quais os fármacos e não tornar o artigo tão pesado, tendo em conta que os fármacos se repetem no apêndice 1.</w:t>
      </w:r>
    </w:p>
    <w:p w14:paraId="1FA62F06" w14:textId="4B2405AA" w:rsidR="00001811" w:rsidRPr="00001811" w:rsidRDefault="00001811" w:rsidP="005666E8">
      <w:pPr>
        <w:rPr>
          <w:rFonts w:ascii="Times New Roman" w:eastAsia="Times New Roman" w:hAnsi="Times New Roman" w:cs="Times New Roman"/>
          <w:b/>
          <w:bCs/>
          <w:lang w:eastAsia="pt-PT"/>
        </w:rPr>
      </w:pPr>
      <w:r w:rsidRPr="00001811">
        <w:rPr>
          <w:rFonts w:ascii="Times New Roman" w:eastAsia="Times New Roman" w:hAnsi="Times New Roman" w:cs="Times New Roman"/>
          <w:b/>
          <w:bCs/>
          <w:lang w:eastAsia="pt-PT"/>
        </w:rPr>
        <w:t xml:space="preserve">Resposta ao Comentário </w:t>
      </w:r>
      <w:r w:rsidR="00170260">
        <w:rPr>
          <w:rFonts w:ascii="Times New Roman" w:eastAsia="Times New Roman" w:hAnsi="Times New Roman" w:cs="Times New Roman"/>
          <w:b/>
          <w:bCs/>
          <w:lang w:eastAsia="pt-PT"/>
        </w:rPr>
        <w:t>2</w:t>
      </w:r>
      <w:r w:rsidR="00D35558">
        <w:rPr>
          <w:rFonts w:ascii="Times New Roman" w:eastAsia="Times New Roman" w:hAnsi="Times New Roman" w:cs="Times New Roman"/>
          <w:b/>
          <w:bCs/>
          <w:lang w:eastAsia="pt-PT"/>
        </w:rPr>
        <w:t>6</w:t>
      </w:r>
    </w:p>
    <w:p w14:paraId="59C405E1" w14:textId="176D654B" w:rsidR="005666E8" w:rsidRDefault="00001811" w:rsidP="005666E8">
      <w:pPr>
        <w:rPr>
          <w:rFonts w:ascii="Times New Roman" w:eastAsia="Times New Roman" w:hAnsi="Times New Roman" w:cs="Times New Roman"/>
          <w:lang w:eastAsia="pt-PT"/>
        </w:rPr>
      </w:pPr>
      <w:r>
        <w:rPr>
          <w:rFonts w:ascii="Times New Roman" w:eastAsia="Times New Roman" w:hAnsi="Times New Roman" w:cs="Times New Roman"/>
          <w:lang w:eastAsia="pt-PT"/>
        </w:rPr>
        <w:t>Os autores agradecem a sugestão e apresentam os resultados na forma de gráfico, conforme figura abaixo:</w:t>
      </w:r>
    </w:p>
    <w:p w14:paraId="2B65FDBA" w14:textId="0D9E646D" w:rsidR="00DC691B" w:rsidRDefault="00DC691B" w:rsidP="005666E8">
      <w:pPr>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A tabela 3 </w:t>
      </w:r>
      <w:r w:rsidR="00A178CE">
        <w:rPr>
          <w:rFonts w:ascii="Times New Roman" w:eastAsia="Times New Roman" w:hAnsi="Times New Roman" w:cs="Times New Roman"/>
          <w:lang w:eastAsia="pt-PT"/>
        </w:rPr>
        <w:t>foi</w:t>
      </w:r>
      <w:r>
        <w:rPr>
          <w:rFonts w:ascii="Times New Roman" w:eastAsia="Times New Roman" w:hAnsi="Times New Roman" w:cs="Times New Roman"/>
          <w:lang w:eastAsia="pt-PT"/>
        </w:rPr>
        <w:t xml:space="preserve"> eliminada do manuscrito e adicionada a figura 1. </w:t>
      </w:r>
    </w:p>
    <w:p w14:paraId="4168859F" w14:textId="188CEB4C" w:rsidR="00E000EB" w:rsidRPr="00E000EB" w:rsidRDefault="005160B6" w:rsidP="00E000EB">
      <w:pPr>
        <w:rPr>
          <w:rFonts w:ascii="Times New Roman" w:hAnsi="Times New Roman" w:cs="Times New Roman"/>
          <w:b/>
          <w:bCs/>
        </w:rPr>
      </w:pPr>
      <w:r>
        <w:rPr>
          <w:noProof/>
        </w:rPr>
        <w:lastRenderedPageBreak/>
        <w:drawing>
          <wp:inline distT="0" distB="0" distL="0" distR="0" wp14:anchorId="712B8478" wp14:editId="398F3DD1">
            <wp:extent cx="5400040" cy="3150023"/>
            <wp:effectExtent l="0" t="0" r="10160" b="1270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E7ED29" w14:textId="55E62272" w:rsidR="00E000EB" w:rsidRPr="00A178CE" w:rsidRDefault="00A178CE" w:rsidP="00A178CE">
      <w:pPr>
        <w:rPr>
          <w:rFonts w:ascii="Times New Roman" w:eastAsia="Times New Roman" w:hAnsi="Times New Roman" w:cs="Times New Roman"/>
          <w:lang w:eastAsia="pt-PT"/>
        </w:rPr>
      </w:pPr>
      <w:r w:rsidRPr="00A178CE">
        <w:rPr>
          <w:rFonts w:ascii="Times New Roman" w:eastAsia="Times New Roman" w:hAnsi="Times New Roman" w:cs="Times New Roman"/>
          <w:lang w:eastAsia="pt-PT"/>
        </w:rPr>
        <w:t>Figur</w:t>
      </w:r>
      <w:r w:rsidR="00AB0F11">
        <w:rPr>
          <w:rFonts w:ascii="Times New Roman" w:eastAsia="Times New Roman" w:hAnsi="Times New Roman" w:cs="Times New Roman"/>
          <w:lang w:eastAsia="pt-PT"/>
        </w:rPr>
        <w:t>a</w:t>
      </w:r>
      <w:r w:rsidRPr="00A178CE">
        <w:rPr>
          <w:rFonts w:ascii="Times New Roman" w:eastAsia="Times New Roman" w:hAnsi="Times New Roman" w:cs="Times New Roman"/>
          <w:lang w:eastAsia="pt-PT"/>
        </w:rPr>
        <w:t xml:space="preserve"> 1 </w:t>
      </w:r>
      <w:r>
        <w:rPr>
          <w:rFonts w:ascii="Times New Roman" w:eastAsia="Times New Roman" w:hAnsi="Times New Roman" w:cs="Times New Roman"/>
          <w:lang w:eastAsia="pt-PT"/>
        </w:rPr>
        <w:t xml:space="preserve">- </w:t>
      </w:r>
      <w:r w:rsidRPr="00A178CE">
        <w:rPr>
          <w:rFonts w:ascii="Times New Roman" w:eastAsia="Times New Roman" w:hAnsi="Times New Roman" w:cs="Times New Roman"/>
          <w:lang w:eastAsia="pt-PT"/>
        </w:rPr>
        <w:t>Possíveis PIM mais prevalentes na amostra em estudo</w:t>
      </w:r>
    </w:p>
    <w:p w14:paraId="00B842D5" w14:textId="2F177911" w:rsidR="00B30331" w:rsidRDefault="00B30331" w:rsidP="00B30331">
      <w:pPr>
        <w:pStyle w:val="ListParagraph"/>
        <w:ind w:left="502"/>
        <w:rPr>
          <w:rFonts w:ascii="Times New Roman" w:hAnsi="Times New Roman" w:cs="Times New Roman"/>
        </w:rPr>
      </w:pPr>
    </w:p>
    <w:p w14:paraId="328C57A5" w14:textId="77777777" w:rsidR="00926307" w:rsidRDefault="00926307" w:rsidP="00B30331">
      <w:pPr>
        <w:pStyle w:val="ListParagraph"/>
        <w:ind w:left="502"/>
        <w:rPr>
          <w:rFonts w:ascii="Times New Roman" w:hAnsi="Times New Roman" w:cs="Times New Roman"/>
        </w:rPr>
      </w:pPr>
    </w:p>
    <w:p w14:paraId="064F260D" w14:textId="77777777" w:rsidR="00170260" w:rsidRDefault="00170260" w:rsidP="00A178CE">
      <w:pPr>
        <w:pStyle w:val="ListParagraph"/>
        <w:numPr>
          <w:ilvl w:val="0"/>
          <w:numId w:val="1"/>
        </w:numPr>
        <w:ind w:left="426"/>
        <w:jc w:val="both"/>
        <w:rPr>
          <w:rFonts w:ascii="Times New Roman" w:eastAsia="Times New Roman" w:hAnsi="Times New Roman" w:cs="Times New Roman"/>
          <w:lang w:eastAsia="pt-PT"/>
        </w:rPr>
      </w:pPr>
    </w:p>
    <w:p w14:paraId="26AEA746" w14:textId="73F482E9" w:rsidR="00170260" w:rsidRPr="00170260" w:rsidRDefault="00170260" w:rsidP="00170260">
      <w:pPr>
        <w:ind w:left="142"/>
        <w:rPr>
          <w:rFonts w:ascii="Times New Roman" w:eastAsia="Times New Roman" w:hAnsi="Times New Roman" w:cs="Times New Roman"/>
          <w:lang w:eastAsia="pt-PT"/>
        </w:rPr>
      </w:pPr>
      <w:r w:rsidRPr="00170260">
        <w:rPr>
          <w:rFonts w:ascii="Times New Roman" w:eastAsia="Times New Roman" w:hAnsi="Times New Roman" w:cs="Times New Roman"/>
          <w:lang w:eastAsia="pt-PT"/>
        </w:rPr>
        <w:t>Tabela 3</w:t>
      </w:r>
    </w:p>
    <w:tbl>
      <w:tblPr>
        <w:tblStyle w:val="TableGridLight"/>
        <w:tblW w:w="9209" w:type="dxa"/>
        <w:tblLook w:val="04A0" w:firstRow="1" w:lastRow="0" w:firstColumn="1" w:lastColumn="0" w:noHBand="0" w:noVBand="1"/>
      </w:tblPr>
      <w:tblGrid>
        <w:gridCol w:w="2220"/>
        <w:gridCol w:w="4163"/>
        <w:gridCol w:w="2826"/>
      </w:tblGrid>
      <w:tr w:rsidR="00170260" w:rsidRPr="00D13763" w14:paraId="15F808D9" w14:textId="77777777" w:rsidTr="00C14940">
        <w:trPr>
          <w:trHeight w:val="337"/>
        </w:trPr>
        <w:tc>
          <w:tcPr>
            <w:tcW w:w="2220" w:type="dxa"/>
            <w:vAlign w:val="center"/>
          </w:tcPr>
          <w:p w14:paraId="1553FA1B" w14:textId="77777777" w:rsidR="00170260" w:rsidRPr="00AE59DB" w:rsidRDefault="00170260" w:rsidP="00C14940">
            <w:pPr>
              <w:spacing w:line="276" w:lineRule="auto"/>
              <w:jc w:val="center"/>
              <w:rPr>
                <w:rFonts w:ascii="Times New Roman" w:hAnsi="Times New Roman" w:cs="Times New Roman"/>
                <w:b/>
                <w:sz w:val="20"/>
                <w:szCs w:val="20"/>
              </w:rPr>
            </w:pPr>
            <w:r w:rsidRPr="00AE59DB">
              <w:rPr>
                <w:rFonts w:ascii="Times New Roman" w:hAnsi="Times New Roman" w:cs="Times New Roman"/>
                <w:b/>
                <w:sz w:val="20"/>
                <w:szCs w:val="20"/>
              </w:rPr>
              <w:t>C01BD01</w:t>
            </w:r>
          </w:p>
        </w:tc>
        <w:tc>
          <w:tcPr>
            <w:tcW w:w="4163" w:type="dxa"/>
            <w:vAlign w:val="center"/>
          </w:tcPr>
          <w:p w14:paraId="51AE90D6" w14:textId="77777777" w:rsidR="00170260" w:rsidRPr="00AE59DB" w:rsidRDefault="00170260" w:rsidP="00C14940">
            <w:pPr>
              <w:spacing w:line="276" w:lineRule="auto"/>
              <w:jc w:val="center"/>
              <w:rPr>
                <w:rFonts w:ascii="Times New Roman" w:hAnsi="Times New Roman" w:cs="Times New Roman"/>
                <w:b/>
                <w:sz w:val="20"/>
                <w:szCs w:val="20"/>
              </w:rPr>
            </w:pPr>
            <w:proofErr w:type="spellStart"/>
            <w:r w:rsidRPr="00AE59DB">
              <w:rPr>
                <w:rFonts w:ascii="Times New Roman" w:hAnsi="Times New Roman" w:cs="Times New Roman"/>
                <w:b/>
                <w:sz w:val="20"/>
                <w:szCs w:val="20"/>
              </w:rPr>
              <w:t>Amiodarona</w:t>
            </w:r>
            <w:proofErr w:type="spellEnd"/>
          </w:p>
        </w:tc>
        <w:tc>
          <w:tcPr>
            <w:tcW w:w="2826" w:type="dxa"/>
            <w:vAlign w:val="center"/>
          </w:tcPr>
          <w:p w14:paraId="30F72FF8" w14:textId="77777777" w:rsidR="00170260" w:rsidRPr="00AE59DB" w:rsidRDefault="00170260" w:rsidP="00C14940">
            <w:pPr>
              <w:spacing w:line="276" w:lineRule="auto"/>
              <w:jc w:val="both"/>
              <w:rPr>
                <w:rFonts w:ascii="Times New Roman" w:hAnsi="Times New Roman" w:cs="Times New Roman"/>
                <w:sz w:val="20"/>
                <w:szCs w:val="20"/>
                <w:lang w:val="pt-PT"/>
              </w:rPr>
            </w:pPr>
            <w:r w:rsidRPr="00AE59DB">
              <w:rPr>
                <w:rFonts w:ascii="Times New Roman" w:hAnsi="Times New Roman" w:cs="Times New Roman"/>
                <w:sz w:val="20"/>
                <w:szCs w:val="20"/>
                <w:lang w:val="pt-PT"/>
              </w:rPr>
              <w:t xml:space="preserve">Associado a </w:t>
            </w:r>
            <w:r w:rsidRPr="00AE59DB">
              <w:rPr>
                <w:rFonts w:ascii="Times New Roman" w:hAnsi="Times New Roman" w:cs="Times New Roman"/>
                <w:sz w:val="20"/>
                <w:szCs w:val="20"/>
                <w:highlight w:val="yellow"/>
                <w:lang w:val="pt-PT"/>
              </w:rPr>
              <w:t>problemas no intervalo QT e ri</w:t>
            </w:r>
            <w:r w:rsidRPr="00AE59DB">
              <w:rPr>
                <w:rFonts w:ascii="Times New Roman" w:hAnsi="Times New Roman" w:cs="Times New Roman"/>
                <w:sz w:val="20"/>
                <w:szCs w:val="20"/>
                <w:lang w:val="pt-PT"/>
              </w:rPr>
              <w:t>sco de provocar "</w:t>
            </w:r>
            <w:r w:rsidRPr="00AE59DB">
              <w:rPr>
                <w:rFonts w:ascii="Times New Roman" w:hAnsi="Times New Roman" w:cs="Times New Roman"/>
                <w:i/>
                <w:sz w:val="20"/>
                <w:szCs w:val="20"/>
                <w:lang w:val="pt-PT"/>
              </w:rPr>
              <w:t>torsades de pointes</w:t>
            </w:r>
            <w:r w:rsidRPr="00AE59DB">
              <w:rPr>
                <w:rFonts w:ascii="Times New Roman" w:hAnsi="Times New Roman" w:cs="Times New Roman"/>
                <w:sz w:val="20"/>
                <w:szCs w:val="20"/>
                <w:lang w:val="pt-PT"/>
              </w:rPr>
              <w:t xml:space="preserve">". Os dados sugerem que, para a maioria dos idosos, o </w:t>
            </w:r>
            <w:r w:rsidRPr="00AE59DB">
              <w:rPr>
                <w:rFonts w:ascii="Times New Roman" w:hAnsi="Times New Roman" w:cs="Times New Roman"/>
                <w:sz w:val="20"/>
                <w:szCs w:val="20"/>
                <w:highlight w:val="yellow"/>
                <w:lang w:val="pt-PT"/>
              </w:rPr>
              <w:t>controlo de taxas</w:t>
            </w:r>
            <w:r w:rsidRPr="00AE59DB">
              <w:rPr>
                <w:rFonts w:ascii="Times New Roman" w:hAnsi="Times New Roman" w:cs="Times New Roman"/>
                <w:sz w:val="20"/>
                <w:szCs w:val="20"/>
                <w:lang w:val="pt-PT"/>
              </w:rPr>
              <w:t xml:space="preserve"> produz um melhor equilíbrio de benefícios e danos do que o controlo do ritmo.</w:t>
            </w:r>
          </w:p>
        </w:tc>
      </w:tr>
    </w:tbl>
    <w:p w14:paraId="677838CF" w14:textId="77777777" w:rsidR="00170260" w:rsidRPr="00AE6FBB" w:rsidRDefault="00170260" w:rsidP="00170260">
      <w:pPr>
        <w:rPr>
          <w:rFonts w:ascii="Times New Roman" w:eastAsia="Times New Roman" w:hAnsi="Times New Roman" w:cs="Times New Roman"/>
          <w:lang w:eastAsia="pt-PT"/>
        </w:rPr>
      </w:pPr>
    </w:p>
    <w:p w14:paraId="0A283E16" w14:textId="2BCFDA3D" w:rsidR="00170260" w:rsidRPr="00A178CE" w:rsidRDefault="00170260" w:rsidP="00170260">
      <w:pPr>
        <w:rPr>
          <w:rFonts w:ascii="Times New Roman" w:hAnsi="Times New Roman" w:cs="Times New Roman"/>
        </w:rPr>
      </w:pPr>
      <w:r w:rsidRPr="00A178CE">
        <w:rPr>
          <w:b/>
          <w:bCs/>
        </w:rPr>
        <w:t xml:space="preserve">Comentário 27: </w:t>
      </w:r>
      <w:r w:rsidRPr="00A178CE">
        <w:rPr>
          <w:rFonts w:ascii="Times New Roman" w:hAnsi="Times New Roman" w:cs="Times New Roman"/>
          <w:highlight w:val="yellow"/>
        </w:rPr>
        <w:t xml:space="preserve"> o controlo de taxas</w:t>
      </w:r>
      <w:r w:rsidRPr="00A178CE">
        <w:rPr>
          <w:rFonts w:ascii="Times New Roman" w:hAnsi="Times New Roman" w:cs="Times New Roman"/>
        </w:rPr>
        <w:t>, referem-se a controlo de frequência cardíaca? Indicar quais os problemas do QT</w:t>
      </w:r>
    </w:p>
    <w:p w14:paraId="5FF42129" w14:textId="28AECB23" w:rsidR="00170260" w:rsidRPr="00170260" w:rsidRDefault="00170260" w:rsidP="00170260">
      <w:pPr>
        <w:rPr>
          <w:b/>
          <w:bCs/>
        </w:rPr>
      </w:pPr>
      <w:r w:rsidRPr="00170260">
        <w:rPr>
          <w:b/>
          <w:bCs/>
        </w:rPr>
        <w:t>Resposta ao Comentário 27</w:t>
      </w:r>
    </w:p>
    <w:p w14:paraId="7AC54578" w14:textId="2B4CD41D" w:rsidR="00170260" w:rsidRPr="00AB0F11" w:rsidRDefault="00170260" w:rsidP="00170260">
      <w:pPr>
        <w:rPr>
          <w:rFonts w:cstheme="minorHAnsi"/>
        </w:rPr>
      </w:pPr>
      <w:r w:rsidRPr="00AB0F11">
        <w:rPr>
          <w:rFonts w:cstheme="minorHAnsi"/>
        </w:rPr>
        <w:t xml:space="preserve">A tabela 3 foi removida do artigo na sequência do vosso comentário 26, e substituída por </w:t>
      </w:r>
      <w:r w:rsidR="00A178CE" w:rsidRPr="00AB0F11">
        <w:rPr>
          <w:rFonts w:cstheme="minorHAnsi"/>
        </w:rPr>
        <w:t>uma figura</w:t>
      </w:r>
      <w:r w:rsidRPr="00AB0F11">
        <w:rPr>
          <w:rFonts w:cstheme="minorHAnsi"/>
        </w:rPr>
        <w:t>.</w:t>
      </w:r>
    </w:p>
    <w:p w14:paraId="25E10B95" w14:textId="3F68BBC4" w:rsidR="00170260" w:rsidRPr="00AB0F11" w:rsidRDefault="00170260" w:rsidP="00170260">
      <w:pPr>
        <w:rPr>
          <w:rFonts w:cstheme="minorHAnsi"/>
        </w:rPr>
      </w:pPr>
      <w:r w:rsidRPr="00AB0F11">
        <w:rPr>
          <w:rFonts w:cstheme="minorHAnsi"/>
        </w:rPr>
        <w:t xml:space="preserve">A informação aqui referida foi atualizada na tabela </w:t>
      </w:r>
      <w:r w:rsidR="00A178CE" w:rsidRPr="00AB0F11">
        <w:rPr>
          <w:rFonts w:cstheme="minorHAnsi"/>
        </w:rPr>
        <w:t>revista do apêndice</w:t>
      </w:r>
      <w:r w:rsidRPr="00AB0F11">
        <w:rPr>
          <w:rFonts w:cstheme="minorHAnsi"/>
        </w:rPr>
        <w:t xml:space="preserve">. </w:t>
      </w:r>
    </w:p>
    <w:p w14:paraId="3C1244F2" w14:textId="23EBD5CD" w:rsidR="00170260" w:rsidRDefault="00170260" w:rsidP="00170260">
      <w:pPr>
        <w:pStyle w:val="ListParagraph"/>
        <w:ind w:left="502"/>
        <w:rPr>
          <w:rFonts w:ascii="Times New Roman" w:hAnsi="Times New Roman" w:cs="Times New Roman"/>
          <w:i/>
          <w:iCs/>
        </w:rPr>
      </w:pPr>
    </w:p>
    <w:p w14:paraId="2AB11082" w14:textId="77777777" w:rsidR="00170260" w:rsidRPr="00AE59DB" w:rsidRDefault="00170260" w:rsidP="00A178CE">
      <w:pPr>
        <w:pStyle w:val="ListParagraph"/>
        <w:numPr>
          <w:ilvl w:val="0"/>
          <w:numId w:val="1"/>
        </w:numPr>
        <w:ind w:left="426"/>
        <w:jc w:val="both"/>
        <w:rPr>
          <w:rFonts w:ascii="Times New Roman" w:hAnsi="Times New Roman" w:cs="Times New Roman"/>
          <w:sz w:val="20"/>
          <w:szCs w:val="20"/>
        </w:rPr>
      </w:pPr>
    </w:p>
    <w:tbl>
      <w:tblPr>
        <w:tblStyle w:val="TableGridLight"/>
        <w:tblW w:w="9635" w:type="dxa"/>
        <w:tblLook w:val="04A0" w:firstRow="1" w:lastRow="0" w:firstColumn="1" w:lastColumn="0" w:noHBand="0" w:noVBand="1"/>
      </w:tblPr>
      <w:tblGrid>
        <w:gridCol w:w="1084"/>
        <w:gridCol w:w="1257"/>
        <w:gridCol w:w="2987"/>
        <w:gridCol w:w="1572"/>
        <w:gridCol w:w="2077"/>
        <w:gridCol w:w="658"/>
      </w:tblGrid>
      <w:tr w:rsidR="00170260" w:rsidRPr="00210591" w14:paraId="1A367997" w14:textId="77777777" w:rsidTr="00C14940">
        <w:trPr>
          <w:trHeight w:val="337"/>
        </w:trPr>
        <w:tc>
          <w:tcPr>
            <w:tcW w:w="1084" w:type="dxa"/>
            <w:vAlign w:val="center"/>
          </w:tcPr>
          <w:p w14:paraId="65D30751" w14:textId="77777777" w:rsidR="00170260" w:rsidRPr="00AE59DB" w:rsidRDefault="00170260" w:rsidP="00C14940">
            <w:pPr>
              <w:spacing w:line="276" w:lineRule="auto"/>
              <w:jc w:val="center"/>
              <w:rPr>
                <w:rFonts w:ascii="Times New Roman" w:hAnsi="Times New Roman" w:cs="Times New Roman"/>
                <w:b/>
                <w:sz w:val="20"/>
                <w:szCs w:val="20"/>
              </w:rPr>
            </w:pPr>
            <w:r w:rsidRPr="00AE59DB">
              <w:rPr>
                <w:rFonts w:ascii="Times New Roman" w:hAnsi="Times New Roman" w:cs="Times New Roman"/>
                <w:b/>
                <w:sz w:val="20"/>
                <w:szCs w:val="20"/>
              </w:rPr>
              <w:t>M01AB05</w:t>
            </w:r>
          </w:p>
        </w:tc>
        <w:tc>
          <w:tcPr>
            <w:tcW w:w="1257" w:type="dxa"/>
            <w:vAlign w:val="center"/>
          </w:tcPr>
          <w:p w14:paraId="6BCCA230" w14:textId="77777777" w:rsidR="00170260" w:rsidRPr="00AE59DB" w:rsidRDefault="00170260" w:rsidP="00C14940">
            <w:pPr>
              <w:spacing w:line="276" w:lineRule="auto"/>
              <w:jc w:val="center"/>
              <w:rPr>
                <w:rFonts w:ascii="Times New Roman" w:hAnsi="Times New Roman" w:cs="Times New Roman"/>
                <w:b/>
                <w:sz w:val="20"/>
                <w:szCs w:val="20"/>
              </w:rPr>
            </w:pPr>
            <w:r w:rsidRPr="00AE59DB">
              <w:rPr>
                <w:rFonts w:ascii="Times New Roman" w:hAnsi="Times New Roman" w:cs="Times New Roman"/>
                <w:b/>
                <w:sz w:val="20"/>
                <w:szCs w:val="20"/>
              </w:rPr>
              <w:t>Diclofenac</w:t>
            </w:r>
          </w:p>
        </w:tc>
        <w:tc>
          <w:tcPr>
            <w:tcW w:w="2987" w:type="dxa"/>
            <w:vAlign w:val="center"/>
          </w:tcPr>
          <w:p w14:paraId="2476FDA1" w14:textId="77777777" w:rsidR="00170260" w:rsidRPr="00AE59DB" w:rsidRDefault="00170260" w:rsidP="00C14940">
            <w:pPr>
              <w:spacing w:line="276" w:lineRule="auto"/>
              <w:ind w:hanging="982"/>
              <w:jc w:val="both"/>
              <w:rPr>
                <w:rFonts w:ascii="Times New Roman" w:hAnsi="Times New Roman" w:cs="Times New Roman"/>
                <w:sz w:val="20"/>
                <w:szCs w:val="20"/>
                <w:lang w:val="pt-PT"/>
              </w:rPr>
            </w:pPr>
            <w:r w:rsidRPr="00AE59DB">
              <w:rPr>
                <w:rFonts w:ascii="Times New Roman" w:hAnsi="Times New Roman" w:cs="Times New Roman"/>
                <w:sz w:val="20"/>
                <w:szCs w:val="20"/>
                <w:lang w:val="pt-PT"/>
              </w:rPr>
              <w:t>Elevado risco de sangramento gastrointestinal, ulceração ou perfuração, que pode ser fatal; contraindicações cardiovasculares.</w:t>
            </w:r>
          </w:p>
        </w:tc>
        <w:tc>
          <w:tcPr>
            <w:tcW w:w="1572" w:type="dxa"/>
            <w:vAlign w:val="center"/>
          </w:tcPr>
          <w:p w14:paraId="03ECDC70" w14:textId="77777777" w:rsidR="00170260" w:rsidRPr="00AE59DB" w:rsidRDefault="00170260" w:rsidP="00C14940">
            <w:pPr>
              <w:spacing w:line="276" w:lineRule="auto"/>
              <w:jc w:val="both"/>
              <w:rPr>
                <w:rFonts w:ascii="Times New Roman" w:hAnsi="Times New Roman" w:cs="Times New Roman"/>
                <w:sz w:val="20"/>
                <w:szCs w:val="20"/>
                <w:lang w:val="pt-PT"/>
              </w:rPr>
            </w:pPr>
            <w:r w:rsidRPr="00AE59DB">
              <w:rPr>
                <w:rFonts w:ascii="Times New Roman" w:hAnsi="Times New Roman" w:cs="Times New Roman"/>
                <w:sz w:val="20"/>
                <w:szCs w:val="20"/>
                <w:lang w:val="pt-PT"/>
              </w:rPr>
              <w:t xml:space="preserve">50 mg/d; começar a usar dose baixa; o risco de sangramento pode ser </w:t>
            </w:r>
            <w:r w:rsidRPr="00AE59DB">
              <w:rPr>
                <w:rFonts w:ascii="Times New Roman" w:hAnsi="Times New Roman" w:cs="Times New Roman"/>
                <w:sz w:val="20"/>
                <w:szCs w:val="20"/>
                <w:lang w:val="pt-PT"/>
              </w:rPr>
              <w:lastRenderedPageBreak/>
              <w:t>reduzido se combinado com inibidores da bomba de protões (usar &lt;8 semanas, dose baixa).</w:t>
            </w:r>
          </w:p>
        </w:tc>
        <w:tc>
          <w:tcPr>
            <w:tcW w:w="2077" w:type="dxa"/>
            <w:vAlign w:val="center"/>
          </w:tcPr>
          <w:p w14:paraId="30D16B16" w14:textId="77777777" w:rsidR="00170260" w:rsidRPr="00AE59DB" w:rsidRDefault="00170260" w:rsidP="00C14940">
            <w:pPr>
              <w:spacing w:line="276" w:lineRule="auto"/>
              <w:jc w:val="both"/>
              <w:rPr>
                <w:rFonts w:ascii="Times New Roman" w:hAnsi="Times New Roman" w:cs="Times New Roman"/>
                <w:sz w:val="20"/>
                <w:szCs w:val="20"/>
                <w:lang w:val="pt-PT"/>
              </w:rPr>
            </w:pPr>
            <w:r w:rsidRPr="00AE59DB">
              <w:rPr>
                <w:rFonts w:ascii="Times New Roman" w:hAnsi="Times New Roman" w:cs="Times New Roman"/>
                <w:sz w:val="20"/>
                <w:szCs w:val="20"/>
                <w:lang w:val="pt-PT"/>
              </w:rPr>
              <w:lastRenderedPageBreak/>
              <w:t xml:space="preserve">Paracetamol; ibuprofeno (≤3 x 400 mg/d ou por um período inferior a uma semana); naproxeno (≤2 x 250 mg/d ou por </w:t>
            </w:r>
            <w:r w:rsidRPr="00AE59DB">
              <w:rPr>
                <w:rFonts w:ascii="Times New Roman" w:hAnsi="Times New Roman" w:cs="Times New Roman"/>
                <w:sz w:val="20"/>
                <w:szCs w:val="20"/>
                <w:lang w:val="pt-PT"/>
              </w:rPr>
              <w:lastRenderedPageBreak/>
              <w:t xml:space="preserve">um período inferior a uma semana). </w:t>
            </w:r>
            <w:r w:rsidRPr="00AE59DB">
              <w:rPr>
                <w:rFonts w:ascii="Times New Roman" w:hAnsi="Times New Roman" w:cs="Times New Roman"/>
                <w:sz w:val="20"/>
                <w:szCs w:val="20"/>
                <w:highlight w:val="yellow"/>
                <w:lang w:val="pt-PT"/>
              </w:rPr>
              <w:t>Opioides</w:t>
            </w:r>
            <w:r w:rsidRPr="00AE59DB">
              <w:rPr>
                <w:rFonts w:ascii="Times New Roman" w:hAnsi="Times New Roman" w:cs="Times New Roman"/>
                <w:sz w:val="20"/>
                <w:szCs w:val="20"/>
                <w:lang w:val="pt-PT"/>
              </w:rPr>
              <w:t xml:space="preserve"> com menor risco de delírio (por exemplo, naloxona, morfina, oxicodona, buprenorfina, hidromorfona).</w:t>
            </w:r>
          </w:p>
        </w:tc>
        <w:tc>
          <w:tcPr>
            <w:tcW w:w="658" w:type="dxa"/>
            <w:vAlign w:val="center"/>
          </w:tcPr>
          <w:p w14:paraId="6D05FFE2" w14:textId="77777777" w:rsidR="00170260" w:rsidRPr="00AE59DB" w:rsidRDefault="00170260" w:rsidP="00C14940">
            <w:pPr>
              <w:spacing w:line="276" w:lineRule="auto"/>
              <w:jc w:val="center"/>
              <w:rPr>
                <w:rFonts w:ascii="Times New Roman" w:hAnsi="Times New Roman" w:cs="Times New Roman"/>
                <w:sz w:val="20"/>
                <w:szCs w:val="20"/>
              </w:rPr>
            </w:pPr>
            <w:r w:rsidRPr="00AE59DB">
              <w:rPr>
                <w:rFonts w:ascii="Times New Roman" w:hAnsi="Times New Roman" w:cs="Times New Roman"/>
                <w:sz w:val="20"/>
                <w:szCs w:val="20"/>
              </w:rPr>
              <w:lastRenderedPageBreak/>
              <w:t>2,9%</w:t>
            </w:r>
          </w:p>
        </w:tc>
      </w:tr>
    </w:tbl>
    <w:p w14:paraId="15FDF86A" w14:textId="77777777" w:rsidR="00170260" w:rsidRDefault="00170260" w:rsidP="00170260">
      <w:pPr>
        <w:rPr>
          <w:b/>
          <w:bCs/>
        </w:rPr>
      </w:pPr>
    </w:p>
    <w:p w14:paraId="36E34C54" w14:textId="4B2FBA92" w:rsidR="00170260" w:rsidRDefault="00170260" w:rsidP="00170260">
      <w:r w:rsidRPr="00AE6FBB">
        <w:rPr>
          <w:b/>
          <w:bCs/>
        </w:rPr>
        <w:t xml:space="preserve">Comentário </w:t>
      </w:r>
      <w:r>
        <w:rPr>
          <w:b/>
          <w:bCs/>
        </w:rPr>
        <w:t>28:</w:t>
      </w:r>
      <w:r>
        <w:t xml:space="preserve"> Corrigir “opioides" por Opióides</w:t>
      </w:r>
    </w:p>
    <w:p w14:paraId="0115587F" w14:textId="5B58E6FF" w:rsidR="00170260" w:rsidRPr="00170260" w:rsidRDefault="00170260" w:rsidP="00170260">
      <w:pPr>
        <w:rPr>
          <w:b/>
          <w:bCs/>
        </w:rPr>
      </w:pPr>
      <w:r w:rsidRPr="00170260">
        <w:rPr>
          <w:b/>
          <w:bCs/>
        </w:rPr>
        <w:t>Resposta ao Comentário 28:</w:t>
      </w:r>
    </w:p>
    <w:p w14:paraId="6ED12396" w14:textId="649A832D" w:rsidR="00170260" w:rsidRDefault="00170260" w:rsidP="00170260">
      <w:r>
        <w:t>Os autores agradecem a correção</w:t>
      </w:r>
      <w:r w:rsidR="00A178CE">
        <w:t xml:space="preserve">. Esta correção foi feita na tabela revista. </w:t>
      </w:r>
    </w:p>
    <w:p w14:paraId="33C1BE45" w14:textId="3033B230" w:rsidR="00B30331" w:rsidRDefault="00B30331" w:rsidP="00D23C8A">
      <w:pPr>
        <w:jc w:val="both"/>
        <w:rPr>
          <w:rFonts w:ascii="Arial" w:hAnsi="Arial" w:cs="Arial"/>
          <w:b/>
          <w:bCs/>
          <w:color w:val="222222"/>
          <w:shd w:val="clear" w:color="auto" w:fill="FFFFFF"/>
        </w:rPr>
      </w:pPr>
    </w:p>
    <w:p w14:paraId="3C38D402" w14:textId="77777777" w:rsidR="00E1040F" w:rsidRPr="00617094" w:rsidRDefault="00E1040F" w:rsidP="00E1040F">
      <w:pPr>
        <w:rPr>
          <w:rFonts w:ascii="Times New Roman" w:eastAsia="Times New Roman" w:hAnsi="Times New Roman" w:cs="Times New Roman"/>
          <w:b/>
          <w:bCs/>
          <w:color w:val="C00000"/>
          <w:lang w:eastAsia="pt-PT"/>
        </w:rPr>
      </w:pPr>
      <w:r w:rsidRPr="00617094">
        <w:rPr>
          <w:rFonts w:ascii="Times New Roman" w:eastAsia="Times New Roman" w:hAnsi="Times New Roman" w:cs="Times New Roman"/>
          <w:b/>
          <w:bCs/>
          <w:color w:val="C00000"/>
          <w:lang w:eastAsia="pt-PT"/>
        </w:rPr>
        <w:t>DISCUSSÃO</w:t>
      </w:r>
    </w:p>
    <w:p w14:paraId="6B2A288A" w14:textId="77777777" w:rsidR="00E1040F" w:rsidRDefault="00E1040F" w:rsidP="005E3DD7">
      <w:pPr>
        <w:pStyle w:val="ListParagraph"/>
        <w:numPr>
          <w:ilvl w:val="0"/>
          <w:numId w:val="1"/>
        </w:numPr>
        <w:ind w:left="426"/>
        <w:jc w:val="both"/>
        <w:rPr>
          <w:rFonts w:ascii="Times New Roman" w:eastAsia="Times New Roman" w:hAnsi="Times New Roman" w:cs="Times New Roman"/>
          <w:b/>
          <w:bCs/>
          <w:lang w:eastAsia="pt-PT"/>
        </w:rPr>
      </w:pPr>
      <w:r>
        <w:rPr>
          <w:rFonts w:ascii="Times New Roman" w:eastAsia="Times New Roman" w:hAnsi="Times New Roman" w:cs="Times New Roman"/>
          <w:b/>
          <w:bCs/>
          <w:lang w:eastAsia="pt-PT"/>
        </w:rPr>
        <w:t xml:space="preserve"> </w:t>
      </w:r>
    </w:p>
    <w:p w14:paraId="0C898EFC" w14:textId="77777777" w:rsidR="00733765" w:rsidRDefault="00733765" w:rsidP="00E1040F">
      <w:pPr>
        <w:rPr>
          <w:rFonts w:ascii="Times New Roman" w:eastAsia="Times New Roman" w:hAnsi="Times New Roman" w:cs="Times New Roman"/>
          <w:b/>
          <w:bCs/>
          <w:lang w:eastAsia="pt-PT"/>
        </w:rPr>
      </w:pPr>
    </w:p>
    <w:p w14:paraId="4B6231D7" w14:textId="7105F4B4" w:rsidR="00E1040F" w:rsidRDefault="00E1040F" w:rsidP="00E1040F">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 xml:space="preserve">COMENTÁRIO 29: </w:t>
      </w:r>
    </w:p>
    <w:p w14:paraId="111EDAC0" w14:textId="77777777" w:rsidR="00E1040F" w:rsidRDefault="00E1040F" w:rsidP="00E1040F">
      <w:pPr>
        <w:rPr>
          <w:rFonts w:ascii="Times New Roman" w:hAnsi="Times New Roman" w:cs="Times New Roman"/>
        </w:rPr>
      </w:pPr>
      <w:r>
        <w:rPr>
          <w:rFonts w:ascii="Times New Roman" w:eastAsia="Times New Roman" w:hAnsi="Times New Roman" w:cs="Times New Roman"/>
          <w:b/>
          <w:bCs/>
          <w:lang w:eastAsia="pt-PT"/>
        </w:rPr>
        <w:t xml:space="preserve"> “</w:t>
      </w:r>
      <w:r w:rsidRPr="00AE59DB">
        <w:rPr>
          <w:rFonts w:ascii="Times New Roman" w:hAnsi="Times New Roman" w:cs="Times New Roman"/>
          <w:highlight w:val="yellow"/>
        </w:rPr>
        <w:t>Apesar de 43,9% da amostra estar a tomar inibidores da bomba de protões, não podemos concluir que estavam a tomar um PIM pois o período de administração poderia ser inferior a 8 semanas”</w:t>
      </w:r>
    </w:p>
    <w:p w14:paraId="2AB91AF9" w14:textId="77777777" w:rsidR="00E1040F" w:rsidRDefault="00E1040F" w:rsidP="00E1040F">
      <w:pPr>
        <w:rPr>
          <w:rFonts w:ascii="Times New Roman" w:eastAsia="Times New Roman" w:hAnsi="Times New Roman" w:cs="Times New Roman"/>
          <w:b/>
          <w:bCs/>
          <w:lang w:eastAsia="pt-PT"/>
        </w:rPr>
      </w:pPr>
      <w:r>
        <w:rPr>
          <w:rFonts w:ascii="Times New Roman" w:hAnsi="Times New Roman" w:cs="Times New Roman"/>
        </w:rPr>
        <w:t>Deveria ser adicionado um comentário relativamente ao facto de muitas vezes de estes doentes estarem sob IBP e sem indicação fornal para o seu uso, apesar de ser inferior a 8 semanas. Indicar quais são as indicações formais para o seu uso.</w:t>
      </w:r>
    </w:p>
    <w:p w14:paraId="1A4C939C" w14:textId="28BE16D4" w:rsidR="00E1040F" w:rsidRDefault="00733765" w:rsidP="00E1040F">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Resposta ao Comentário 29.</w:t>
      </w:r>
    </w:p>
    <w:p w14:paraId="1F7E966A" w14:textId="3DEDCCE5" w:rsidR="00733765" w:rsidRPr="00AB0F11" w:rsidRDefault="00733765" w:rsidP="00E1040F">
      <w:pPr>
        <w:rPr>
          <w:rFonts w:eastAsia="Times New Roman" w:cstheme="minorHAnsi"/>
          <w:b/>
          <w:bCs/>
          <w:lang w:eastAsia="pt-PT"/>
        </w:rPr>
      </w:pPr>
      <w:r w:rsidRPr="00AB0F11">
        <w:rPr>
          <w:rFonts w:eastAsia="Times New Roman" w:cstheme="minorHAnsi"/>
          <w:b/>
          <w:bCs/>
          <w:lang w:eastAsia="pt-PT"/>
        </w:rPr>
        <w:t xml:space="preserve">Os autores agradecem a sugestão e oportunidade de discutir esta informação tão importante. </w:t>
      </w:r>
    </w:p>
    <w:p w14:paraId="5E4E564D" w14:textId="1352B3BB" w:rsidR="00733765" w:rsidRPr="00AB0F11" w:rsidRDefault="00733765" w:rsidP="00E1040F">
      <w:pPr>
        <w:rPr>
          <w:rFonts w:cstheme="minorHAnsi"/>
        </w:rPr>
      </w:pPr>
      <w:r w:rsidRPr="00AB0F11">
        <w:rPr>
          <w:rFonts w:cstheme="minorHAnsi"/>
        </w:rPr>
        <w:t xml:space="preserve">Foi adicionada </w:t>
      </w:r>
      <w:r w:rsidR="00AB0F11">
        <w:rPr>
          <w:rFonts w:cstheme="minorHAnsi"/>
        </w:rPr>
        <w:t xml:space="preserve">na secção “Discussão” </w:t>
      </w:r>
      <w:r w:rsidRPr="00AB0F11">
        <w:rPr>
          <w:rFonts w:cstheme="minorHAnsi"/>
        </w:rPr>
        <w:t>a seguinte informação:</w:t>
      </w:r>
    </w:p>
    <w:p w14:paraId="5403A8A2" w14:textId="77777777" w:rsidR="00C015CF" w:rsidRDefault="00C015CF" w:rsidP="00C015CF">
      <w:pPr>
        <w:spacing w:line="276" w:lineRule="auto"/>
        <w:jc w:val="both"/>
      </w:pPr>
    </w:p>
    <w:p w14:paraId="6F06E928" w14:textId="06A98F29" w:rsidR="00C939E1" w:rsidRPr="00C939E1" w:rsidRDefault="00733765" w:rsidP="00C939E1">
      <w:pPr>
        <w:autoSpaceDE w:val="0"/>
        <w:autoSpaceDN w:val="0"/>
        <w:adjustRightInd w:val="0"/>
        <w:spacing w:after="0" w:line="240" w:lineRule="auto"/>
        <w:jc w:val="both"/>
        <w:rPr>
          <w:sz w:val="24"/>
          <w:szCs w:val="24"/>
        </w:rPr>
      </w:pPr>
      <w:bookmarkStart w:id="1" w:name="_Hlk39793575"/>
      <w:r w:rsidRPr="00C939E1">
        <w:rPr>
          <w:sz w:val="24"/>
          <w:szCs w:val="24"/>
          <w:highlight w:val="green"/>
        </w:rPr>
        <w:t>No entanto, estudo</w:t>
      </w:r>
      <w:r w:rsidR="00A178CE">
        <w:rPr>
          <w:sz w:val="24"/>
          <w:szCs w:val="24"/>
          <w:highlight w:val="green"/>
        </w:rPr>
        <w:t>s</w:t>
      </w:r>
      <w:r w:rsidRPr="00C939E1">
        <w:rPr>
          <w:sz w:val="24"/>
          <w:szCs w:val="24"/>
          <w:highlight w:val="green"/>
        </w:rPr>
        <w:t xml:space="preserve"> recentes têm demonstrado, que os inibidores da bomba de protões são sobre utilizados e que cerca de 25-70% das prescrições não têm indicação de u</w:t>
      </w:r>
      <w:r w:rsidRPr="00DA6D0A">
        <w:rPr>
          <w:sz w:val="24"/>
          <w:szCs w:val="24"/>
          <w:highlight w:val="green"/>
        </w:rPr>
        <w:t>tilização</w:t>
      </w:r>
      <w:r w:rsidR="00DA6D0A" w:rsidRPr="00DA6D0A">
        <w:rPr>
          <w:sz w:val="24"/>
          <w:szCs w:val="24"/>
          <w:highlight w:val="green"/>
        </w:rPr>
        <w:t xml:space="preserve"> </w:t>
      </w:r>
      <w:r w:rsidR="00DA6D0A" w:rsidRPr="00DA6D0A">
        <w:rPr>
          <w:rFonts w:ascii="Times New Roman" w:hAnsi="Times New Roman" w:cs="Times New Roman"/>
          <w:highlight w:val="green"/>
          <w:vertAlign w:val="superscript"/>
        </w:rPr>
        <w:t>30</w:t>
      </w:r>
      <w:r w:rsidR="00C939E1" w:rsidRPr="00DA6D0A">
        <w:rPr>
          <w:sz w:val="24"/>
          <w:szCs w:val="24"/>
          <w:highlight w:val="green"/>
        </w:rPr>
        <w:t xml:space="preserve">. As indicações </w:t>
      </w:r>
      <w:r w:rsidR="00A178CE">
        <w:rPr>
          <w:sz w:val="24"/>
          <w:szCs w:val="24"/>
          <w:highlight w:val="green"/>
        </w:rPr>
        <w:t xml:space="preserve">de utilização </w:t>
      </w:r>
      <w:r w:rsidR="00C939E1" w:rsidRPr="00C939E1">
        <w:rPr>
          <w:sz w:val="24"/>
          <w:szCs w:val="24"/>
          <w:highlight w:val="green"/>
        </w:rPr>
        <w:t xml:space="preserve">como terapêutica crónica </w:t>
      </w:r>
      <w:r w:rsidR="00C939E1" w:rsidRPr="00DA6D0A">
        <w:rPr>
          <w:sz w:val="24"/>
          <w:szCs w:val="24"/>
          <w:highlight w:val="green"/>
        </w:rPr>
        <w:t>são</w:t>
      </w:r>
      <w:r w:rsidR="00DA6D0A" w:rsidRPr="00DA6D0A">
        <w:rPr>
          <w:sz w:val="24"/>
          <w:szCs w:val="24"/>
          <w:highlight w:val="green"/>
        </w:rPr>
        <w:t xml:space="preserve"> </w:t>
      </w:r>
      <w:r w:rsidR="00DA6D0A" w:rsidRPr="00DA6D0A">
        <w:rPr>
          <w:rFonts w:ascii="Times New Roman" w:hAnsi="Times New Roman" w:cs="Times New Roman"/>
          <w:highlight w:val="green"/>
          <w:vertAlign w:val="superscript"/>
        </w:rPr>
        <w:t>31</w:t>
      </w:r>
      <w:r w:rsidR="00C939E1" w:rsidRPr="00DA6D0A">
        <w:rPr>
          <w:sz w:val="24"/>
          <w:szCs w:val="24"/>
          <w:highlight w:val="green"/>
        </w:rPr>
        <w:t xml:space="preserve">: (i) </w:t>
      </w:r>
      <w:r w:rsidR="00C939E1" w:rsidRPr="00C939E1">
        <w:rPr>
          <w:sz w:val="24"/>
          <w:szCs w:val="24"/>
          <w:highlight w:val="green"/>
        </w:rPr>
        <w:t xml:space="preserve">doença regurgitante (DRGE) com esofagite, (ii) DRGE sem </w:t>
      </w:r>
      <w:r w:rsidR="00554B09" w:rsidRPr="00C939E1">
        <w:rPr>
          <w:sz w:val="24"/>
          <w:szCs w:val="24"/>
          <w:highlight w:val="green"/>
        </w:rPr>
        <w:t>esofagite,</w:t>
      </w:r>
      <w:r w:rsidR="00C939E1" w:rsidRPr="00C939E1">
        <w:rPr>
          <w:sz w:val="24"/>
          <w:szCs w:val="24"/>
          <w:highlight w:val="green"/>
        </w:rPr>
        <w:t xml:space="preserve"> mas com sintomas persistentes, (i</w:t>
      </w:r>
      <w:r w:rsidR="00554B09">
        <w:rPr>
          <w:sz w:val="24"/>
          <w:szCs w:val="24"/>
          <w:highlight w:val="green"/>
        </w:rPr>
        <w:t>ii</w:t>
      </w:r>
      <w:r w:rsidR="00C939E1" w:rsidRPr="00C939E1">
        <w:rPr>
          <w:sz w:val="24"/>
          <w:szCs w:val="24"/>
          <w:highlight w:val="green"/>
        </w:rPr>
        <w:t xml:space="preserve">) no esófago de Barrett; </w:t>
      </w:r>
      <w:r w:rsidR="00554B09">
        <w:rPr>
          <w:sz w:val="24"/>
          <w:szCs w:val="24"/>
          <w:highlight w:val="green"/>
        </w:rPr>
        <w:t>i</w:t>
      </w:r>
      <w:r w:rsidR="00C939E1" w:rsidRPr="00C939E1">
        <w:rPr>
          <w:sz w:val="24"/>
          <w:szCs w:val="24"/>
          <w:highlight w:val="green"/>
        </w:rPr>
        <w:t xml:space="preserve">v) na úlcera péptica com episódios recorrentes e, (v) na síndrome de Zollinger‐Ellison. Um </w:t>
      </w:r>
      <w:r w:rsidR="00554B09">
        <w:rPr>
          <w:sz w:val="24"/>
          <w:szCs w:val="24"/>
          <w:highlight w:val="green"/>
        </w:rPr>
        <w:t xml:space="preserve">recente </w:t>
      </w:r>
      <w:r w:rsidR="00C939E1" w:rsidRPr="00C939E1">
        <w:rPr>
          <w:sz w:val="24"/>
          <w:szCs w:val="24"/>
          <w:highlight w:val="green"/>
        </w:rPr>
        <w:t>estudo de meta-anális</w:t>
      </w:r>
      <w:r w:rsidR="00C939E1" w:rsidRPr="00DA6D0A">
        <w:rPr>
          <w:sz w:val="24"/>
          <w:szCs w:val="24"/>
          <w:highlight w:val="green"/>
        </w:rPr>
        <w:t>e</w:t>
      </w:r>
      <w:r w:rsidR="00DA6D0A" w:rsidRPr="00DA6D0A">
        <w:rPr>
          <w:sz w:val="24"/>
          <w:szCs w:val="24"/>
          <w:highlight w:val="green"/>
        </w:rPr>
        <w:t xml:space="preserve"> </w:t>
      </w:r>
      <w:r w:rsidR="00DA6D0A" w:rsidRPr="00DA6D0A">
        <w:rPr>
          <w:rFonts w:ascii="Times New Roman" w:hAnsi="Times New Roman" w:cs="Times New Roman"/>
          <w:highlight w:val="green"/>
          <w:vertAlign w:val="superscript"/>
        </w:rPr>
        <w:t>32</w:t>
      </w:r>
      <w:r w:rsidR="00DA6D0A" w:rsidRPr="00DA6D0A">
        <w:rPr>
          <w:sz w:val="24"/>
          <w:szCs w:val="24"/>
          <w:highlight w:val="green"/>
        </w:rPr>
        <w:t>, concluiu que</w:t>
      </w:r>
      <w:r w:rsidR="00C939E1" w:rsidRPr="00DA6D0A">
        <w:rPr>
          <w:sz w:val="24"/>
          <w:szCs w:val="24"/>
          <w:highlight w:val="green"/>
        </w:rPr>
        <w:t xml:space="preserve"> apesar de o uso de inibidores da bomba de protões ter benefícios terapêuticos </w:t>
      </w:r>
      <w:r w:rsidR="00C939E1" w:rsidRPr="00C939E1">
        <w:rPr>
          <w:sz w:val="24"/>
          <w:szCs w:val="24"/>
          <w:highlight w:val="green"/>
        </w:rPr>
        <w:t>a curto prazo, o seu uso prolongado está associado a eventos adversos que podem ser</w:t>
      </w:r>
      <w:r w:rsidR="00AB0F11">
        <w:rPr>
          <w:sz w:val="24"/>
          <w:szCs w:val="24"/>
          <w:highlight w:val="green"/>
        </w:rPr>
        <w:t xml:space="preserve"> </w:t>
      </w:r>
      <w:r w:rsidR="00C939E1" w:rsidRPr="00C939E1">
        <w:rPr>
          <w:sz w:val="24"/>
          <w:szCs w:val="24"/>
          <w:highlight w:val="green"/>
        </w:rPr>
        <w:t>potencialmente graves.  Nos diferentes estudos incluídos nesta meta-análise foi reportada a possível associação entre o uso de inibidores da bomba de protões e doença renal crónica, pneumonia, cancro, demência, fratura, anemia, hipomagnesiemia e alterações cardíacas</w:t>
      </w:r>
      <w:r w:rsidR="00C939E1" w:rsidRPr="00554B09">
        <w:rPr>
          <w:sz w:val="24"/>
          <w:szCs w:val="24"/>
          <w:highlight w:val="green"/>
        </w:rPr>
        <w:t xml:space="preserve">. </w:t>
      </w:r>
      <w:r w:rsidR="00554B09" w:rsidRPr="00554B09">
        <w:rPr>
          <w:sz w:val="24"/>
          <w:szCs w:val="24"/>
          <w:highlight w:val="green"/>
        </w:rPr>
        <w:t xml:space="preserve">Assim, na população idosa, é ainda mais relevante um cuidado acrescido na monitorização da prescrição de inibidores da bomba de protões, e sua </w:t>
      </w:r>
      <w:r w:rsidR="00554B09" w:rsidRPr="00554B09">
        <w:rPr>
          <w:sz w:val="24"/>
          <w:szCs w:val="24"/>
          <w:highlight w:val="green"/>
        </w:rPr>
        <w:lastRenderedPageBreak/>
        <w:t>utilização como terapêutica crónica, pelo risco acrescido de ocorrência de eventos adversos potencialmente graves.</w:t>
      </w:r>
    </w:p>
    <w:bookmarkEnd w:id="1"/>
    <w:p w14:paraId="772B9B6A" w14:textId="77777777" w:rsidR="00C939E1" w:rsidRDefault="00C939E1" w:rsidP="00C939E1">
      <w:pPr>
        <w:autoSpaceDE w:val="0"/>
        <w:autoSpaceDN w:val="0"/>
        <w:adjustRightInd w:val="0"/>
        <w:spacing w:after="0" w:line="240" w:lineRule="auto"/>
        <w:rPr>
          <w:rFonts w:ascii="AdvOTbc475f09" w:hAnsi="AdvOTbc475f09" w:cs="AdvOTbc475f09"/>
          <w:sz w:val="19"/>
          <w:szCs w:val="19"/>
        </w:rPr>
      </w:pPr>
    </w:p>
    <w:p w14:paraId="460AA6FF" w14:textId="5EF62353" w:rsidR="00733765" w:rsidRDefault="00733765" w:rsidP="005E3DD7">
      <w:pPr>
        <w:pStyle w:val="ListParagraph"/>
        <w:numPr>
          <w:ilvl w:val="0"/>
          <w:numId w:val="1"/>
        </w:numPr>
        <w:ind w:left="426"/>
        <w:jc w:val="both"/>
      </w:pPr>
    </w:p>
    <w:p w14:paraId="06C7874A" w14:textId="3770C50B" w:rsidR="00E1040F" w:rsidRDefault="00E1040F" w:rsidP="00E1040F">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Comentário 30:</w:t>
      </w:r>
    </w:p>
    <w:p w14:paraId="56484DFF" w14:textId="19E8098E" w:rsidR="00E1040F" w:rsidRDefault="00926307" w:rsidP="00E1040F">
      <w:pPr>
        <w:rPr>
          <w:rFonts w:ascii="Times New Roman" w:hAnsi="Times New Roman" w:cs="Times New Roman"/>
        </w:rPr>
      </w:pPr>
      <w:r w:rsidRPr="00926307">
        <w:rPr>
          <w:rFonts w:ascii="Times New Roman" w:hAnsi="Times New Roman" w:cs="Times New Roman"/>
        </w:rPr>
        <w:t>“Por</w:t>
      </w:r>
      <w:r w:rsidR="00E1040F">
        <w:rPr>
          <w:rFonts w:ascii="Times New Roman" w:hAnsi="Times New Roman" w:cs="Times New Roman"/>
        </w:rPr>
        <w:t xml:space="preserve"> outro lado, os dados disponíveis não permitiram a aplicação de todos os critérios.”</w:t>
      </w:r>
    </w:p>
    <w:p w14:paraId="25446C80" w14:textId="77777777" w:rsidR="00E1040F" w:rsidRDefault="00E1040F" w:rsidP="00E1040F">
      <w:pPr>
        <w:rPr>
          <w:rFonts w:ascii="Times New Roman" w:eastAsia="Times New Roman" w:hAnsi="Times New Roman" w:cs="Times New Roman"/>
          <w:b/>
          <w:bCs/>
          <w:lang w:eastAsia="pt-PT"/>
        </w:rPr>
      </w:pPr>
      <w:r>
        <w:rPr>
          <w:rFonts w:ascii="Times New Roman" w:hAnsi="Times New Roman" w:cs="Times New Roman"/>
        </w:rPr>
        <w:t>Quais critérios?</w:t>
      </w:r>
    </w:p>
    <w:p w14:paraId="4D033607" w14:textId="0164298D" w:rsidR="00E1040F" w:rsidRDefault="00FB2220" w:rsidP="00E1040F">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Resposta ao Comentário 30:</w:t>
      </w:r>
    </w:p>
    <w:p w14:paraId="15A53145" w14:textId="04984E7A" w:rsidR="00FB2220" w:rsidRDefault="00FB2220" w:rsidP="00D92581">
      <w:pPr>
        <w:rPr>
          <w:rFonts w:eastAsia="Times New Roman" w:cstheme="minorHAnsi"/>
          <w:lang w:eastAsia="pt-PT"/>
        </w:rPr>
      </w:pPr>
      <w:r w:rsidRPr="00D92581">
        <w:rPr>
          <w:rFonts w:eastAsia="Times New Roman" w:cstheme="minorHAnsi"/>
          <w:lang w:eastAsia="pt-PT"/>
        </w:rPr>
        <w:t>Como referido no texto do artigo, n</w:t>
      </w:r>
      <w:r w:rsidR="00554B09" w:rsidRPr="00D92581">
        <w:rPr>
          <w:rFonts w:eastAsia="Times New Roman" w:cstheme="minorHAnsi"/>
          <w:lang w:eastAsia="pt-PT"/>
        </w:rPr>
        <w:t>ão</w:t>
      </w:r>
      <w:r w:rsidRPr="00D92581">
        <w:rPr>
          <w:rFonts w:eastAsia="Times New Roman" w:cstheme="minorHAnsi"/>
          <w:lang w:eastAsia="pt-PT"/>
        </w:rPr>
        <w:t xml:space="preserve"> foi possível aplicar os critérios </w:t>
      </w:r>
      <w:r w:rsidR="00D92581" w:rsidRPr="00D92581">
        <w:rPr>
          <w:rFonts w:eastAsia="Times New Roman" w:cstheme="minorHAnsi"/>
          <w:lang w:eastAsia="pt-PT"/>
        </w:rPr>
        <w:t xml:space="preserve">relativos ao </w:t>
      </w:r>
      <w:r w:rsidRPr="00D92581">
        <w:rPr>
          <w:rFonts w:eastAsia="Times New Roman" w:cstheme="minorHAnsi"/>
          <w:lang w:eastAsia="pt-PT"/>
        </w:rPr>
        <w:t>período de administração</w:t>
      </w:r>
      <w:r w:rsidR="00D92581" w:rsidRPr="00D92581">
        <w:rPr>
          <w:rFonts w:eastAsia="Times New Roman" w:cstheme="minorHAnsi"/>
          <w:lang w:eastAsia="pt-PT"/>
        </w:rPr>
        <w:t>, um parâmetro necessário para que alguns medicamentos sejam considerado</w:t>
      </w:r>
      <w:r w:rsidR="00D92581">
        <w:rPr>
          <w:rFonts w:eastAsia="Times New Roman" w:cstheme="minorHAnsi"/>
          <w:lang w:eastAsia="pt-PT"/>
        </w:rPr>
        <w:t>s</w:t>
      </w:r>
      <w:r w:rsidR="00D92581" w:rsidRPr="00D92581">
        <w:rPr>
          <w:rFonts w:eastAsia="Times New Roman" w:cstheme="minorHAnsi"/>
          <w:lang w:eastAsia="pt-PT"/>
        </w:rPr>
        <w:t xml:space="preserve"> PIM, conforme identificado na tabela da lista em Apêndice</w:t>
      </w:r>
      <w:r w:rsidR="00AB0F11">
        <w:rPr>
          <w:rFonts w:eastAsia="Times New Roman" w:cstheme="minorHAnsi"/>
          <w:lang w:eastAsia="pt-PT"/>
        </w:rPr>
        <w:t>. Por essa razão nos resultados colocamos sempre “possíveis PIM” e “medicamento incluídos na lista de PIM”.</w:t>
      </w:r>
    </w:p>
    <w:p w14:paraId="55FE6DB7" w14:textId="77777777" w:rsidR="005E3DD7" w:rsidRPr="00D92581" w:rsidRDefault="005E3DD7" w:rsidP="005E3DD7">
      <w:pPr>
        <w:pStyle w:val="ListParagraph"/>
        <w:numPr>
          <w:ilvl w:val="0"/>
          <w:numId w:val="1"/>
        </w:numPr>
        <w:ind w:left="426"/>
        <w:jc w:val="both"/>
        <w:rPr>
          <w:rFonts w:eastAsia="Times New Roman" w:cstheme="minorHAnsi"/>
          <w:lang w:eastAsia="pt-PT"/>
        </w:rPr>
      </w:pPr>
    </w:p>
    <w:p w14:paraId="0F3C87FB" w14:textId="77777777" w:rsidR="00E1040F" w:rsidRPr="00FB2220" w:rsidRDefault="00E1040F" w:rsidP="00E1040F">
      <w:pPr>
        <w:rPr>
          <w:rFonts w:ascii="Times New Roman" w:eastAsia="Times New Roman" w:hAnsi="Times New Roman" w:cs="Times New Roman"/>
          <w:b/>
          <w:bCs/>
          <w:lang w:eastAsia="pt-PT"/>
        </w:rPr>
      </w:pPr>
      <w:r w:rsidRPr="00617094">
        <w:rPr>
          <w:rFonts w:ascii="Times New Roman" w:eastAsia="Times New Roman" w:hAnsi="Times New Roman" w:cs="Times New Roman"/>
          <w:b/>
          <w:bCs/>
          <w:lang w:eastAsia="pt-PT"/>
        </w:rPr>
        <w:t xml:space="preserve">Comentário </w:t>
      </w:r>
      <w:r>
        <w:rPr>
          <w:rFonts w:ascii="Times New Roman" w:eastAsia="Times New Roman" w:hAnsi="Times New Roman" w:cs="Times New Roman"/>
          <w:b/>
          <w:bCs/>
          <w:lang w:eastAsia="pt-PT"/>
        </w:rPr>
        <w:t>31</w:t>
      </w:r>
      <w:r w:rsidRPr="00617094">
        <w:rPr>
          <w:rFonts w:ascii="Times New Roman" w:eastAsia="Times New Roman" w:hAnsi="Times New Roman" w:cs="Times New Roman"/>
          <w:b/>
          <w:bCs/>
          <w:lang w:eastAsia="pt-PT"/>
        </w:rPr>
        <w:t>:</w:t>
      </w:r>
      <w:r>
        <w:rPr>
          <w:rFonts w:ascii="Times New Roman" w:eastAsia="Times New Roman" w:hAnsi="Times New Roman" w:cs="Times New Roman"/>
          <w:lang w:eastAsia="pt-PT"/>
        </w:rPr>
        <w:t xml:space="preserve"> Tornaria o artigo mais completo e informativo colocar quais a indicações ditas com apropriadas, para os fármacos listados no Apêndice 1. Mais do que saber quais os fármacos </w:t>
      </w:r>
      <w:r w:rsidRPr="00FB2220">
        <w:rPr>
          <w:rFonts w:ascii="Times New Roman" w:eastAsia="Times New Roman" w:hAnsi="Times New Roman" w:cs="Times New Roman"/>
          <w:lang w:eastAsia="pt-PT"/>
        </w:rPr>
        <w:t>inapropriados, é entender o porquê do seu uso.</w:t>
      </w:r>
    </w:p>
    <w:p w14:paraId="20396F11" w14:textId="3B05BE7D" w:rsidR="00E1040F" w:rsidRPr="00FB2220" w:rsidRDefault="00FB2220" w:rsidP="00E1040F">
      <w:pPr>
        <w:rPr>
          <w:rFonts w:ascii="Times New Roman" w:eastAsia="Times New Roman" w:hAnsi="Times New Roman" w:cs="Times New Roman"/>
          <w:b/>
          <w:bCs/>
          <w:lang w:eastAsia="pt-PT"/>
        </w:rPr>
      </w:pPr>
      <w:r w:rsidRPr="00FB2220">
        <w:rPr>
          <w:rFonts w:ascii="Times New Roman" w:eastAsia="Times New Roman" w:hAnsi="Times New Roman" w:cs="Times New Roman"/>
          <w:b/>
          <w:bCs/>
          <w:lang w:eastAsia="pt-PT"/>
        </w:rPr>
        <w:t>Resposta ao Cometário 31:</w:t>
      </w:r>
    </w:p>
    <w:p w14:paraId="66698212" w14:textId="0EB8E1FC" w:rsidR="00FB2220" w:rsidRPr="00D92581" w:rsidRDefault="005E3DD7" w:rsidP="00E1040F">
      <w:pPr>
        <w:rPr>
          <w:rFonts w:eastAsia="Times New Roman" w:cstheme="minorHAnsi"/>
          <w:lang w:eastAsia="pt-PT"/>
        </w:rPr>
      </w:pPr>
      <w:r>
        <w:rPr>
          <w:rFonts w:eastAsia="Times New Roman" w:cstheme="minorHAnsi"/>
          <w:lang w:eastAsia="pt-PT"/>
        </w:rPr>
        <w:t>Os autores agradecem o comentário. No entanto, o</w:t>
      </w:r>
      <w:r w:rsidR="00FB2220" w:rsidRPr="00D92581">
        <w:rPr>
          <w:rFonts w:eastAsia="Times New Roman" w:cstheme="minorHAnsi"/>
          <w:lang w:eastAsia="pt-PT"/>
        </w:rPr>
        <w:t xml:space="preserve"> objetivo deste trabalho e da elaboração da lista que consta no A</w:t>
      </w:r>
      <w:r w:rsidR="00D92581" w:rsidRPr="00D92581">
        <w:rPr>
          <w:rFonts w:eastAsia="Times New Roman" w:cstheme="minorHAnsi"/>
          <w:lang w:eastAsia="pt-PT"/>
        </w:rPr>
        <w:t>p</w:t>
      </w:r>
      <w:r w:rsidR="00FB2220" w:rsidRPr="00D92581">
        <w:rPr>
          <w:rFonts w:eastAsia="Times New Roman" w:cstheme="minorHAnsi"/>
          <w:lang w:eastAsia="pt-PT"/>
        </w:rPr>
        <w:t>êndice 1 foi operacionalizar a E</w:t>
      </w:r>
      <w:r w:rsidR="00D92581" w:rsidRPr="00D92581">
        <w:rPr>
          <w:rFonts w:eastAsia="Times New Roman" w:cstheme="minorHAnsi"/>
          <w:lang w:eastAsia="pt-PT"/>
        </w:rPr>
        <w:t>U</w:t>
      </w:r>
      <w:r w:rsidR="00FB2220" w:rsidRPr="00D92581">
        <w:rPr>
          <w:rFonts w:eastAsia="Times New Roman" w:cstheme="minorHAnsi"/>
          <w:lang w:eastAsia="pt-PT"/>
        </w:rPr>
        <w:t xml:space="preserve"> (7) – PIM List para a realidade portuguesa, como instrumento de consulta de quais os medicamento</w:t>
      </w:r>
      <w:r w:rsidR="00CF04EC" w:rsidRPr="00D92581">
        <w:rPr>
          <w:rFonts w:eastAsia="Times New Roman" w:cstheme="minorHAnsi"/>
          <w:lang w:eastAsia="pt-PT"/>
        </w:rPr>
        <w:t>s</w:t>
      </w:r>
      <w:r w:rsidR="00FB2220" w:rsidRPr="00D92581">
        <w:rPr>
          <w:rFonts w:eastAsia="Times New Roman" w:cstheme="minorHAnsi"/>
          <w:lang w:eastAsia="pt-PT"/>
        </w:rPr>
        <w:t xml:space="preserve"> considerados PIM na população idosa.</w:t>
      </w:r>
      <w:r w:rsidR="00AB0F11">
        <w:rPr>
          <w:rFonts w:eastAsia="Times New Roman" w:cstheme="minorHAnsi"/>
          <w:lang w:eastAsia="pt-PT"/>
        </w:rPr>
        <w:t xml:space="preserve"> Foi seguida a metodologia da Lista original. </w:t>
      </w:r>
      <w:r w:rsidR="00FB2220" w:rsidRPr="00D92581">
        <w:rPr>
          <w:rFonts w:eastAsia="Times New Roman" w:cstheme="minorHAnsi"/>
          <w:lang w:eastAsia="pt-PT"/>
        </w:rPr>
        <w:t xml:space="preserve"> </w:t>
      </w:r>
      <w:r w:rsidR="00D92581" w:rsidRPr="00D92581">
        <w:rPr>
          <w:rFonts w:eastAsia="Times New Roman" w:cstheme="minorHAnsi"/>
          <w:lang w:eastAsia="pt-PT"/>
        </w:rPr>
        <w:t>Dada a relevância do tema essa questão de estudo será considerada em fases seguintes do projeto APIMedOlder, financiado pela FCT, que estamos a desenvolver.</w:t>
      </w:r>
    </w:p>
    <w:p w14:paraId="76251282" w14:textId="77777777" w:rsidR="00CF04EC" w:rsidRDefault="00CF04EC" w:rsidP="00E1040F">
      <w:pPr>
        <w:rPr>
          <w:rFonts w:ascii="Times New Roman" w:eastAsia="Times New Roman" w:hAnsi="Times New Roman" w:cs="Times New Roman"/>
          <w:lang w:eastAsia="pt-PT"/>
        </w:rPr>
      </w:pPr>
    </w:p>
    <w:p w14:paraId="5666B292" w14:textId="77777777" w:rsidR="00E1040F" w:rsidRDefault="00E1040F" w:rsidP="005E3DD7">
      <w:pPr>
        <w:pStyle w:val="ListParagraph"/>
        <w:numPr>
          <w:ilvl w:val="0"/>
          <w:numId w:val="1"/>
        </w:numPr>
        <w:ind w:left="426"/>
        <w:jc w:val="both"/>
        <w:rPr>
          <w:rFonts w:ascii="Times New Roman" w:eastAsia="Times New Roman" w:hAnsi="Times New Roman" w:cs="Times New Roman"/>
          <w:lang w:eastAsia="pt-PT"/>
        </w:rPr>
      </w:pPr>
    </w:p>
    <w:p w14:paraId="3CDD6B3F" w14:textId="77777777" w:rsidR="00E1040F" w:rsidRDefault="00E1040F" w:rsidP="00E1040F">
      <w:pPr>
        <w:rPr>
          <w:rFonts w:ascii="Times New Roman" w:eastAsia="Times New Roman" w:hAnsi="Times New Roman" w:cs="Times New Roman"/>
          <w:lang w:eastAsia="pt-PT"/>
        </w:rPr>
      </w:pPr>
      <w:r w:rsidRPr="00617094">
        <w:rPr>
          <w:rFonts w:ascii="Times New Roman" w:eastAsia="Times New Roman" w:hAnsi="Times New Roman" w:cs="Times New Roman"/>
          <w:b/>
          <w:bCs/>
          <w:lang w:eastAsia="pt-PT"/>
        </w:rPr>
        <w:t xml:space="preserve">Comentário </w:t>
      </w:r>
      <w:r>
        <w:rPr>
          <w:rFonts w:ascii="Times New Roman" w:eastAsia="Times New Roman" w:hAnsi="Times New Roman" w:cs="Times New Roman"/>
          <w:b/>
          <w:bCs/>
          <w:lang w:eastAsia="pt-PT"/>
        </w:rPr>
        <w:t>32</w:t>
      </w:r>
      <w:r w:rsidRPr="00617094">
        <w:rPr>
          <w:rFonts w:ascii="Times New Roman" w:eastAsia="Times New Roman" w:hAnsi="Times New Roman" w:cs="Times New Roman"/>
          <w:b/>
          <w:bCs/>
          <w:lang w:eastAsia="pt-PT"/>
        </w:rPr>
        <w:t>:</w:t>
      </w:r>
      <w:r>
        <w:rPr>
          <w:rFonts w:ascii="Times New Roman" w:eastAsia="Times New Roman" w:hAnsi="Times New Roman" w:cs="Times New Roman"/>
          <w:lang w:eastAsia="pt-PT"/>
        </w:rPr>
        <w:t xml:space="preserve"> Indicar qual a fórmula usada para a clearance neste estudo</w:t>
      </w:r>
    </w:p>
    <w:p w14:paraId="1568326C" w14:textId="73931E97" w:rsidR="00E1040F" w:rsidRPr="00AE18BE" w:rsidRDefault="00FB2220" w:rsidP="00AE18BE">
      <w:pPr>
        <w:jc w:val="both"/>
        <w:rPr>
          <w:rFonts w:eastAsia="Times New Roman" w:cstheme="minorHAnsi"/>
          <w:lang w:eastAsia="pt-PT"/>
        </w:rPr>
      </w:pPr>
      <w:r w:rsidRPr="00AE18BE">
        <w:rPr>
          <w:rFonts w:eastAsia="Times New Roman" w:cstheme="minorHAnsi"/>
          <w:lang w:eastAsia="pt-PT"/>
        </w:rPr>
        <w:t xml:space="preserve">Os dados de </w:t>
      </w:r>
      <w:r w:rsidR="00D92581" w:rsidRPr="00AE18BE">
        <w:rPr>
          <w:rFonts w:eastAsia="Times New Roman" w:cstheme="minorHAnsi"/>
          <w:lang w:eastAsia="pt-PT"/>
        </w:rPr>
        <w:t>clearance</w:t>
      </w:r>
      <w:r w:rsidRPr="00AE18BE">
        <w:rPr>
          <w:rFonts w:eastAsia="Times New Roman" w:cstheme="minorHAnsi"/>
          <w:lang w:eastAsia="pt-PT"/>
        </w:rPr>
        <w:t xml:space="preserve"> referidos no Apendice 1 são os referenciado</w:t>
      </w:r>
      <w:r w:rsidR="00D92581" w:rsidRPr="00AE18BE">
        <w:rPr>
          <w:rFonts w:eastAsia="Times New Roman" w:cstheme="minorHAnsi"/>
          <w:lang w:eastAsia="pt-PT"/>
        </w:rPr>
        <w:t>s</w:t>
      </w:r>
      <w:r w:rsidRPr="00AE18BE">
        <w:rPr>
          <w:rFonts w:eastAsia="Times New Roman" w:cstheme="minorHAnsi"/>
          <w:lang w:eastAsia="pt-PT"/>
        </w:rPr>
        <w:t xml:space="preserve"> no Micromedex</w:t>
      </w:r>
      <w:r w:rsidRPr="00AE18BE">
        <w:rPr>
          <w:rFonts w:eastAsia="Times New Roman" w:cstheme="minorHAnsi"/>
          <w:vertAlign w:val="superscript"/>
          <w:lang w:eastAsia="pt-PT"/>
        </w:rPr>
        <w:t>R</w:t>
      </w:r>
      <w:r w:rsidRPr="00AE18BE">
        <w:rPr>
          <w:rFonts w:eastAsia="Times New Roman" w:cstheme="minorHAnsi"/>
          <w:lang w:eastAsia="pt-PT"/>
        </w:rPr>
        <w:t xml:space="preserve">, uma vez que tal como referido na lista original </w:t>
      </w:r>
      <w:r w:rsidR="00CF04EC" w:rsidRPr="00AE18BE">
        <w:rPr>
          <w:rFonts w:eastAsia="Times New Roman" w:cstheme="minorHAnsi"/>
          <w:lang w:eastAsia="pt-PT"/>
        </w:rPr>
        <w:t xml:space="preserve">a informação </w:t>
      </w:r>
      <w:r w:rsidR="00D92581" w:rsidRPr="00AE18BE">
        <w:rPr>
          <w:rFonts w:eastAsia="Times New Roman" w:cstheme="minorHAnsi"/>
          <w:lang w:eastAsia="pt-PT"/>
        </w:rPr>
        <w:t xml:space="preserve">utilizada </w:t>
      </w:r>
      <w:r w:rsidR="00CF04EC" w:rsidRPr="00AE18BE">
        <w:rPr>
          <w:rFonts w:eastAsia="Times New Roman" w:cstheme="minorHAnsi"/>
          <w:lang w:eastAsia="pt-PT"/>
        </w:rPr>
        <w:t>para a</w:t>
      </w:r>
      <w:r w:rsidR="00D92581" w:rsidRPr="00AE18BE">
        <w:rPr>
          <w:rFonts w:eastAsia="Times New Roman" w:cstheme="minorHAnsi"/>
          <w:lang w:eastAsia="pt-PT"/>
        </w:rPr>
        <w:t xml:space="preserve"> </w:t>
      </w:r>
      <w:r w:rsidR="00CF04EC" w:rsidRPr="00AE18BE">
        <w:rPr>
          <w:rFonts w:eastAsia="Times New Roman" w:cstheme="minorHAnsi"/>
          <w:lang w:eastAsia="pt-PT"/>
        </w:rPr>
        <w:t xml:space="preserve">construção da lista foi </w:t>
      </w:r>
      <w:r w:rsidR="00AE18BE" w:rsidRPr="00AE18BE">
        <w:rPr>
          <w:rFonts w:eastAsia="Times New Roman" w:cstheme="minorHAnsi"/>
          <w:lang w:eastAsia="pt-PT"/>
        </w:rPr>
        <w:t>baseada n</w:t>
      </w:r>
      <w:r w:rsidR="00CF04EC" w:rsidRPr="00AE18BE">
        <w:rPr>
          <w:rFonts w:eastAsia="Times New Roman" w:cstheme="minorHAnsi"/>
          <w:lang w:eastAsia="pt-PT"/>
        </w:rPr>
        <w:t>o Micromedex</w:t>
      </w:r>
      <w:r w:rsidR="00CF04EC" w:rsidRPr="00AE18BE">
        <w:rPr>
          <w:rFonts w:eastAsia="Times New Roman" w:cstheme="minorHAnsi"/>
          <w:vertAlign w:val="superscript"/>
          <w:lang w:eastAsia="pt-PT"/>
        </w:rPr>
        <w:t>R.</w:t>
      </w:r>
    </w:p>
    <w:p w14:paraId="5963073D" w14:textId="77777777" w:rsidR="00E1040F" w:rsidRDefault="00E1040F" w:rsidP="00AE18BE">
      <w:pPr>
        <w:jc w:val="both"/>
        <w:rPr>
          <w:rFonts w:ascii="Times New Roman" w:eastAsia="Times New Roman" w:hAnsi="Times New Roman" w:cs="Times New Roman"/>
          <w:lang w:eastAsia="pt-PT"/>
        </w:rPr>
      </w:pPr>
    </w:p>
    <w:p w14:paraId="47199D3B" w14:textId="77777777" w:rsidR="00E1040F" w:rsidRDefault="00E1040F" w:rsidP="00E1040F">
      <w:pPr>
        <w:rPr>
          <w:rFonts w:ascii="Times New Roman" w:eastAsia="Times New Roman" w:hAnsi="Times New Roman" w:cs="Times New Roman"/>
          <w:lang w:eastAsia="pt-PT"/>
        </w:rPr>
      </w:pPr>
    </w:p>
    <w:p w14:paraId="3CB1B3C1" w14:textId="77777777" w:rsidR="00E1040F" w:rsidRDefault="00E1040F" w:rsidP="005E3DD7">
      <w:pPr>
        <w:pStyle w:val="ListParagraph"/>
        <w:numPr>
          <w:ilvl w:val="0"/>
          <w:numId w:val="1"/>
        </w:numPr>
        <w:ind w:left="426"/>
        <w:jc w:val="both"/>
        <w:rPr>
          <w:rFonts w:ascii="Times New Roman" w:eastAsia="Times New Roman" w:hAnsi="Times New Roman" w:cs="Times New Roman"/>
          <w:lang w:eastAsia="pt-PT"/>
        </w:rPr>
      </w:pPr>
    </w:p>
    <w:p w14:paraId="0849CC5B" w14:textId="77777777" w:rsidR="00E1040F" w:rsidRDefault="00E1040F" w:rsidP="00E1040F">
      <w:pPr>
        <w:rPr>
          <w:rFonts w:ascii="Times New Roman" w:eastAsia="Times New Roman" w:hAnsi="Times New Roman" w:cs="Times New Roman"/>
          <w:b/>
          <w:bCs/>
          <w:color w:val="C00000"/>
          <w:lang w:eastAsia="pt-PT"/>
        </w:rPr>
      </w:pPr>
      <w:r w:rsidRPr="00617094">
        <w:rPr>
          <w:rFonts w:ascii="Times New Roman" w:eastAsia="Times New Roman" w:hAnsi="Times New Roman" w:cs="Times New Roman"/>
          <w:b/>
          <w:bCs/>
          <w:color w:val="C00000"/>
          <w:lang w:eastAsia="pt-PT"/>
        </w:rPr>
        <w:t>REFERÊNCIAS</w:t>
      </w:r>
    </w:p>
    <w:p w14:paraId="0FEF4D54" w14:textId="77777777" w:rsidR="00E1040F" w:rsidRPr="00AE59DB" w:rsidRDefault="00E1040F" w:rsidP="00E1040F">
      <w:pPr>
        <w:rPr>
          <w:rFonts w:ascii="Times New Roman" w:eastAsia="Times New Roman" w:hAnsi="Times New Roman" w:cs="Times New Roman"/>
          <w:b/>
          <w:bCs/>
          <w:lang w:eastAsia="pt-PT"/>
        </w:rPr>
      </w:pPr>
      <w:r w:rsidRPr="00AE59DB">
        <w:rPr>
          <w:rFonts w:ascii="Times New Roman" w:eastAsia="Times New Roman" w:hAnsi="Times New Roman" w:cs="Times New Roman"/>
          <w:b/>
          <w:bCs/>
          <w:lang w:eastAsia="pt-PT"/>
        </w:rPr>
        <w:t>Comentário 3</w:t>
      </w:r>
      <w:r>
        <w:rPr>
          <w:rFonts w:ascii="Times New Roman" w:eastAsia="Times New Roman" w:hAnsi="Times New Roman" w:cs="Times New Roman"/>
          <w:b/>
          <w:bCs/>
          <w:lang w:eastAsia="pt-PT"/>
        </w:rPr>
        <w:t>3</w:t>
      </w:r>
      <w:r w:rsidRPr="00AE59DB">
        <w:rPr>
          <w:rFonts w:ascii="Times New Roman" w:eastAsia="Times New Roman" w:hAnsi="Times New Roman" w:cs="Times New Roman"/>
          <w:b/>
          <w:bCs/>
          <w:lang w:eastAsia="pt-PT"/>
        </w:rPr>
        <w:t>:</w:t>
      </w:r>
    </w:p>
    <w:p w14:paraId="598412F3" w14:textId="77777777" w:rsidR="00E1040F" w:rsidRDefault="00E1040F" w:rsidP="00CF04EC">
      <w:pPr>
        <w:spacing w:after="0" w:line="240" w:lineRule="auto"/>
        <w:rPr>
          <w:rFonts w:ascii="Times New Roman" w:eastAsia="Times New Roman" w:hAnsi="Times New Roman" w:cs="Times New Roman"/>
          <w:lang w:eastAsia="pt-PT"/>
        </w:rPr>
      </w:pPr>
      <w:r>
        <w:rPr>
          <w:rFonts w:ascii="Times New Roman" w:eastAsia="Times New Roman" w:hAnsi="Times New Roman" w:cs="Times New Roman"/>
          <w:lang w:eastAsia="pt-PT"/>
        </w:rPr>
        <w:t>Fazer uniformização das referências de acordo com Acta médica Portuguesa.</w:t>
      </w:r>
    </w:p>
    <w:p w14:paraId="03AC4AD8" w14:textId="49A205DD" w:rsidR="00E1040F" w:rsidRDefault="00E1040F" w:rsidP="00CF04EC">
      <w:pPr>
        <w:spacing w:after="0" w:line="240" w:lineRule="auto"/>
        <w:rPr>
          <w:rFonts w:ascii="Times New Roman" w:eastAsia="Times New Roman" w:hAnsi="Times New Roman" w:cs="Times New Roman"/>
          <w:lang w:eastAsia="pt-PT"/>
        </w:rPr>
      </w:pPr>
      <w:r>
        <w:rPr>
          <w:rFonts w:ascii="Times New Roman" w:eastAsia="Times New Roman" w:hAnsi="Times New Roman" w:cs="Times New Roman"/>
          <w:lang w:eastAsia="pt-PT"/>
        </w:rPr>
        <w:t>Por vezes o ano está entre parêntesis, noutras vezes no final do texto ou antes da paginação.</w:t>
      </w:r>
    </w:p>
    <w:p w14:paraId="734F5B7E" w14:textId="77777777" w:rsidR="00E1040F" w:rsidRDefault="00E1040F" w:rsidP="00CF04EC">
      <w:pPr>
        <w:spacing w:after="0" w:line="240" w:lineRule="auto"/>
        <w:rPr>
          <w:rFonts w:ascii="Times New Roman" w:eastAsia="Times New Roman" w:hAnsi="Times New Roman" w:cs="Times New Roman"/>
          <w:lang w:eastAsia="pt-PT"/>
        </w:rPr>
      </w:pPr>
      <w:r>
        <w:rPr>
          <w:rFonts w:ascii="Times New Roman" w:eastAsia="Times New Roman" w:hAnsi="Times New Roman" w:cs="Times New Roman"/>
          <w:lang w:eastAsia="pt-PT"/>
        </w:rPr>
        <w:t>Tem ponto ou traço após o número de referência: ver referência 4</w:t>
      </w:r>
    </w:p>
    <w:p w14:paraId="33B92F04" w14:textId="77777777" w:rsidR="00E1040F" w:rsidRDefault="00E1040F" w:rsidP="00CF04EC">
      <w:pPr>
        <w:spacing w:after="0" w:line="240" w:lineRule="auto"/>
        <w:rPr>
          <w:rFonts w:ascii="Times New Roman" w:eastAsia="Times New Roman" w:hAnsi="Times New Roman" w:cs="Times New Roman"/>
          <w:lang w:eastAsia="pt-PT"/>
        </w:rPr>
      </w:pPr>
      <w:r>
        <w:rPr>
          <w:rFonts w:ascii="Times New Roman" w:eastAsia="Times New Roman" w:hAnsi="Times New Roman" w:cs="Times New Roman"/>
          <w:lang w:eastAsia="pt-PT"/>
        </w:rPr>
        <w:t>Entre os nomes dos autores ora tem vírgula ou tem ponto e vírgula</w:t>
      </w:r>
    </w:p>
    <w:p w14:paraId="52C6E12F" w14:textId="77777777" w:rsidR="00E1040F" w:rsidRDefault="00E1040F" w:rsidP="00CF04EC">
      <w:pPr>
        <w:spacing w:after="0" w:line="240" w:lineRule="auto"/>
        <w:rPr>
          <w:rFonts w:ascii="Times New Roman" w:eastAsia="Times New Roman" w:hAnsi="Times New Roman" w:cs="Times New Roman"/>
          <w:lang w:eastAsia="pt-PT"/>
        </w:rPr>
      </w:pPr>
      <w:r>
        <w:rPr>
          <w:rFonts w:ascii="Times New Roman" w:eastAsia="Times New Roman" w:hAnsi="Times New Roman" w:cs="Times New Roman"/>
          <w:lang w:eastAsia="pt-PT"/>
        </w:rPr>
        <w:t xml:space="preserve">Erro na referência 14, tem um número antes dos nomes... corrigir </w:t>
      </w:r>
    </w:p>
    <w:p w14:paraId="32B9B65F" w14:textId="77777777" w:rsidR="00E1040F" w:rsidRDefault="00E1040F" w:rsidP="00E1040F">
      <w:pPr>
        <w:rPr>
          <w:rFonts w:ascii="Times New Roman" w:eastAsia="Times New Roman" w:hAnsi="Times New Roman" w:cs="Times New Roman"/>
          <w:lang w:eastAsia="pt-PT"/>
        </w:rPr>
      </w:pPr>
    </w:p>
    <w:p w14:paraId="0CB51698" w14:textId="75F116EB" w:rsidR="00CF04EC" w:rsidRPr="00AE59DB" w:rsidRDefault="00CF04EC" w:rsidP="00CF04EC">
      <w:pPr>
        <w:rPr>
          <w:rFonts w:ascii="Times New Roman" w:eastAsia="Times New Roman" w:hAnsi="Times New Roman" w:cs="Times New Roman"/>
          <w:b/>
          <w:bCs/>
          <w:lang w:eastAsia="pt-PT"/>
        </w:rPr>
      </w:pPr>
      <w:r>
        <w:rPr>
          <w:rFonts w:ascii="Times New Roman" w:eastAsia="Times New Roman" w:hAnsi="Times New Roman" w:cs="Times New Roman"/>
          <w:b/>
          <w:bCs/>
          <w:lang w:eastAsia="pt-PT"/>
        </w:rPr>
        <w:t xml:space="preserve">Resposta ao </w:t>
      </w:r>
      <w:r w:rsidRPr="00AE59DB">
        <w:rPr>
          <w:rFonts w:ascii="Times New Roman" w:eastAsia="Times New Roman" w:hAnsi="Times New Roman" w:cs="Times New Roman"/>
          <w:b/>
          <w:bCs/>
          <w:lang w:eastAsia="pt-PT"/>
        </w:rPr>
        <w:t>Comentário 3</w:t>
      </w:r>
      <w:r>
        <w:rPr>
          <w:rFonts w:ascii="Times New Roman" w:eastAsia="Times New Roman" w:hAnsi="Times New Roman" w:cs="Times New Roman"/>
          <w:b/>
          <w:bCs/>
          <w:lang w:eastAsia="pt-PT"/>
        </w:rPr>
        <w:t>3</w:t>
      </w:r>
      <w:r w:rsidRPr="00AE59DB">
        <w:rPr>
          <w:rFonts w:ascii="Times New Roman" w:eastAsia="Times New Roman" w:hAnsi="Times New Roman" w:cs="Times New Roman"/>
          <w:b/>
          <w:bCs/>
          <w:lang w:eastAsia="pt-PT"/>
        </w:rPr>
        <w:t>:</w:t>
      </w:r>
    </w:p>
    <w:p w14:paraId="4A47B6B3" w14:textId="7D60EFDE" w:rsidR="00E1040F" w:rsidRDefault="00AB0F11" w:rsidP="00CF04EC">
      <w:pPr>
        <w:spacing w:after="0" w:line="240" w:lineRule="auto"/>
        <w:rPr>
          <w:rFonts w:eastAsia="Times New Roman" w:cstheme="minorHAnsi"/>
          <w:lang w:eastAsia="pt-PT"/>
        </w:rPr>
      </w:pPr>
      <w:r>
        <w:rPr>
          <w:rFonts w:eastAsia="Times New Roman" w:cstheme="minorHAnsi"/>
          <w:lang w:eastAsia="pt-PT"/>
        </w:rPr>
        <w:lastRenderedPageBreak/>
        <w:t xml:space="preserve">Os autores agradecem o comentário e alerta das imprecisões de referenciação bibliográfica. </w:t>
      </w:r>
      <w:r w:rsidR="00CF04EC" w:rsidRPr="00AE18BE">
        <w:rPr>
          <w:rFonts w:eastAsia="Times New Roman" w:cstheme="minorHAnsi"/>
          <w:lang w:eastAsia="pt-PT"/>
        </w:rPr>
        <w:t>As referências foram uniformizadas de acordo com a Acta Medica Portuguesa.</w:t>
      </w:r>
    </w:p>
    <w:p w14:paraId="29CE4CF3" w14:textId="77777777" w:rsidR="00AB0F11" w:rsidRDefault="00AB0F11" w:rsidP="00174D2B">
      <w:pPr>
        <w:jc w:val="both"/>
        <w:rPr>
          <w:b/>
          <w:bCs/>
        </w:rPr>
      </w:pPr>
    </w:p>
    <w:p w14:paraId="47339110" w14:textId="0ADF0BA4" w:rsidR="00174D2B" w:rsidRDefault="00174D2B" w:rsidP="00174D2B">
      <w:pPr>
        <w:jc w:val="both"/>
        <w:rPr>
          <w:b/>
          <w:bCs/>
        </w:rPr>
      </w:pPr>
      <w:r>
        <w:rPr>
          <w:b/>
          <w:bCs/>
        </w:rPr>
        <w:t>------ # -------------</w:t>
      </w:r>
    </w:p>
    <w:p w14:paraId="2050F14D" w14:textId="77777777" w:rsidR="00174D2B" w:rsidRDefault="00174D2B" w:rsidP="00174D2B">
      <w:pPr>
        <w:jc w:val="both"/>
        <w:rPr>
          <w:rFonts w:ascii="Arial" w:hAnsi="Arial" w:cs="Arial"/>
          <w:b/>
          <w:bCs/>
          <w:color w:val="222222"/>
          <w:shd w:val="clear" w:color="auto" w:fill="FFFFFF"/>
        </w:rPr>
      </w:pPr>
    </w:p>
    <w:p w14:paraId="5C45CC52" w14:textId="77777777" w:rsidR="00174D2B" w:rsidRPr="00563284" w:rsidRDefault="00174D2B" w:rsidP="00174D2B">
      <w:pPr>
        <w:jc w:val="both"/>
        <w:rPr>
          <w:rFonts w:ascii="Arial" w:hAnsi="Arial" w:cs="Arial"/>
          <w:b/>
          <w:bCs/>
          <w:color w:val="222222"/>
          <w:shd w:val="clear" w:color="auto" w:fill="FFFFFF"/>
        </w:rPr>
      </w:pPr>
      <w:r w:rsidRPr="00563284">
        <w:rPr>
          <w:rFonts w:ascii="Arial" w:hAnsi="Arial" w:cs="Arial"/>
          <w:b/>
          <w:bCs/>
          <w:color w:val="222222"/>
          <w:shd w:val="clear" w:color="auto" w:fill="FFFFFF"/>
        </w:rPr>
        <w:t>Comentários Revisor B</w:t>
      </w:r>
    </w:p>
    <w:p w14:paraId="7CBC4C36" w14:textId="77777777" w:rsidR="00174D2B" w:rsidRDefault="00174D2B" w:rsidP="00174D2B">
      <w:pPr>
        <w:jc w:val="both"/>
      </w:pPr>
      <w:r>
        <w:t>Os autores agradecem as sugestões feitas pelo revisor, com as quais concordam e aceitaram diretamente no texto.</w:t>
      </w:r>
    </w:p>
    <w:p w14:paraId="5EC4BF6F" w14:textId="77777777" w:rsidR="00174D2B" w:rsidRPr="00275CFF" w:rsidRDefault="00174D2B" w:rsidP="00174D2B">
      <w:pPr>
        <w:jc w:val="both"/>
        <w:rPr>
          <w:rFonts w:ascii="Arial" w:hAnsi="Arial" w:cs="Arial"/>
          <w:b/>
          <w:bCs/>
          <w:color w:val="222222"/>
          <w:shd w:val="clear" w:color="auto" w:fill="FFFFFF"/>
        </w:rPr>
      </w:pPr>
      <w:r w:rsidRPr="00275CFF">
        <w:rPr>
          <w:rFonts w:ascii="Arial" w:hAnsi="Arial" w:cs="Arial"/>
          <w:b/>
          <w:bCs/>
          <w:color w:val="222222"/>
          <w:shd w:val="clear" w:color="auto" w:fill="FFFFFF"/>
        </w:rPr>
        <w:t>Comentário 1</w:t>
      </w:r>
    </w:p>
    <w:p w14:paraId="3CF0DD11" w14:textId="77777777" w:rsidR="00174D2B" w:rsidRPr="00563284" w:rsidRDefault="00174D2B" w:rsidP="00174D2B">
      <w:pPr>
        <w:jc w:val="both"/>
        <w:rPr>
          <w:rFonts w:ascii="Arial" w:hAnsi="Arial" w:cs="Arial"/>
          <w:b/>
          <w:bCs/>
          <w:i/>
          <w:iCs/>
          <w:color w:val="222222"/>
          <w:shd w:val="clear" w:color="auto" w:fill="FFFFFF"/>
        </w:rPr>
      </w:pPr>
      <w:r w:rsidRPr="00563284">
        <w:rPr>
          <w:rFonts w:ascii="Arial" w:hAnsi="Arial" w:cs="Arial"/>
          <w:b/>
          <w:bCs/>
          <w:i/>
          <w:iCs/>
          <w:color w:val="222222"/>
          <w:shd w:val="clear" w:color="auto" w:fill="FFFFFF"/>
        </w:rPr>
        <w:t>E o valor encontrado 83,7% tomava um medicamento da lista PIM, engloba fármacos sem dados sobre o período de administração?</w:t>
      </w:r>
    </w:p>
    <w:p w14:paraId="7F5DA38C" w14:textId="77777777" w:rsidR="00174D2B" w:rsidRDefault="00174D2B" w:rsidP="00174D2B">
      <w:pPr>
        <w:jc w:val="both"/>
        <w:rPr>
          <w:rFonts w:ascii="Arial" w:hAnsi="Arial" w:cs="Arial"/>
          <w:b/>
          <w:bCs/>
          <w:color w:val="222222"/>
          <w:shd w:val="clear" w:color="auto" w:fill="FFFFFF"/>
        </w:rPr>
      </w:pPr>
      <w:r>
        <w:rPr>
          <w:rFonts w:ascii="Arial" w:hAnsi="Arial" w:cs="Arial"/>
          <w:b/>
          <w:bCs/>
          <w:color w:val="222222"/>
          <w:shd w:val="clear" w:color="auto" w:fill="FFFFFF"/>
        </w:rPr>
        <w:t xml:space="preserve">Resposta Comentário 1 </w:t>
      </w:r>
    </w:p>
    <w:p w14:paraId="465831E9" w14:textId="77777777" w:rsidR="00174D2B" w:rsidRPr="00563284" w:rsidRDefault="00174D2B" w:rsidP="00174D2B">
      <w:pPr>
        <w:jc w:val="both"/>
      </w:pPr>
      <w:r w:rsidRPr="00563284">
        <w:t xml:space="preserve">A percentagem 83,7% refere-se à percentagem total de medicamentos que estão incluídos na lista PIM, incluindo aqueles para os quais não temos dados de administração. Esta informação é discutida na secção </w:t>
      </w:r>
      <w:r>
        <w:t>“</w:t>
      </w:r>
      <w:r w:rsidRPr="00563284">
        <w:t>Discussão</w:t>
      </w:r>
      <w:r>
        <w:t>”</w:t>
      </w:r>
      <w:r w:rsidRPr="00563284">
        <w:t>.</w:t>
      </w:r>
    </w:p>
    <w:p w14:paraId="7B6FB786" w14:textId="77777777" w:rsidR="00174D2B" w:rsidRDefault="00174D2B" w:rsidP="00174D2B">
      <w:pPr>
        <w:jc w:val="both"/>
        <w:rPr>
          <w:b/>
          <w:bCs/>
        </w:rPr>
      </w:pPr>
    </w:p>
    <w:p w14:paraId="07E07F67" w14:textId="77777777" w:rsidR="00174D2B" w:rsidRDefault="00174D2B" w:rsidP="00174D2B">
      <w:pPr>
        <w:jc w:val="both"/>
        <w:rPr>
          <w:b/>
          <w:bCs/>
        </w:rPr>
      </w:pPr>
      <w:r>
        <w:rPr>
          <w:b/>
          <w:bCs/>
        </w:rPr>
        <w:t>--------- # ----------</w:t>
      </w:r>
    </w:p>
    <w:p w14:paraId="4A843F4D" w14:textId="77777777" w:rsidR="00174D2B" w:rsidRPr="004335D7" w:rsidRDefault="00174D2B" w:rsidP="00174D2B">
      <w:pPr>
        <w:jc w:val="both"/>
        <w:rPr>
          <w:rFonts w:ascii="Arial" w:hAnsi="Arial" w:cs="Arial"/>
          <w:b/>
          <w:bCs/>
          <w:color w:val="222222"/>
          <w:shd w:val="clear" w:color="auto" w:fill="FFFFFF"/>
        </w:rPr>
      </w:pPr>
      <w:r w:rsidRPr="004335D7">
        <w:rPr>
          <w:rFonts w:ascii="Arial" w:hAnsi="Arial" w:cs="Arial"/>
          <w:b/>
          <w:bCs/>
          <w:color w:val="222222"/>
          <w:shd w:val="clear" w:color="auto" w:fill="FFFFFF"/>
        </w:rPr>
        <w:t>Comentários Revisor C</w:t>
      </w:r>
    </w:p>
    <w:p w14:paraId="4E7D3F3E" w14:textId="77777777" w:rsidR="00174D2B" w:rsidRDefault="00174D2B" w:rsidP="00174D2B">
      <w:pPr>
        <w:jc w:val="both"/>
        <w:rPr>
          <w:rFonts w:ascii="Arial" w:hAnsi="Arial" w:cs="Arial"/>
          <w:color w:val="222222"/>
          <w:shd w:val="clear" w:color="auto" w:fill="FFFFFF"/>
        </w:rPr>
      </w:pPr>
      <w:r w:rsidRPr="00563284">
        <w:rPr>
          <w:rFonts w:ascii="Arial" w:hAnsi="Arial" w:cs="Arial"/>
          <w:b/>
          <w:bCs/>
          <w:i/>
          <w:iCs/>
          <w:color w:val="222222"/>
          <w:shd w:val="clear" w:color="auto" w:fill="FFFFFF"/>
        </w:rPr>
        <w:t>O trabalho desenvolvido é de grande relevância. Não obstante</w:t>
      </w:r>
      <w:r w:rsidRPr="00563284">
        <w:rPr>
          <w:rFonts w:ascii="Arial" w:hAnsi="Arial" w:cs="Arial"/>
          <w:b/>
          <w:bCs/>
          <w:i/>
          <w:iCs/>
          <w:color w:val="222222"/>
          <w:shd w:val="clear" w:color="auto" w:fill="FFFFFF"/>
        </w:rPr>
        <w:br/>
        <w:t>recomendam-se as seguintes melhorias:</w:t>
      </w:r>
    </w:p>
    <w:p w14:paraId="35F0184C" w14:textId="77777777" w:rsidR="00174D2B" w:rsidRPr="00563284" w:rsidRDefault="00174D2B" w:rsidP="00174D2B">
      <w:pPr>
        <w:jc w:val="both"/>
      </w:pPr>
      <w:r w:rsidRPr="00563284">
        <w:t xml:space="preserve">Os autores agradecem as recomendações propostas </w:t>
      </w:r>
      <w:r>
        <w:t>que aceitaram e integraram como alterações na versão revista</w:t>
      </w:r>
      <w:r w:rsidRPr="00563284">
        <w:t>.</w:t>
      </w:r>
    </w:p>
    <w:p w14:paraId="56E0EF3A" w14:textId="77777777" w:rsidR="00174D2B" w:rsidRPr="004335D7" w:rsidRDefault="00174D2B" w:rsidP="00174D2B">
      <w:pPr>
        <w:jc w:val="both"/>
        <w:rPr>
          <w:rFonts w:ascii="Arial" w:hAnsi="Arial" w:cs="Arial"/>
          <w:b/>
          <w:bCs/>
          <w:color w:val="222222"/>
          <w:shd w:val="clear" w:color="auto" w:fill="FFFFFF"/>
        </w:rPr>
      </w:pPr>
      <w:r w:rsidRPr="004335D7">
        <w:rPr>
          <w:rFonts w:ascii="Arial" w:hAnsi="Arial" w:cs="Arial"/>
          <w:b/>
          <w:bCs/>
          <w:color w:val="222222"/>
          <w:shd w:val="clear" w:color="auto" w:fill="FFFFFF"/>
        </w:rPr>
        <w:t>Comentário</w:t>
      </w:r>
      <w:r>
        <w:rPr>
          <w:rFonts w:ascii="Arial" w:hAnsi="Arial" w:cs="Arial"/>
          <w:b/>
          <w:bCs/>
          <w:color w:val="222222"/>
          <w:shd w:val="clear" w:color="auto" w:fill="FFFFFF"/>
        </w:rPr>
        <w:t xml:space="preserve"> </w:t>
      </w:r>
      <w:r w:rsidRPr="004335D7">
        <w:rPr>
          <w:rFonts w:ascii="Arial" w:hAnsi="Arial" w:cs="Arial"/>
          <w:b/>
          <w:bCs/>
          <w:color w:val="222222"/>
          <w:shd w:val="clear" w:color="auto" w:fill="FFFFFF"/>
        </w:rPr>
        <w:t>1</w:t>
      </w:r>
    </w:p>
    <w:p w14:paraId="0E467930" w14:textId="77777777" w:rsidR="00174D2B" w:rsidRDefault="00174D2B" w:rsidP="00174D2B">
      <w:pPr>
        <w:jc w:val="both"/>
        <w:rPr>
          <w:rFonts w:ascii="Arial" w:hAnsi="Arial" w:cs="Arial"/>
          <w:color w:val="222222"/>
          <w:shd w:val="clear" w:color="auto" w:fill="FFFFFF"/>
        </w:rPr>
      </w:pPr>
      <w:r w:rsidRPr="00563284">
        <w:rPr>
          <w:rFonts w:ascii="Arial" w:hAnsi="Arial" w:cs="Arial"/>
          <w:b/>
          <w:bCs/>
          <w:i/>
          <w:iCs/>
          <w:color w:val="222222"/>
          <w:shd w:val="clear" w:color="auto" w:fill="FFFFFF"/>
        </w:rPr>
        <w:t>Melhorar o resumo e o texto no que respeita à população estudada (é</w:t>
      </w:r>
      <w:r w:rsidRPr="00563284">
        <w:rPr>
          <w:rFonts w:ascii="Arial" w:hAnsi="Arial" w:cs="Arial"/>
          <w:b/>
          <w:bCs/>
          <w:i/>
          <w:iCs/>
          <w:color w:val="222222"/>
          <w:shd w:val="clear" w:color="auto" w:fill="FFFFFF"/>
        </w:rPr>
        <w:br/>
        <w:t>confusa a designação de ensaio piloto). Só no último parágrafo da</w:t>
      </w:r>
      <w:r w:rsidRPr="00563284">
        <w:rPr>
          <w:rFonts w:ascii="Arial" w:hAnsi="Arial" w:cs="Arial"/>
          <w:b/>
          <w:bCs/>
          <w:i/>
          <w:iCs/>
          <w:color w:val="222222"/>
          <w:shd w:val="clear" w:color="auto" w:fill="FFFFFF"/>
        </w:rPr>
        <w:br/>
        <w:t>discussão se clarificam, parcialmente, a natureza e características da</w:t>
      </w:r>
      <w:r w:rsidRPr="00563284">
        <w:rPr>
          <w:rFonts w:ascii="Arial" w:hAnsi="Arial" w:cs="Arial"/>
          <w:b/>
          <w:bCs/>
          <w:i/>
          <w:iCs/>
          <w:color w:val="222222"/>
          <w:shd w:val="clear" w:color="auto" w:fill="FFFFFF"/>
        </w:rPr>
        <w:br/>
        <w:t>amostra estudada.</w:t>
      </w:r>
    </w:p>
    <w:p w14:paraId="40A3D63E" w14:textId="77777777" w:rsidR="00174D2B" w:rsidRDefault="00174D2B" w:rsidP="00174D2B">
      <w:pPr>
        <w:jc w:val="both"/>
        <w:rPr>
          <w:rFonts w:ascii="Arial" w:hAnsi="Arial" w:cs="Arial"/>
          <w:b/>
          <w:bCs/>
          <w:color w:val="222222"/>
          <w:shd w:val="clear" w:color="auto" w:fill="FFFFFF"/>
        </w:rPr>
      </w:pPr>
      <w:r>
        <w:rPr>
          <w:rFonts w:ascii="Arial" w:hAnsi="Arial" w:cs="Arial"/>
          <w:b/>
          <w:bCs/>
          <w:color w:val="222222"/>
          <w:shd w:val="clear" w:color="auto" w:fill="FFFFFF"/>
        </w:rPr>
        <w:t>Resposta Comentário 1</w:t>
      </w:r>
    </w:p>
    <w:p w14:paraId="685EDE04" w14:textId="77777777" w:rsidR="00174D2B" w:rsidRPr="00FE54DD" w:rsidRDefault="00174D2B" w:rsidP="00174D2B">
      <w:pPr>
        <w:jc w:val="both"/>
        <w:rPr>
          <w:rFonts w:cstheme="minorHAnsi"/>
        </w:rPr>
      </w:pPr>
      <w:r w:rsidRPr="00FE54DD">
        <w:rPr>
          <w:rFonts w:cstheme="minorHAnsi"/>
          <w:color w:val="222222"/>
          <w:shd w:val="clear" w:color="auto" w:fill="FFFFFF"/>
        </w:rPr>
        <w:t>Seguindo a sugestão do revisor, a designação de estudo piloto foi retirada</w:t>
      </w:r>
      <w:r w:rsidRPr="00FE54DD">
        <w:rPr>
          <w:rFonts w:cstheme="minorHAnsi"/>
        </w:rPr>
        <w:t>. A designação do ponto 2 da secção dos métodos foi alterada para:</w:t>
      </w:r>
    </w:p>
    <w:p w14:paraId="1A7822F6" w14:textId="77777777" w:rsidR="00174D2B" w:rsidRPr="00FE54DD" w:rsidRDefault="00174D2B" w:rsidP="00174D2B">
      <w:pPr>
        <w:pBdr>
          <w:top w:val="single" w:sz="4" w:space="1" w:color="auto"/>
          <w:left w:val="single" w:sz="4" w:space="4" w:color="auto"/>
          <w:bottom w:val="single" w:sz="4" w:space="1" w:color="auto"/>
          <w:right w:val="single" w:sz="4" w:space="4" w:color="auto"/>
        </w:pBdr>
        <w:jc w:val="both"/>
        <w:rPr>
          <w:rFonts w:cstheme="minorHAnsi"/>
        </w:rPr>
      </w:pPr>
      <w:r w:rsidRPr="00FE54DD">
        <w:rPr>
          <w:rFonts w:cstheme="minorHAnsi"/>
          <w:strike/>
          <w:highlight w:val="green"/>
        </w:rPr>
        <w:t xml:space="preserve">Ensaio piloto para análise da </w:t>
      </w:r>
      <w:r w:rsidRPr="00FE54DD">
        <w:rPr>
          <w:rFonts w:cstheme="minorHAnsi"/>
          <w:highlight w:val="green"/>
        </w:rPr>
        <w:t xml:space="preserve">Aplicabilidade </w:t>
      </w:r>
      <w:r w:rsidRPr="00FE54DD">
        <w:rPr>
          <w:rFonts w:cstheme="minorHAnsi"/>
        </w:rPr>
        <w:t>da EU(7)-PIM List adaptada à realidade portuguesa.</w:t>
      </w:r>
    </w:p>
    <w:p w14:paraId="0DE1F33D" w14:textId="77777777" w:rsidR="00174D2B" w:rsidRPr="008A184F" w:rsidRDefault="00174D2B" w:rsidP="00174D2B">
      <w:pPr>
        <w:jc w:val="both"/>
        <w:rPr>
          <w:rFonts w:cstheme="minorHAnsi"/>
          <w:color w:val="222222"/>
          <w:shd w:val="clear" w:color="auto" w:fill="FFFFFF"/>
          <w:lang w:val="en-GB"/>
        </w:rPr>
      </w:pPr>
      <w:r w:rsidRPr="00FE54DD">
        <w:rPr>
          <w:rFonts w:cstheme="minorHAnsi"/>
        </w:rPr>
        <w:t xml:space="preserve">Este estudo foi realizado com os dados de medicação recolhidos num estudo transversal mais alargado (Projeto MedElderly), realizado com utentes de 38 unidades de cuidados de saúde primários da região centro de Portugal. </w:t>
      </w:r>
      <w:r w:rsidRPr="00FE54DD">
        <w:rPr>
          <w:rFonts w:cstheme="minorHAnsi"/>
          <w:color w:val="222222"/>
          <w:shd w:val="clear" w:color="auto" w:fill="FFFFFF"/>
        </w:rPr>
        <w:t>Informação mais detalhada sobre a amostra e a metodologia seguida no estudo transversal do projeto MedElderly, já está publicada e foi referenciada na secção “Métodos” (Ref. 2</w:t>
      </w:r>
      <w:r>
        <w:rPr>
          <w:rFonts w:cstheme="minorHAnsi"/>
          <w:color w:val="222222"/>
          <w:shd w:val="clear" w:color="auto" w:fill="FFFFFF"/>
        </w:rPr>
        <w:t>5</w:t>
      </w:r>
      <w:r w:rsidRPr="00FE54DD">
        <w:rPr>
          <w:rFonts w:cstheme="minorHAnsi"/>
          <w:color w:val="222222"/>
          <w:shd w:val="clear" w:color="auto" w:fill="FFFFFF"/>
        </w:rPr>
        <w:t xml:space="preserve">. </w:t>
      </w:r>
      <w:r w:rsidRPr="008A184F">
        <w:rPr>
          <w:rFonts w:cstheme="minorHAnsi"/>
          <w:color w:val="222222"/>
          <w:shd w:val="clear" w:color="auto" w:fill="FFFFFF"/>
          <w:lang w:val="en-GB"/>
        </w:rPr>
        <w:t xml:space="preserve">Gomes D, et al. 2020. Int J Environ Res Public Health; 2020; 17, </w:t>
      </w:r>
      <w:proofErr w:type="spellStart"/>
      <w:r w:rsidRPr="008A184F">
        <w:rPr>
          <w:rFonts w:cstheme="minorHAnsi"/>
          <w:color w:val="222222"/>
          <w:shd w:val="clear" w:color="auto" w:fill="FFFFFF"/>
          <w:lang w:val="en-GB"/>
        </w:rPr>
        <w:t>pii</w:t>
      </w:r>
      <w:proofErr w:type="spellEnd"/>
      <w:r w:rsidRPr="008A184F">
        <w:rPr>
          <w:rFonts w:cstheme="minorHAnsi"/>
          <w:color w:val="222222"/>
          <w:shd w:val="clear" w:color="auto" w:fill="FFFFFF"/>
          <w:lang w:val="en-GB"/>
        </w:rPr>
        <w:t xml:space="preserve">: E200). </w:t>
      </w:r>
    </w:p>
    <w:p w14:paraId="303D23A8" w14:textId="77777777" w:rsidR="00174D2B" w:rsidRPr="00FE54DD" w:rsidRDefault="00174D2B" w:rsidP="00174D2B">
      <w:pPr>
        <w:jc w:val="both"/>
        <w:rPr>
          <w:rFonts w:cstheme="minorHAnsi"/>
        </w:rPr>
      </w:pPr>
      <w:r w:rsidRPr="00FE54DD">
        <w:rPr>
          <w:rFonts w:cstheme="minorHAnsi"/>
          <w:color w:val="222222"/>
          <w:shd w:val="clear" w:color="auto" w:fill="FFFFFF"/>
        </w:rPr>
        <w:t>Para uma melhor clarificação, a</w:t>
      </w:r>
      <w:r w:rsidRPr="00FE54DD">
        <w:rPr>
          <w:rFonts w:cstheme="minorHAnsi"/>
        </w:rPr>
        <w:t xml:space="preserve"> seguinte informação foi acrescentada </w:t>
      </w:r>
      <w:r>
        <w:rPr>
          <w:rFonts w:cstheme="minorHAnsi"/>
        </w:rPr>
        <w:t>no resumo</w:t>
      </w:r>
      <w:r w:rsidRPr="00FE54DD">
        <w:rPr>
          <w:rFonts w:cstheme="minorHAnsi"/>
        </w:rPr>
        <w:t>:</w:t>
      </w:r>
    </w:p>
    <w:p w14:paraId="348DBC39" w14:textId="77777777" w:rsidR="00174D2B" w:rsidRDefault="00174D2B" w:rsidP="00174D2B">
      <w:pPr>
        <w:jc w:val="both"/>
        <w:rPr>
          <w:rFonts w:cstheme="minorHAnsi"/>
          <w:color w:val="222222"/>
          <w:shd w:val="clear" w:color="auto" w:fill="FFFFFF"/>
        </w:rPr>
      </w:pPr>
    </w:p>
    <w:p w14:paraId="3C7AA887" w14:textId="77777777" w:rsidR="00174D2B" w:rsidRPr="00FE54DD" w:rsidRDefault="00174D2B" w:rsidP="00174D2B">
      <w:pPr>
        <w:pBdr>
          <w:top w:val="single" w:sz="4" w:space="1" w:color="auto"/>
          <w:left w:val="single" w:sz="4" w:space="4" w:color="auto"/>
          <w:bottom w:val="single" w:sz="4" w:space="1" w:color="auto"/>
          <w:right w:val="single" w:sz="4" w:space="4" w:color="auto"/>
        </w:pBdr>
        <w:jc w:val="both"/>
        <w:rPr>
          <w:rFonts w:cstheme="minorHAnsi"/>
          <w:color w:val="222222"/>
          <w:shd w:val="clear" w:color="auto" w:fill="FFFFFF"/>
        </w:rPr>
      </w:pPr>
      <w:r w:rsidRPr="00FE54DD">
        <w:rPr>
          <w:rFonts w:cstheme="minorHAnsi"/>
        </w:rPr>
        <w:t xml:space="preserve">A ferramenta adaptada para a realidade Portuguesa foi aplicada a uma amostra de 1089 idosos polimedicados não institucionalizados, </w:t>
      </w:r>
      <w:r w:rsidRPr="00FE54DD">
        <w:rPr>
          <w:rFonts w:cstheme="minorHAnsi"/>
          <w:highlight w:val="green"/>
        </w:rPr>
        <w:t>utentes de 3</w:t>
      </w:r>
      <w:r>
        <w:rPr>
          <w:rFonts w:cstheme="minorHAnsi"/>
          <w:highlight w:val="green"/>
        </w:rPr>
        <w:t>8</w:t>
      </w:r>
      <w:r w:rsidRPr="00FE54DD">
        <w:rPr>
          <w:rFonts w:cstheme="minorHAnsi"/>
          <w:highlight w:val="green"/>
        </w:rPr>
        <w:t xml:space="preserve"> unidades de cuidados de saúde primários da região centro.</w:t>
      </w:r>
    </w:p>
    <w:p w14:paraId="48A02A5E" w14:textId="77777777" w:rsidR="00174D2B" w:rsidRDefault="00174D2B" w:rsidP="00174D2B">
      <w:pPr>
        <w:jc w:val="both"/>
        <w:rPr>
          <w:rFonts w:cstheme="minorHAnsi"/>
          <w:color w:val="222222"/>
          <w:shd w:val="clear" w:color="auto" w:fill="FFFFFF"/>
        </w:rPr>
      </w:pPr>
    </w:p>
    <w:p w14:paraId="4386447F" w14:textId="77777777" w:rsidR="00174D2B" w:rsidRPr="00FE54DD" w:rsidRDefault="00174D2B" w:rsidP="00174D2B">
      <w:pPr>
        <w:jc w:val="both"/>
        <w:rPr>
          <w:rFonts w:cstheme="minorHAnsi"/>
        </w:rPr>
      </w:pPr>
      <w:r>
        <w:rPr>
          <w:rFonts w:cstheme="minorHAnsi"/>
          <w:color w:val="222222"/>
          <w:shd w:val="clear" w:color="auto" w:fill="FFFFFF"/>
        </w:rPr>
        <w:t>E na secção “Material e Métodos”</w:t>
      </w:r>
    </w:p>
    <w:p w14:paraId="10FE88A4" w14:textId="77777777" w:rsidR="00174D2B" w:rsidRPr="00E20814" w:rsidRDefault="00174D2B" w:rsidP="00174D2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E20814">
        <w:rPr>
          <w:rFonts w:ascii="Times New Roman" w:hAnsi="Times New Roman" w:cs="Times New Roman"/>
          <w:highlight w:val="green"/>
        </w:rPr>
        <w:t>A recolha de dados sobre os medicamentos utilizados pela população idosa decorreu entre abril e agosto de 2019, em 38 unidades de cuidados de saúde primários da região centro.</w:t>
      </w:r>
    </w:p>
    <w:p w14:paraId="0FCCC084" w14:textId="77777777" w:rsidR="00174D2B" w:rsidRPr="00E20814" w:rsidRDefault="00174D2B" w:rsidP="00174D2B">
      <w:pPr>
        <w:jc w:val="both"/>
        <w:rPr>
          <w:rFonts w:ascii="Arial" w:hAnsi="Arial" w:cs="Arial"/>
          <w:iCs/>
          <w:color w:val="222222"/>
          <w:shd w:val="clear" w:color="auto" w:fill="FFFFFF"/>
        </w:rPr>
      </w:pPr>
    </w:p>
    <w:p w14:paraId="3D023FA0" w14:textId="77777777" w:rsidR="00174D2B" w:rsidRDefault="00174D2B" w:rsidP="00174D2B">
      <w:pPr>
        <w:jc w:val="both"/>
        <w:rPr>
          <w:rFonts w:ascii="Arial" w:hAnsi="Arial" w:cs="Arial"/>
          <w:b/>
          <w:bCs/>
          <w:color w:val="222222"/>
          <w:shd w:val="clear" w:color="auto" w:fill="FFFFFF"/>
        </w:rPr>
      </w:pPr>
    </w:p>
    <w:p w14:paraId="1A4FB565" w14:textId="77777777" w:rsidR="00174D2B" w:rsidRDefault="00174D2B" w:rsidP="00174D2B">
      <w:pPr>
        <w:jc w:val="both"/>
        <w:rPr>
          <w:rFonts w:ascii="Arial" w:hAnsi="Arial" w:cs="Arial"/>
          <w:b/>
          <w:bCs/>
          <w:color w:val="222222"/>
          <w:shd w:val="clear" w:color="auto" w:fill="FFFFFF"/>
        </w:rPr>
      </w:pPr>
      <w:r w:rsidRPr="004335D7">
        <w:rPr>
          <w:rFonts w:ascii="Arial" w:hAnsi="Arial" w:cs="Arial"/>
          <w:b/>
          <w:bCs/>
          <w:color w:val="222222"/>
          <w:shd w:val="clear" w:color="auto" w:fill="FFFFFF"/>
        </w:rPr>
        <w:t>Comentário</w:t>
      </w:r>
      <w:r>
        <w:rPr>
          <w:rFonts w:ascii="Arial" w:hAnsi="Arial" w:cs="Arial"/>
          <w:b/>
          <w:bCs/>
          <w:color w:val="222222"/>
          <w:shd w:val="clear" w:color="auto" w:fill="FFFFFF"/>
        </w:rPr>
        <w:t xml:space="preserve"> 2</w:t>
      </w:r>
    </w:p>
    <w:p w14:paraId="7EEE961D" w14:textId="77777777" w:rsidR="00174D2B" w:rsidRDefault="00174D2B" w:rsidP="00174D2B">
      <w:pPr>
        <w:jc w:val="both"/>
        <w:rPr>
          <w:rFonts w:ascii="Arial" w:hAnsi="Arial" w:cs="Arial"/>
          <w:b/>
          <w:bCs/>
          <w:color w:val="222222"/>
          <w:shd w:val="clear" w:color="auto" w:fill="FFFFFF"/>
        </w:rPr>
      </w:pPr>
      <w:r w:rsidRPr="004335D7">
        <w:rPr>
          <w:rFonts w:ascii="Arial" w:hAnsi="Arial" w:cs="Arial"/>
          <w:b/>
          <w:bCs/>
          <w:color w:val="222222"/>
          <w:shd w:val="clear" w:color="auto" w:fill="FFFFFF"/>
        </w:rPr>
        <w:t>Melhorar a breve discussão apresentada no resumo.</w:t>
      </w:r>
    </w:p>
    <w:p w14:paraId="2201E01B" w14:textId="77777777" w:rsidR="00174D2B" w:rsidRDefault="00174D2B" w:rsidP="00174D2B">
      <w:pPr>
        <w:jc w:val="both"/>
        <w:rPr>
          <w:rFonts w:ascii="Arial" w:hAnsi="Arial" w:cs="Arial"/>
          <w:b/>
          <w:bCs/>
          <w:color w:val="222222"/>
          <w:shd w:val="clear" w:color="auto" w:fill="FFFFFF"/>
        </w:rPr>
      </w:pPr>
      <w:r>
        <w:rPr>
          <w:rFonts w:ascii="Arial" w:hAnsi="Arial" w:cs="Arial"/>
          <w:b/>
          <w:bCs/>
          <w:color w:val="222222"/>
          <w:shd w:val="clear" w:color="auto" w:fill="FFFFFF"/>
        </w:rPr>
        <w:t>Resposta ao Comentário 2</w:t>
      </w:r>
    </w:p>
    <w:p w14:paraId="3CFF322B" w14:textId="77777777" w:rsidR="00174D2B" w:rsidRPr="00736D1E" w:rsidRDefault="00174D2B" w:rsidP="00174D2B">
      <w:pPr>
        <w:jc w:val="both"/>
        <w:rPr>
          <w:rFonts w:cstheme="minorHAnsi"/>
        </w:rPr>
      </w:pPr>
      <w:r w:rsidRPr="00736D1E">
        <w:rPr>
          <w:rFonts w:cstheme="minorHAnsi"/>
        </w:rPr>
        <w:t>Os autores agradecem a sugestão e alteraram a discussão do abstract para:</w:t>
      </w:r>
    </w:p>
    <w:p w14:paraId="2534649A" w14:textId="77777777" w:rsidR="00174D2B" w:rsidRDefault="00174D2B" w:rsidP="00174D2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Cs/>
          <w:iCs/>
          <w:strike/>
        </w:rPr>
      </w:pPr>
      <w:r w:rsidRPr="003C3AF4">
        <w:rPr>
          <w:rFonts w:ascii="Times New Roman" w:hAnsi="Times New Roman" w:cs="Times New Roman"/>
          <w:bCs/>
          <w:iCs/>
          <w:strike/>
        </w:rPr>
        <w:t xml:space="preserve">A utilização da </w:t>
      </w:r>
      <w:r w:rsidRPr="003C3AF4">
        <w:rPr>
          <w:rFonts w:ascii="Times New Roman" w:hAnsi="Times New Roman" w:cs="Times New Roman"/>
          <w:bCs/>
          <w:i/>
          <w:strike/>
        </w:rPr>
        <w:t>EU(7)-PIM</w:t>
      </w:r>
      <w:r w:rsidRPr="003C3AF4">
        <w:rPr>
          <w:rFonts w:ascii="Times New Roman" w:hAnsi="Times New Roman" w:cs="Times New Roman"/>
          <w:bCs/>
          <w:iCs/>
          <w:strike/>
        </w:rPr>
        <w:t xml:space="preserve"> </w:t>
      </w:r>
      <w:r w:rsidRPr="003C3AF4">
        <w:rPr>
          <w:rFonts w:ascii="Times New Roman" w:hAnsi="Times New Roman" w:cs="Times New Roman"/>
          <w:bCs/>
          <w:i/>
          <w:strike/>
        </w:rPr>
        <w:t>List</w:t>
      </w:r>
      <w:r w:rsidRPr="003C3AF4">
        <w:rPr>
          <w:rFonts w:ascii="Times New Roman" w:hAnsi="Times New Roman" w:cs="Times New Roman"/>
          <w:bCs/>
          <w:iCs/>
          <w:strike/>
        </w:rPr>
        <w:t xml:space="preserve">  como critério de identificação de PIM necessita, para alguns medicamentos, de informação sobre o tempo de utilização dos mesmos.</w:t>
      </w:r>
      <w:r>
        <w:rPr>
          <w:rFonts w:ascii="Times New Roman" w:hAnsi="Times New Roman" w:cs="Times New Roman"/>
          <w:bCs/>
          <w:iCs/>
          <w:strike/>
        </w:rPr>
        <w:t xml:space="preserve"> </w:t>
      </w:r>
      <w:r w:rsidRPr="003C3AF4">
        <w:rPr>
          <w:rFonts w:ascii="Times New Roman" w:hAnsi="Times New Roman" w:cs="Times New Roman"/>
          <w:bCs/>
          <w:iCs/>
          <w:strike/>
        </w:rPr>
        <w:t>.</w:t>
      </w:r>
      <w:r>
        <w:rPr>
          <w:rFonts w:ascii="Times New Roman" w:hAnsi="Times New Roman" w:cs="Times New Roman"/>
          <w:bCs/>
          <w:iCs/>
          <w:strike/>
        </w:rPr>
        <w:t xml:space="preserve"> </w:t>
      </w:r>
      <w:r w:rsidRPr="00F80273">
        <w:rPr>
          <w:rFonts w:ascii="Times New Roman" w:hAnsi="Times New Roman" w:cs="Times New Roman"/>
          <w:highlight w:val="green"/>
        </w:rPr>
        <w:t xml:space="preserve">A EU(7)-PIM </w:t>
      </w:r>
      <w:r w:rsidRPr="003B270F">
        <w:rPr>
          <w:rFonts w:ascii="Times New Roman" w:hAnsi="Times New Roman" w:cs="Times New Roman"/>
          <w:i/>
          <w:iCs/>
          <w:highlight w:val="green"/>
        </w:rPr>
        <w:t>List</w:t>
      </w:r>
      <w:r w:rsidRPr="00F80273">
        <w:rPr>
          <w:rFonts w:ascii="Times New Roman" w:hAnsi="Times New Roman" w:cs="Times New Roman"/>
          <w:highlight w:val="green"/>
        </w:rPr>
        <w:t xml:space="preserve"> tem sido utilizada em vários países europeus, no entanto, a disponibilidade</w:t>
      </w:r>
      <w:r>
        <w:rPr>
          <w:rFonts w:ascii="Times New Roman" w:hAnsi="Times New Roman" w:cs="Times New Roman"/>
          <w:highlight w:val="green"/>
        </w:rPr>
        <w:t xml:space="preserve"> de fármacos</w:t>
      </w:r>
      <w:r w:rsidRPr="00F80273">
        <w:rPr>
          <w:rFonts w:ascii="Times New Roman" w:hAnsi="Times New Roman" w:cs="Times New Roman"/>
          <w:highlight w:val="green"/>
        </w:rPr>
        <w:t xml:space="preserve"> no mercado é bastante diversa. Com este estudo operacionalizamos a lista europeia para a realidade portuguesa</w:t>
      </w:r>
      <w:r>
        <w:rPr>
          <w:rFonts w:ascii="Times New Roman" w:hAnsi="Times New Roman" w:cs="Times New Roman"/>
          <w:highlight w:val="green"/>
        </w:rPr>
        <w:t>, facilitando assim a sua apl</w:t>
      </w:r>
      <w:r w:rsidRPr="00F80273">
        <w:rPr>
          <w:rFonts w:ascii="Times New Roman" w:hAnsi="Times New Roman" w:cs="Times New Roman"/>
          <w:highlight w:val="green"/>
        </w:rPr>
        <w:t>icação na prática clínica.</w:t>
      </w:r>
    </w:p>
    <w:p w14:paraId="66043EA3" w14:textId="77777777" w:rsidR="00174D2B" w:rsidRDefault="00174D2B" w:rsidP="00174D2B">
      <w:pPr>
        <w:jc w:val="both"/>
        <w:rPr>
          <w:rFonts w:ascii="Arial" w:hAnsi="Arial" w:cs="Arial"/>
          <w:b/>
          <w:bCs/>
          <w:color w:val="222222"/>
          <w:shd w:val="clear" w:color="auto" w:fill="FFFFFF"/>
        </w:rPr>
      </w:pPr>
    </w:p>
    <w:p w14:paraId="4BE3D31F" w14:textId="77777777" w:rsidR="00174D2B" w:rsidRDefault="00174D2B" w:rsidP="00174D2B">
      <w:pPr>
        <w:jc w:val="both"/>
        <w:rPr>
          <w:rFonts w:ascii="Arial" w:hAnsi="Arial" w:cs="Arial"/>
          <w:b/>
          <w:bCs/>
          <w:color w:val="222222"/>
          <w:shd w:val="clear" w:color="auto" w:fill="FFFFFF"/>
        </w:rPr>
      </w:pPr>
      <w:r w:rsidRPr="004335D7">
        <w:rPr>
          <w:rFonts w:ascii="Arial" w:hAnsi="Arial" w:cs="Arial"/>
          <w:b/>
          <w:bCs/>
          <w:color w:val="222222"/>
          <w:shd w:val="clear" w:color="auto" w:fill="FFFFFF"/>
        </w:rPr>
        <w:t>Comentário</w:t>
      </w:r>
      <w:r>
        <w:rPr>
          <w:rFonts w:ascii="Arial" w:hAnsi="Arial" w:cs="Arial"/>
          <w:b/>
          <w:bCs/>
          <w:color w:val="222222"/>
          <w:shd w:val="clear" w:color="auto" w:fill="FFFFFF"/>
        </w:rPr>
        <w:t xml:space="preserve"> 3</w:t>
      </w:r>
    </w:p>
    <w:p w14:paraId="7E273947" w14:textId="77777777" w:rsidR="00174D2B" w:rsidRPr="004335D7" w:rsidRDefault="00174D2B" w:rsidP="00174D2B">
      <w:pPr>
        <w:jc w:val="both"/>
        <w:rPr>
          <w:rFonts w:ascii="Arial" w:hAnsi="Arial" w:cs="Arial"/>
          <w:b/>
          <w:bCs/>
          <w:color w:val="222222"/>
          <w:shd w:val="clear" w:color="auto" w:fill="FFFFFF"/>
        </w:rPr>
      </w:pPr>
      <w:r w:rsidRPr="004335D7">
        <w:rPr>
          <w:rFonts w:ascii="Arial" w:hAnsi="Arial" w:cs="Arial"/>
          <w:b/>
          <w:bCs/>
          <w:color w:val="222222"/>
          <w:shd w:val="clear" w:color="auto" w:fill="FFFFFF"/>
        </w:rPr>
        <w:t>Reformatar a tabela 2 no que respeita às referências de “a-d”. A</w:t>
      </w:r>
      <w:r w:rsidRPr="004335D7">
        <w:rPr>
          <w:rFonts w:ascii="Arial" w:hAnsi="Arial" w:cs="Arial"/>
          <w:b/>
          <w:bCs/>
          <w:color w:val="222222"/>
          <w:shd w:val="clear" w:color="auto" w:fill="FFFFFF"/>
        </w:rPr>
        <w:br/>
        <w:t>dimensão dos caracteres na tabela é muito reduzida e no rodapé deve ser</w:t>
      </w:r>
      <w:r w:rsidRPr="004335D7">
        <w:rPr>
          <w:rFonts w:ascii="Arial" w:hAnsi="Arial" w:cs="Arial"/>
          <w:b/>
          <w:bCs/>
          <w:color w:val="222222"/>
          <w:shd w:val="clear" w:color="auto" w:fill="FFFFFF"/>
        </w:rPr>
        <w:br/>
        <w:t>utilizados símbolos idênticos.</w:t>
      </w:r>
    </w:p>
    <w:p w14:paraId="41CD6403" w14:textId="77777777" w:rsidR="00174D2B" w:rsidRDefault="00174D2B" w:rsidP="00174D2B">
      <w:pPr>
        <w:jc w:val="both"/>
        <w:rPr>
          <w:rFonts w:ascii="Arial" w:hAnsi="Arial" w:cs="Arial"/>
          <w:b/>
          <w:bCs/>
          <w:color w:val="222222"/>
          <w:shd w:val="clear" w:color="auto" w:fill="FFFFFF"/>
        </w:rPr>
      </w:pPr>
      <w:r>
        <w:rPr>
          <w:rFonts w:ascii="Arial" w:hAnsi="Arial" w:cs="Arial"/>
          <w:b/>
          <w:bCs/>
          <w:color w:val="222222"/>
          <w:shd w:val="clear" w:color="auto" w:fill="FFFFFF"/>
        </w:rPr>
        <w:t>Resposta ao Comentário 3</w:t>
      </w:r>
    </w:p>
    <w:p w14:paraId="7F828D72" w14:textId="77777777" w:rsidR="00174D2B" w:rsidRPr="00736D1E" w:rsidRDefault="00174D2B" w:rsidP="00174D2B">
      <w:pPr>
        <w:jc w:val="both"/>
        <w:rPr>
          <w:rFonts w:cstheme="minorHAnsi"/>
        </w:rPr>
      </w:pPr>
      <w:r w:rsidRPr="00736D1E">
        <w:rPr>
          <w:rFonts w:cstheme="minorHAnsi"/>
        </w:rPr>
        <w:t>A tabela foi reformatada.</w:t>
      </w:r>
    </w:p>
    <w:p w14:paraId="4E793DC2" w14:textId="77777777" w:rsidR="00174D2B" w:rsidRDefault="00174D2B" w:rsidP="00174D2B">
      <w:pPr>
        <w:jc w:val="both"/>
        <w:rPr>
          <w:rFonts w:ascii="Arial" w:hAnsi="Arial" w:cs="Arial"/>
          <w:b/>
          <w:bCs/>
          <w:color w:val="222222"/>
          <w:shd w:val="clear" w:color="auto" w:fill="FFFFFF"/>
        </w:rPr>
      </w:pPr>
    </w:p>
    <w:p w14:paraId="1C431252" w14:textId="77777777" w:rsidR="00174D2B" w:rsidRPr="004335D7" w:rsidRDefault="00174D2B" w:rsidP="00174D2B">
      <w:pPr>
        <w:jc w:val="both"/>
        <w:rPr>
          <w:rFonts w:ascii="Arial" w:hAnsi="Arial" w:cs="Arial"/>
          <w:b/>
          <w:bCs/>
          <w:color w:val="222222"/>
          <w:shd w:val="clear" w:color="auto" w:fill="FFFFFF"/>
        </w:rPr>
      </w:pPr>
      <w:r w:rsidRPr="004335D7">
        <w:rPr>
          <w:rFonts w:ascii="Arial" w:hAnsi="Arial" w:cs="Arial"/>
          <w:b/>
          <w:bCs/>
          <w:color w:val="222222"/>
          <w:shd w:val="clear" w:color="auto" w:fill="FFFFFF"/>
        </w:rPr>
        <w:t>Comentário 4</w:t>
      </w:r>
    </w:p>
    <w:p w14:paraId="54229B45" w14:textId="77777777" w:rsidR="00174D2B" w:rsidRDefault="00174D2B" w:rsidP="00174D2B">
      <w:pPr>
        <w:jc w:val="both"/>
        <w:rPr>
          <w:rFonts w:ascii="Arial" w:hAnsi="Arial" w:cs="Arial"/>
          <w:b/>
          <w:bCs/>
          <w:color w:val="222222"/>
          <w:shd w:val="clear" w:color="auto" w:fill="FFFFFF"/>
        </w:rPr>
      </w:pPr>
      <w:r w:rsidRPr="004335D7">
        <w:rPr>
          <w:rFonts w:ascii="Arial" w:hAnsi="Arial" w:cs="Arial"/>
          <w:b/>
          <w:bCs/>
          <w:color w:val="222222"/>
          <w:shd w:val="clear" w:color="auto" w:fill="FFFFFF"/>
        </w:rPr>
        <w:t>Melhorar a conclusão incluindo recomendações pertinentes que o estudo</w:t>
      </w:r>
      <w:r w:rsidRPr="004335D7">
        <w:rPr>
          <w:rFonts w:ascii="Arial" w:hAnsi="Arial" w:cs="Arial"/>
          <w:b/>
          <w:bCs/>
          <w:color w:val="222222"/>
          <w:shd w:val="clear" w:color="auto" w:fill="FFFFFF"/>
        </w:rPr>
        <w:br/>
        <w:t>identifica e justifica.</w:t>
      </w:r>
    </w:p>
    <w:p w14:paraId="4EAB8AD8" w14:textId="77777777" w:rsidR="00174D2B" w:rsidRPr="00736D1E" w:rsidRDefault="00174D2B" w:rsidP="00174D2B">
      <w:pPr>
        <w:jc w:val="both"/>
        <w:rPr>
          <w:rFonts w:cstheme="minorHAnsi"/>
        </w:rPr>
      </w:pPr>
      <w:r w:rsidRPr="00736D1E">
        <w:rPr>
          <w:rFonts w:cstheme="minorHAnsi"/>
        </w:rPr>
        <w:t>Os autores agradecem a oportunidade, e, seguindo a sugestão, foi introduzida a seguinte informação na conclusão:</w:t>
      </w:r>
    </w:p>
    <w:p w14:paraId="25FA6613" w14:textId="77777777" w:rsidR="00174D2B" w:rsidRPr="00736D1E" w:rsidRDefault="00174D2B" w:rsidP="00174D2B">
      <w:pPr>
        <w:jc w:val="both"/>
        <w:rPr>
          <w:rFonts w:cstheme="minorHAnsi"/>
        </w:rPr>
      </w:pPr>
    </w:p>
    <w:p w14:paraId="122AA612" w14:textId="218FC347" w:rsidR="00174D2B" w:rsidRPr="00357D05" w:rsidRDefault="00174D2B" w:rsidP="00174D2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highlight w:val="green"/>
        </w:rPr>
      </w:pPr>
      <w:r w:rsidRPr="00D472E0">
        <w:rPr>
          <w:rFonts w:ascii="Times New Roman" w:hAnsi="Times New Roman" w:cs="Times New Roman"/>
          <w:highlight w:val="green"/>
        </w:rPr>
        <w:lastRenderedPageBreak/>
        <w:t>A exposição da população idosa a medicamentos PIM é uma realidade,</w:t>
      </w:r>
      <w:r>
        <w:rPr>
          <w:rFonts w:ascii="Times New Roman" w:hAnsi="Times New Roman" w:cs="Times New Roman"/>
          <w:highlight w:val="green"/>
        </w:rPr>
        <w:t xml:space="preserve"> e em que se verifica essencialmente um</w:t>
      </w:r>
      <w:r w:rsidRPr="00D472E0">
        <w:rPr>
          <w:rFonts w:ascii="Times New Roman" w:hAnsi="Times New Roman" w:cs="Times New Roman"/>
          <w:highlight w:val="green"/>
        </w:rPr>
        <w:t xml:space="preserve"> elevado consumo de medicamentos do grupo dos </w:t>
      </w:r>
      <w:r w:rsidR="000D342A">
        <w:rPr>
          <w:rFonts w:ascii="Times New Roman" w:hAnsi="Times New Roman" w:cs="Times New Roman"/>
          <w:highlight w:val="green"/>
        </w:rPr>
        <w:t>IBP</w:t>
      </w:r>
      <w:r w:rsidRPr="00D472E0">
        <w:rPr>
          <w:rFonts w:ascii="Times New Roman" w:hAnsi="Times New Roman" w:cs="Times New Roman"/>
          <w:highlight w:val="green"/>
        </w:rPr>
        <w:t xml:space="preserve"> e do grupo das benzodiazepinas. A utilização de ferramentas de identificação de PIM, com informação sobre alternativas terapêuticas, durante a prática clínica, será certamente uma mais valia na decisão de prescrição</w:t>
      </w:r>
      <w:r>
        <w:rPr>
          <w:rFonts w:ascii="Times New Roman" w:hAnsi="Times New Roman" w:cs="Times New Roman"/>
        </w:rPr>
        <w:t xml:space="preserve">, </w:t>
      </w:r>
      <w:r w:rsidRPr="00357D05">
        <w:rPr>
          <w:rFonts w:ascii="Times New Roman" w:hAnsi="Times New Roman" w:cs="Times New Roman"/>
          <w:highlight w:val="green"/>
        </w:rPr>
        <w:t xml:space="preserve">podendo contribuir para a desprescrição de alguns destes medicamentos, conforme orientações da Direção Geral de Saúde. </w:t>
      </w:r>
    </w:p>
    <w:p w14:paraId="0931B8BD" w14:textId="77777777" w:rsidR="00174D2B" w:rsidRDefault="00174D2B" w:rsidP="00174D2B">
      <w:pPr>
        <w:jc w:val="both"/>
        <w:rPr>
          <w:rFonts w:ascii="Arial" w:hAnsi="Arial" w:cs="Arial"/>
          <w:b/>
          <w:bCs/>
          <w:color w:val="222222"/>
          <w:shd w:val="clear" w:color="auto" w:fill="FFFFFF"/>
        </w:rPr>
      </w:pPr>
    </w:p>
    <w:p w14:paraId="5388E6FA" w14:textId="77777777" w:rsidR="00174D2B" w:rsidRDefault="00174D2B" w:rsidP="00174D2B">
      <w:pPr>
        <w:jc w:val="both"/>
        <w:rPr>
          <w:rFonts w:ascii="Arial" w:hAnsi="Arial" w:cs="Arial"/>
          <w:b/>
          <w:bCs/>
          <w:color w:val="222222"/>
          <w:shd w:val="clear" w:color="auto" w:fill="FFFFFF"/>
        </w:rPr>
      </w:pPr>
    </w:p>
    <w:p w14:paraId="2E567E2F" w14:textId="4611E720" w:rsidR="00174D2B" w:rsidRPr="00AE18BE" w:rsidRDefault="00174D2B" w:rsidP="00174D2B">
      <w:pPr>
        <w:spacing w:after="0" w:line="240" w:lineRule="auto"/>
        <w:rPr>
          <w:rFonts w:eastAsia="Times New Roman" w:cstheme="minorHAnsi"/>
          <w:lang w:eastAsia="pt-PT"/>
        </w:rPr>
      </w:pPr>
      <w:r>
        <w:rPr>
          <w:rFonts w:ascii="Arial" w:hAnsi="Arial" w:cs="Arial"/>
          <w:b/>
          <w:bCs/>
          <w:color w:val="222222"/>
          <w:shd w:val="clear" w:color="auto" w:fill="FFFFFF"/>
        </w:rPr>
        <w:t>---------------- # -------------------</w:t>
      </w:r>
    </w:p>
    <w:sectPr w:rsidR="00174D2B" w:rsidRPr="00AE18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25F33" w14:textId="77777777" w:rsidR="00267798" w:rsidRDefault="00267798" w:rsidP="009C1746">
      <w:pPr>
        <w:spacing w:after="0" w:line="240" w:lineRule="auto"/>
      </w:pPr>
      <w:r>
        <w:separator/>
      </w:r>
    </w:p>
  </w:endnote>
  <w:endnote w:type="continuationSeparator" w:id="0">
    <w:p w14:paraId="0C532F19" w14:textId="77777777" w:rsidR="00267798" w:rsidRDefault="00267798" w:rsidP="009C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OTbc475f09">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B6EA9" w14:textId="77777777" w:rsidR="00267798" w:rsidRDefault="00267798" w:rsidP="009C1746">
      <w:pPr>
        <w:spacing w:after="0" w:line="240" w:lineRule="auto"/>
      </w:pPr>
      <w:r>
        <w:separator/>
      </w:r>
    </w:p>
  </w:footnote>
  <w:footnote w:type="continuationSeparator" w:id="0">
    <w:p w14:paraId="57FF4E7C" w14:textId="77777777" w:rsidR="00267798" w:rsidRDefault="00267798" w:rsidP="009C1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511B7"/>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260561"/>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9337455"/>
    <w:multiLevelType w:val="hybridMultilevel"/>
    <w:tmpl w:val="AF0ABDAE"/>
    <w:lvl w:ilvl="0" w:tplc="02EEE2F6">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8440016"/>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1BD623F"/>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948353D"/>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B6472F3"/>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09E12E4"/>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1DB7FD8"/>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51F27F1F"/>
    <w:multiLevelType w:val="hybridMultilevel"/>
    <w:tmpl w:val="44EEC5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ADC7705"/>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2900540"/>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2B33571"/>
    <w:multiLevelType w:val="hybridMultilevel"/>
    <w:tmpl w:val="2A4CF6D8"/>
    <w:lvl w:ilvl="0" w:tplc="AAA4C572">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AE238A5"/>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77640EAD"/>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9807EA5"/>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7A014889"/>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B00063A"/>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DA50453"/>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7EAF4721"/>
    <w:multiLevelType w:val="hybridMultilevel"/>
    <w:tmpl w:val="AF0ABDAE"/>
    <w:lvl w:ilvl="0" w:tplc="02EEE2F6">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F385E9C"/>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F884985"/>
    <w:multiLevelType w:val="hybridMultilevel"/>
    <w:tmpl w:val="3AFE944A"/>
    <w:lvl w:ilvl="0" w:tplc="80A6CB8C">
      <w:start w:val="1"/>
      <w:numFmt w:val="decimal"/>
      <w:lvlText w:val="%1-"/>
      <w:lvlJc w:val="left"/>
      <w:pPr>
        <w:ind w:left="502" w:hanging="360"/>
      </w:pPr>
      <w:rPr>
        <w:rFonts w:hint="default"/>
        <w:b/>
        <w:bCs/>
        <w:sz w:val="24"/>
        <w:szCs w:val="24"/>
        <w:vertAlign w:val="base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0"/>
  </w:num>
  <w:num w:numId="5">
    <w:abstractNumId w:val="3"/>
  </w:num>
  <w:num w:numId="6">
    <w:abstractNumId w:val="14"/>
  </w:num>
  <w:num w:numId="7">
    <w:abstractNumId w:val="17"/>
  </w:num>
  <w:num w:numId="8">
    <w:abstractNumId w:val="12"/>
  </w:num>
  <w:num w:numId="9">
    <w:abstractNumId w:val="19"/>
  </w:num>
  <w:num w:numId="10">
    <w:abstractNumId w:val="5"/>
  </w:num>
  <w:num w:numId="11">
    <w:abstractNumId w:val="4"/>
  </w:num>
  <w:num w:numId="12">
    <w:abstractNumId w:val="21"/>
  </w:num>
  <w:num w:numId="13">
    <w:abstractNumId w:val="7"/>
  </w:num>
  <w:num w:numId="14">
    <w:abstractNumId w:val="11"/>
  </w:num>
  <w:num w:numId="15">
    <w:abstractNumId w:val="1"/>
  </w:num>
  <w:num w:numId="16">
    <w:abstractNumId w:val="20"/>
  </w:num>
  <w:num w:numId="17">
    <w:abstractNumId w:val="13"/>
  </w:num>
  <w:num w:numId="18">
    <w:abstractNumId w:val="18"/>
  </w:num>
  <w:num w:numId="19">
    <w:abstractNumId w:val="9"/>
  </w:num>
  <w:num w:numId="20">
    <w:abstractNumId w:val="1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56"/>
    <w:rsid w:val="00001811"/>
    <w:rsid w:val="000106FD"/>
    <w:rsid w:val="00021E6F"/>
    <w:rsid w:val="000801C3"/>
    <w:rsid w:val="000D342A"/>
    <w:rsid w:val="000E30DE"/>
    <w:rsid w:val="00113459"/>
    <w:rsid w:val="00142952"/>
    <w:rsid w:val="00170260"/>
    <w:rsid w:val="00174D2B"/>
    <w:rsid w:val="00185B6F"/>
    <w:rsid w:val="00187CFC"/>
    <w:rsid w:val="00212BA0"/>
    <w:rsid w:val="00214E8A"/>
    <w:rsid w:val="00227F66"/>
    <w:rsid w:val="00237C6E"/>
    <w:rsid w:val="00267798"/>
    <w:rsid w:val="00275CFF"/>
    <w:rsid w:val="002A5B20"/>
    <w:rsid w:val="002B716F"/>
    <w:rsid w:val="002D32A3"/>
    <w:rsid w:val="002E24EA"/>
    <w:rsid w:val="002E5979"/>
    <w:rsid w:val="002F0153"/>
    <w:rsid w:val="00301045"/>
    <w:rsid w:val="003234AD"/>
    <w:rsid w:val="003274D2"/>
    <w:rsid w:val="00340A34"/>
    <w:rsid w:val="0034363F"/>
    <w:rsid w:val="00357D05"/>
    <w:rsid w:val="003B270F"/>
    <w:rsid w:val="003F3C83"/>
    <w:rsid w:val="004335D7"/>
    <w:rsid w:val="00493952"/>
    <w:rsid w:val="004A5B9F"/>
    <w:rsid w:val="004C7749"/>
    <w:rsid w:val="004F798E"/>
    <w:rsid w:val="005160B6"/>
    <w:rsid w:val="005324C0"/>
    <w:rsid w:val="00554B09"/>
    <w:rsid w:val="005575CD"/>
    <w:rsid w:val="00563284"/>
    <w:rsid w:val="005666E8"/>
    <w:rsid w:val="00571A19"/>
    <w:rsid w:val="00577EE3"/>
    <w:rsid w:val="0058697B"/>
    <w:rsid w:val="005B7104"/>
    <w:rsid w:val="005D57A9"/>
    <w:rsid w:val="005E3DD7"/>
    <w:rsid w:val="005F5652"/>
    <w:rsid w:val="00627236"/>
    <w:rsid w:val="006441C1"/>
    <w:rsid w:val="006D6ECF"/>
    <w:rsid w:val="006D7F6C"/>
    <w:rsid w:val="006E7E14"/>
    <w:rsid w:val="00711C7C"/>
    <w:rsid w:val="007169FC"/>
    <w:rsid w:val="00733765"/>
    <w:rsid w:val="00736D1E"/>
    <w:rsid w:val="007B0AE5"/>
    <w:rsid w:val="007B1D88"/>
    <w:rsid w:val="007C6888"/>
    <w:rsid w:val="007F1D59"/>
    <w:rsid w:val="00802C29"/>
    <w:rsid w:val="008153DB"/>
    <w:rsid w:val="00824E52"/>
    <w:rsid w:val="008A184F"/>
    <w:rsid w:val="008A78DB"/>
    <w:rsid w:val="008B7141"/>
    <w:rsid w:val="008D41D1"/>
    <w:rsid w:val="008E2421"/>
    <w:rsid w:val="00926307"/>
    <w:rsid w:val="009406C6"/>
    <w:rsid w:val="009425DD"/>
    <w:rsid w:val="00970DFC"/>
    <w:rsid w:val="00977BB9"/>
    <w:rsid w:val="009804E2"/>
    <w:rsid w:val="00982FFE"/>
    <w:rsid w:val="009C1746"/>
    <w:rsid w:val="00A178CE"/>
    <w:rsid w:val="00A27E1D"/>
    <w:rsid w:val="00A469BB"/>
    <w:rsid w:val="00A95332"/>
    <w:rsid w:val="00AB0F11"/>
    <w:rsid w:val="00AE18BE"/>
    <w:rsid w:val="00AE264D"/>
    <w:rsid w:val="00B21FA2"/>
    <w:rsid w:val="00B30331"/>
    <w:rsid w:val="00B5507E"/>
    <w:rsid w:val="00B844C6"/>
    <w:rsid w:val="00BA45B4"/>
    <w:rsid w:val="00BB146E"/>
    <w:rsid w:val="00BB4391"/>
    <w:rsid w:val="00BD6DAE"/>
    <w:rsid w:val="00C015CF"/>
    <w:rsid w:val="00C05AF2"/>
    <w:rsid w:val="00C14940"/>
    <w:rsid w:val="00C217CE"/>
    <w:rsid w:val="00C54758"/>
    <w:rsid w:val="00C828C1"/>
    <w:rsid w:val="00C939E1"/>
    <w:rsid w:val="00CA3AC6"/>
    <w:rsid w:val="00CB3A76"/>
    <w:rsid w:val="00CF04EC"/>
    <w:rsid w:val="00D12ECD"/>
    <w:rsid w:val="00D17526"/>
    <w:rsid w:val="00D23C8A"/>
    <w:rsid w:val="00D311BE"/>
    <w:rsid w:val="00D35558"/>
    <w:rsid w:val="00D36879"/>
    <w:rsid w:val="00D63AAA"/>
    <w:rsid w:val="00D64ACA"/>
    <w:rsid w:val="00D73A9F"/>
    <w:rsid w:val="00D858A1"/>
    <w:rsid w:val="00D92581"/>
    <w:rsid w:val="00DA6D0A"/>
    <w:rsid w:val="00DB7A22"/>
    <w:rsid w:val="00DC691B"/>
    <w:rsid w:val="00DF7C5C"/>
    <w:rsid w:val="00E000EB"/>
    <w:rsid w:val="00E01156"/>
    <w:rsid w:val="00E1040F"/>
    <w:rsid w:val="00E20814"/>
    <w:rsid w:val="00E67E04"/>
    <w:rsid w:val="00E71F64"/>
    <w:rsid w:val="00E84179"/>
    <w:rsid w:val="00EB4259"/>
    <w:rsid w:val="00ED4FC7"/>
    <w:rsid w:val="00EE522B"/>
    <w:rsid w:val="00EF5A10"/>
    <w:rsid w:val="00F01EFB"/>
    <w:rsid w:val="00F53032"/>
    <w:rsid w:val="00F80273"/>
    <w:rsid w:val="00FA30A7"/>
    <w:rsid w:val="00FB2220"/>
    <w:rsid w:val="00FB2EE6"/>
    <w:rsid w:val="00FB5D5A"/>
    <w:rsid w:val="00FB7669"/>
    <w:rsid w:val="00FE54DD"/>
    <w:rsid w:val="00FF19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1380"/>
  <w15:chartTrackingRefBased/>
  <w15:docId w15:val="{5C664194-7A06-416E-A387-30C24D05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E01156"/>
  </w:style>
  <w:style w:type="paragraph" w:styleId="BalloonText">
    <w:name w:val="Balloon Text"/>
    <w:basedOn w:val="Normal"/>
    <w:link w:val="BalloonTextChar"/>
    <w:uiPriority w:val="99"/>
    <w:semiHidden/>
    <w:unhideWhenUsed/>
    <w:rsid w:val="00433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5D7"/>
    <w:rPr>
      <w:rFonts w:ascii="Segoe UI" w:hAnsi="Segoe UI" w:cs="Segoe UI"/>
      <w:sz w:val="18"/>
      <w:szCs w:val="18"/>
    </w:rPr>
  </w:style>
  <w:style w:type="paragraph" w:styleId="CommentText">
    <w:name w:val="annotation text"/>
    <w:basedOn w:val="Normal"/>
    <w:link w:val="CommentTextChar"/>
    <w:uiPriority w:val="99"/>
    <w:unhideWhenUsed/>
    <w:rsid w:val="00275CFF"/>
    <w:pPr>
      <w:spacing w:line="240" w:lineRule="auto"/>
    </w:pPr>
    <w:rPr>
      <w:sz w:val="20"/>
      <w:szCs w:val="20"/>
    </w:rPr>
  </w:style>
  <w:style w:type="character" w:customStyle="1" w:styleId="CommentTextChar">
    <w:name w:val="Comment Text Char"/>
    <w:basedOn w:val="DefaultParagraphFont"/>
    <w:link w:val="CommentText"/>
    <w:uiPriority w:val="99"/>
    <w:rsid w:val="00275CFF"/>
    <w:rPr>
      <w:sz w:val="20"/>
      <w:szCs w:val="20"/>
    </w:rPr>
  </w:style>
  <w:style w:type="character" w:styleId="Hyperlink">
    <w:name w:val="Hyperlink"/>
    <w:basedOn w:val="DefaultParagraphFont"/>
    <w:uiPriority w:val="99"/>
    <w:semiHidden/>
    <w:unhideWhenUsed/>
    <w:rsid w:val="00D23C8A"/>
    <w:rPr>
      <w:color w:val="0000FF"/>
      <w:u w:val="single"/>
    </w:rPr>
  </w:style>
  <w:style w:type="paragraph" w:styleId="ListParagraph">
    <w:name w:val="List Paragraph"/>
    <w:basedOn w:val="Normal"/>
    <w:uiPriority w:val="34"/>
    <w:qFormat/>
    <w:rsid w:val="00D23C8A"/>
    <w:pPr>
      <w:spacing w:after="0" w:line="240" w:lineRule="auto"/>
      <w:ind w:left="720"/>
      <w:contextualSpacing/>
    </w:pPr>
    <w:rPr>
      <w:sz w:val="24"/>
      <w:szCs w:val="24"/>
    </w:rPr>
  </w:style>
  <w:style w:type="table" w:styleId="TableGridLight">
    <w:name w:val="Grid Table Light"/>
    <w:basedOn w:val="TableNormal"/>
    <w:uiPriority w:val="40"/>
    <w:rsid w:val="00C217CE"/>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C1746"/>
    <w:pPr>
      <w:tabs>
        <w:tab w:val="center" w:pos="4252"/>
        <w:tab w:val="right" w:pos="8504"/>
      </w:tabs>
      <w:spacing w:after="0" w:line="240" w:lineRule="auto"/>
    </w:pPr>
  </w:style>
  <w:style w:type="character" w:customStyle="1" w:styleId="HeaderChar">
    <w:name w:val="Header Char"/>
    <w:basedOn w:val="DefaultParagraphFont"/>
    <w:link w:val="Header"/>
    <w:uiPriority w:val="99"/>
    <w:rsid w:val="009C1746"/>
  </w:style>
  <w:style w:type="paragraph" w:styleId="Footer">
    <w:name w:val="footer"/>
    <w:basedOn w:val="Normal"/>
    <w:link w:val="FooterChar"/>
    <w:uiPriority w:val="99"/>
    <w:unhideWhenUsed/>
    <w:rsid w:val="009C1746"/>
    <w:pPr>
      <w:tabs>
        <w:tab w:val="center" w:pos="4252"/>
        <w:tab w:val="right" w:pos="8504"/>
      </w:tabs>
      <w:spacing w:after="0" w:line="240" w:lineRule="auto"/>
    </w:pPr>
  </w:style>
  <w:style w:type="character" w:customStyle="1" w:styleId="FooterChar">
    <w:name w:val="Footer Char"/>
    <w:basedOn w:val="DefaultParagraphFont"/>
    <w:link w:val="Footer"/>
    <w:uiPriority w:val="99"/>
    <w:rsid w:val="009C1746"/>
  </w:style>
  <w:style w:type="character" w:styleId="CommentReference">
    <w:name w:val="annotation reference"/>
    <w:basedOn w:val="DefaultParagraphFont"/>
    <w:uiPriority w:val="99"/>
    <w:semiHidden/>
    <w:unhideWhenUsed/>
    <w:rsid w:val="009C1746"/>
    <w:rPr>
      <w:sz w:val="16"/>
      <w:szCs w:val="16"/>
    </w:rPr>
  </w:style>
  <w:style w:type="paragraph" w:styleId="CommentSubject">
    <w:name w:val="annotation subject"/>
    <w:basedOn w:val="CommentText"/>
    <w:next w:val="CommentText"/>
    <w:link w:val="CommentSubjectChar"/>
    <w:uiPriority w:val="99"/>
    <w:semiHidden/>
    <w:unhideWhenUsed/>
    <w:rsid w:val="009C1746"/>
    <w:rPr>
      <w:b/>
      <w:bCs/>
    </w:rPr>
  </w:style>
  <w:style w:type="character" w:customStyle="1" w:styleId="CommentSubjectChar">
    <w:name w:val="Comment Subject Char"/>
    <w:basedOn w:val="CommentTextChar"/>
    <w:link w:val="CommentSubject"/>
    <w:uiPriority w:val="99"/>
    <w:semiHidden/>
    <w:rsid w:val="009C1746"/>
    <w:rPr>
      <w:b/>
      <w:bCs/>
      <w:sz w:val="20"/>
      <w:szCs w:val="20"/>
    </w:rPr>
  </w:style>
  <w:style w:type="paragraph" w:customStyle="1" w:styleId="Text">
    <w:name w:val="Text"/>
    <w:link w:val="TextCar"/>
    <w:rsid w:val="007F1D59"/>
    <w:pPr>
      <w:pBdr>
        <w:top w:val="nil"/>
        <w:left w:val="nil"/>
        <w:bottom w:val="nil"/>
        <w:right w:val="nil"/>
        <w:between w:val="nil"/>
        <w:bar w:val="nil"/>
      </w:pBdr>
    </w:pPr>
    <w:rPr>
      <w:rFonts w:ascii="Calibri" w:eastAsia="Calibri" w:hAnsi="Calibri" w:cs="Calibri"/>
      <w:color w:val="000000"/>
      <w:u w:color="000000"/>
      <w:bdr w:val="nil"/>
      <w:lang w:val="de-DE" w:eastAsia="de-DE"/>
    </w:rPr>
  </w:style>
  <w:style w:type="character" w:customStyle="1" w:styleId="TextCar">
    <w:name w:val="Text Car"/>
    <w:basedOn w:val="DefaultParagraphFont"/>
    <w:link w:val="Text"/>
    <w:rsid w:val="007F1D59"/>
    <w:rPr>
      <w:rFonts w:ascii="Calibri" w:eastAsia="Calibri" w:hAnsi="Calibri" w:cs="Calibri"/>
      <w:color w:val="000000"/>
      <w:u w:color="000000"/>
      <w:bdr w:val="nil"/>
      <w:lang w:val="de-DE" w:eastAsia="de-DE"/>
    </w:rPr>
  </w:style>
  <w:style w:type="paragraph" w:customStyle="1" w:styleId="Default">
    <w:name w:val="Default"/>
    <w:rsid w:val="006D7F6C"/>
    <w:pPr>
      <w:autoSpaceDE w:val="0"/>
      <w:autoSpaceDN w:val="0"/>
      <w:adjustRightInd w:val="0"/>
      <w:spacing w:after="0" w:line="240" w:lineRule="auto"/>
    </w:pPr>
    <w:rPr>
      <w:rFonts w:ascii="Calibri" w:hAnsi="Calibri" w:cs="Calibri"/>
      <w:color w:val="000000"/>
      <w:sz w:val="24"/>
      <w:szCs w:val="24"/>
    </w:rPr>
  </w:style>
  <w:style w:type="character" w:customStyle="1" w:styleId="highlight">
    <w:name w:val="highlight"/>
    <w:basedOn w:val="DefaultParagraphFont"/>
    <w:rsid w:val="00C015CF"/>
  </w:style>
  <w:style w:type="table" w:styleId="TableGrid">
    <w:name w:val="Table Grid"/>
    <w:basedOn w:val="TableNormal"/>
    <w:uiPriority w:val="39"/>
    <w:rsid w:val="007B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Folha1!$B$1</c:f>
              <c:strCache>
                <c:ptCount val="1"/>
                <c:pt idx="0">
                  <c:v>Vendas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0"/>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5626-4276-A130-2C60763AA0BA}"/>
              </c:ext>
            </c:extLst>
          </c:dPt>
          <c:dPt>
            <c:idx val="1"/>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3-5626-4276-A130-2C60763AA0BA}"/>
              </c:ext>
            </c:extLst>
          </c:dPt>
          <c:dPt>
            <c:idx val="2"/>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5-5626-4276-A130-2C60763AA0BA}"/>
              </c:ext>
            </c:extLst>
          </c:dPt>
          <c:dPt>
            <c:idx val="3"/>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7-5626-4276-A130-2C60763AA0BA}"/>
              </c:ext>
            </c:extLst>
          </c:dPt>
          <c:dPt>
            <c:idx val="4"/>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9-5626-4276-A130-2C60763AA0BA}"/>
              </c:ext>
            </c:extLst>
          </c:dPt>
          <c:dPt>
            <c:idx val="5"/>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B-5626-4276-A130-2C60763AA0BA}"/>
              </c:ext>
            </c:extLst>
          </c:dPt>
          <c:dPt>
            <c:idx val="6"/>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D-5626-4276-A130-2C60763AA0BA}"/>
              </c:ext>
            </c:extLst>
          </c:dPt>
          <c:dPt>
            <c:idx val="7"/>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F-5626-4276-A130-2C60763AA0BA}"/>
              </c:ext>
            </c:extLst>
          </c:dPt>
          <c:dPt>
            <c:idx val="8"/>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11-5626-4276-A130-2C60763AA0BA}"/>
              </c:ext>
            </c:extLst>
          </c:dPt>
          <c:dPt>
            <c:idx val="9"/>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13-5626-4276-A130-2C60763AA0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Folha1!$A$2:$A$11</c:f>
              <c:strCache>
                <c:ptCount val="10"/>
                <c:pt idx="0">
                  <c:v>IBP</c:v>
                </c:pt>
                <c:pt idx="1">
                  <c:v>Rivaroxabano</c:v>
                </c:pt>
                <c:pt idx="2">
                  <c:v>Amiodarona</c:v>
                </c:pt>
                <c:pt idx="3">
                  <c:v>Trimetazidina</c:v>
                </c:pt>
                <c:pt idx="4">
                  <c:v>Espironolactona</c:v>
                </c:pt>
                <c:pt idx="5">
                  <c:v>Diclofenac</c:v>
                </c:pt>
                <c:pt idx="6">
                  <c:v>Diazepam</c:v>
                </c:pt>
                <c:pt idx="7">
                  <c:v>Lorazepam</c:v>
                </c:pt>
                <c:pt idx="8">
                  <c:v>Bromazepam</c:v>
                </c:pt>
                <c:pt idx="9">
                  <c:v>Alprazolam</c:v>
                </c:pt>
              </c:strCache>
            </c:strRef>
          </c:cat>
          <c:val>
            <c:numRef>
              <c:f>Folha1!$B$2:$B$11</c:f>
              <c:numCache>
                <c:formatCode>0.00%</c:formatCode>
                <c:ptCount val="10"/>
                <c:pt idx="0">
                  <c:v>0.439</c:v>
                </c:pt>
                <c:pt idx="1">
                  <c:v>3.6999999999999998E-2</c:v>
                </c:pt>
                <c:pt idx="2">
                  <c:v>2.8000000000000001E-2</c:v>
                </c:pt>
                <c:pt idx="3">
                  <c:v>3.9E-2</c:v>
                </c:pt>
                <c:pt idx="4">
                  <c:v>3.1E-2</c:v>
                </c:pt>
                <c:pt idx="5">
                  <c:v>2.9000000000000001E-2</c:v>
                </c:pt>
                <c:pt idx="6">
                  <c:v>4.3999999999999997E-2</c:v>
                </c:pt>
                <c:pt idx="7">
                  <c:v>9.0999999999999998E-2</c:v>
                </c:pt>
                <c:pt idx="8">
                  <c:v>4.2999999999999997E-2</c:v>
                </c:pt>
                <c:pt idx="9">
                  <c:v>0.14399999999999999</c:v>
                </c:pt>
              </c:numCache>
            </c:numRef>
          </c:val>
          <c:extLst>
            <c:ext xmlns:c16="http://schemas.microsoft.com/office/drawing/2014/chart" uri="{C3380CC4-5D6E-409C-BE32-E72D297353CC}">
              <c16:uniqueId val="{00000014-5626-4276-A130-2C60763AA0BA}"/>
            </c:ext>
          </c:extLst>
        </c:ser>
        <c:dLbls>
          <c:showLegendKey val="0"/>
          <c:showVal val="0"/>
          <c:showCatName val="0"/>
          <c:showSerName val="0"/>
          <c:showPercent val="0"/>
          <c:showBubbleSize val="0"/>
        </c:dLbls>
        <c:gapWidth val="100"/>
        <c:axId val="392223808"/>
        <c:axId val="477568912"/>
      </c:barChart>
      <c:valAx>
        <c:axId val="47756891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92223808"/>
        <c:crosses val="autoZero"/>
        <c:crossBetween val="between"/>
      </c:valAx>
      <c:catAx>
        <c:axId val="39222380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775689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B178-8DA1-44CF-8B61-823E2CA0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5207</Words>
  <Characters>29686</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Fátima Roque</dc:creator>
  <cp:keywords/>
  <dc:description/>
  <cp:lastModifiedBy>Carla de Sousa</cp:lastModifiedBy>
  <cp:revision>2</cp:revision>
  <dcterms:created xsi:type="dcterms:W3CDTF">2020-05-13T11:25:00Z</dcterms:created>
  <dcterms:modified xsi:type="dcterms:W3CDTF">2020-05-13T11:25:00Z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http://www.zotero.org/styles/sage-vancouver</vt:lpwstr>
  </property>
  <property fmtid="{D5CDD505-2E9C-101B-9397-08002B2CF9AE}" pid="21" name="Mendeley Recent Style Name 9_1">
    <vt:lpwstr>SAGE - Vancouver</vt:lpwstr>
  </property>
</Properties>
</file>