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4235" w14:textId="77777777" w:rsidR="00440DDC" w:rsidRDefault="00440DDC">
      <w:pPr>
        <w:rPr>
          <w:lang w:val="pt-PT"/>
        </w:rPr>
      </w:pPr>
    </w:p>
    <w:p w14:paraId="4BB87886" w14:textId="586A62BD" w:rsidR="00440DDC" w:rsidRPr="00440DDC" w:rsidRDefault="00AB064F">
      <w:pPr>
        <w:rPr>
          <w:b/>
          <w:lang w:val="pt-PT"/>
        </w:rPr>
      </w:pPr>
      <w:r>
        <w:rPr>
          <w:b/>
          <w:lang w:val="pt-PT"/>
        </w:rPr>
        <w:t>Perspetivas</w:t>
      </w:r>
    </w:p>
    <w:p w14:paraId="6317701B" w14:textId="1534AC6E" w:rsidR="00440DDC" w:rsidRDefault="00440DDC">
      <w:pPr>
        <w:rPr>
          <w:lang w:val="pt-PT"/>
        </w:rPr>
      </w:pPr>
    </w:p>
    <w:p w14:paraId="20C7ABAA" w14:textId="271158F9" w:rsidR="00440DDC" w:rsidRDefault="00440DDC">
      <w:pPr>
        <w:rPr>
          <w:lang w:val="pt-PT"/>
        </w:rPr>
      </w:pPr>
    </w:p>
    <w:p w14:paraId="5F8F157B" w14:textId="0F380566" w:rsidR="00440DDC" w:rsidRDefault="00440DDC">
      <w:pPr>
        <w:rPr>
          <w:lang w:val="pt-PT"/>
        </w:rPr>
      </w:pPr>
    </w:p>
    <w:p w14:paraId="7333DB3D" w14:textId="77777777" w:rsidR="00440DDC" w:rsidRDefault="00440DDC">
      <w:pPr>
        <w:rPr>
          <w:lang w:val="pt-PT"/>
        </w:rPr>
      </w:pPr>
    </w:p>
    <w:p w14:paraId="07393BBF" w14:textId="475B5AEC" w:rsidR="00383116" w:rsidRPr="00440DDC" w:rsidRDefault="00846DBB">
      <w:pPr>
        <w:rPr>
          <w:b/>
          <w:sz w:val="32"/>
          <w:szCs w:val="32"/>
          <w:lang w:val="pt-PT"/>
        </w:rPr>
      </w:pPr>
      <w:bookmarkStart w:id="0" w:name="_Hlk32168833"/>
      <w:r>
        <w:rPr>
          <w:b/>
          <w:sz w:val="32"/>
          <w:szCs w:val="32"/>
          <w:lang w:val="pt-PT"/>
        </w:rPr>
        <w:t xml:space="preserve">Da </w:t>
      </w:r>
      <w:r w:rsidR="00316416">
        <w:rPr>
          <w:b/>
          <w:sz w:val="32"/>
          <w:szCs w:val="32"/>
          <w:lang w:val="pt-PT"/>
        </w:rPr>
        <w:t>T</w:t>
      </w:r>
      <w:r>
        <w:rPr>
          <w:b/>
          <w:sz w:val="32"/>
          <w:szCs w:val="32"/>
          <w:lang w:val="pt-PT"/>
        </w:rPr>
        <w:t>uberculose ao</w:t>
      </w:r>
      <w:r w:rsidR="00316416">
        <w:rPr>
          <w:b/>
          <w:sz w:val="32"/>
          <w:szCs w:val="32"/>
          <w:lang w:val="pt-PT"/>
        </w:rPr>
        <w:t xml:space="preserve"> </w:t>
      </w:r>
      <w:r w:rsidR="00EE0D11">
        <w:rPr>
          <w:b/>
          <w:sz w:val="32"/>
          <w:szCs w:val="32"/>
          <w:lang w:val="pt-PT"/>
        </w:rPr>
        <w:t xml:space="preserve">Novo </w:t>
      </w:r>
      <w:r w:rsidR="001B3DF4">
        <w:rPr>
          <w:b/>
          <w:sz w:val="32"/>
          <w:szCs w:val="32"/>
          <w:lang w:val="pt-PT"/>
        </w:rPr>
        <w:t>Coronavírus 2019-nCoV - B</w:t>
      </w:r>
      <w:r w:rsidR="00AB064F">
        <w:rPr>
          <w:b/>
          <w:sz w:val="32"/>
          <w:szCs w:val="32"/>
          <w:lang w:val="pt-PT"/>
        </w:rPr>
        <w:t xml:space="preserve">reve </w:t>
      </w:r>
      <w:r w:rsidR="008006F9">
        <w:rPr>
          <w:b/>
          <w:sz w:val="32"/>
          <w:szCs w:val="32"/>
          <w:lang w:val="pt-PT"/>
        </w:rPr>
        <w:t>e</w:t>
      </w:r>
      <w:r w:rsidR="00440DDC" w:rsidRPr="00440DDC">
        <w:rPr>
          <w:b/>
          <w:sz w:val="32"/>
          <w:szCs w:val="32"/>
          <w:lang w:val="pt-PT"/>
        </w:rPr>
        <w:t xml:space="preserve">nquadramento </w:t>
      </w:r>
      <w:r w:rsidR="003C0439">
        <w:rPr>
          <w:b/>
          <w:sz w:val="32"/>
          <w:szCs w:val="32"/>
          <w:lang w:val="pt-PT"/>
        </w:rPr>
        <w:t>jurídico-</w:t>
      </w:r>
      <w:r w:rsidR="008006F9">
        <w:rPr>
          <w:b/>
          <w:sz w:val="32"/>
          <w:szCs w:val="32"/>
          <w:lang w:val="pt-PT"/>
        </w:rPr>
        <w:t>normativo</w:t>
      </w:r>
      <w:r w:rsidR="004924C5" w:rsidRPr="00440DDC">
        <w:rPr>
          <w:b/>
          <w:sz w:val="32"/>
          <w:szCs w:val="32"/>
          <w:lang w:val="pt-PT"/>
        </w:rPr>
        <w:t xml:space="preserve"> </w:t>
      </w:r>
      <w:r w:rsidR="00416506">
        <w:rPr>
          <w:b/>
          <w:sz w:val="32"/>
          <w:szCs w:val="32"/>
          <w:lang w:val="pt-PT"/>
        </w:rPr>
        <w:t xml:space="preserve">de medidas de </w:t>
      </w:r>
      <w:r w:rsidR="008006F9">
        <w:rPr>
          <w:b/>
          <w:sz w:val="32"/>
          <w:szCs w:val="32"/>
          <w:lang w:val="pt-PT"/>
        </w:rPr>
        <w:t>c</w:t>
      </w:r>
      <w:r w:rsidR="004924C5" w:rsidRPr="00440DDC">
        <w:rPr>
          <w:b/>
          <w:sz w:val="32"/>
          <w:szCs w:val="32"/>
          <w:lang w:val="pt-PT"/>
        </w:rPr>
        <w:t>ontrolo</w:t>
      </w:r>
      <w:r w:rsidR="00B419C7">
        <w:rPr>
          <w:b/>
          <w:sz w:val="32"/>
          <w:szCs w:val="32"/>
          <w:lang w:val="pt-PT"/>
        </w:rPr>
        <w:t xml:space="preserve"> de </w:t>
      </w:r>
      <w:r w:rsidR="008006F9">
        <w:rPr>
          <w:b/>
          <w:sz w:val="32"/>
          <w:szCs w:val="32"/>
          <w:lang w:val="pt-PT"/>
        </w:rPr>
        <w:t>d</w:t>
      </w:r>
      <w:r w:rsidR="00B419C7" w:rsidRPr="00440DDC">
        <w:rPr>
          <w:b/>
          <w:sz w:val="32"/>
          <w:szCs w:val="32"/>
          <w:lang w:val="pt-PT"/>
        </w:rPr>
        <w:t xml:space="preserve">oenças </w:t>
      </w:r>
      <w:r w:rsidR="008006F9">
        <w:rPr>
          <w:b/>
          <w:sz w:val="32"/>
          <w:szCs w:val="32"/>
          <w:lang w:val="pt-PT"/>
        </w:rPr>
        <w:t>i</w:t>
      </w:r>
      <w:r w:rsidR="00B419C7" w:rsidRPr="00440DDC">
        <w:rPr>
          <w:b/>
          <w:sz w:val="32"/>
          <w:szCs w:val="32"/>
          <w:lang w:val="pt-PT"/>
        </w:rPr>
        <w:t xml:space="preserve">nfeciosas </w:t>
      </w:r>
      <w:r w:rsidR="00686533">
        <w:rPr>
          <w:b/>
          <w:sz w:val="32"/>
          <w:szCs w:val="32"/>
          <w:lang w:val="pt-PT"/>
        </w:rPr>
        <w:t>com</w:t>
      </w:r>
      <w:r w:rsidR="00B419C7">
        <w:rPr>
          <w:b/>
          <w:sz w:val="32"/>
          <w:szCs w:val="32"/>
          <w:lang w:val="pt-PT"/>
        </w:rPr>
        <w:t xml:space="preserve"> </w:t>
      </w:r>
      <w:r w:rsidR="003D60BD">
        <w:rPr>
          <w:b/>
          <w:sz w:val="32"/>
          <w:szCs w:val="32"/>
          <w:lang w:val="pt-PT"/>
        </w:rPr>
        <w:t>tratamento/isolamento compulsivo</w:t>
      </w:r>
      <w:r w:rsidR="004924C5" w:rsidRPr="00440DDC">
        <w:rPr>
          <w:b/>
          <w:sz w:val="32"/>
          <w:szCs w:val="32"/>
          <w:lang w:val="pt-PT"/>
        </w:rPr>
        <w:t xml:space="preserve"> </w:t>
      </w:r>
      <w:r w:rsidR="001B3DF4">
        <w:rPr>
          <w:b/>
          <w:sz w:val="32"/>
          <w:szCs w:val="32"/>
          <w:lang w:val="pt-PT"/>
        </w:rPr>
        <w:t>em Portugal</w:t>
      </w:r>
      <w:r w:rsidR="004924C5" w:rsidRPr="00440DDC">
        <w:rPr>
          <w:b/>
          <w:sz w:val="32"/>
          <w:szCs w:val="32"/>
          <w:lang w:val="pt-PT"/>
        </w:rPr>
        <w:t xml:space="preserve"> </w:t>
      </w:r>
    </w:p>
    <w:bookmarkEnd w:id="0"/>
    <w:p w14:paraId="5D0C06B8" w14:textId="316AB43C" w:rsidR="00440DDC" w:rsidRPr="00440DDC" w:rsidRDefault="00440DDC">
      <w:pPr>
        <w:rPr>
          <w:b/>
          <w:sz w:val="32"/>
          <w:szCs w:val="32"/>
          <w:lang w:val="pt-PT"/>
        </w:rPr>
      </w:pPr>
    </w:p>
    <w:p w14:paraId="65913125" w14:textId="0E173FFF" w:rsidR="00440DDC" w:rsidRPr="00440DDC" w:rsidRDefault="00440DDC">
      <w:pPr>
        <w:rPr>
          <w:b/>
          <w:sz w:val="32"/>
          <w:szCs w:val="32"/>
          <w:lang w:val="pt-PT"/>
        </w:rPr>
      </w:pPr>
    </w:p>
    <w:p w14:paraId="2CFECE2A" w14:textId="4637E165" w:rsidR="00440DDC" w:rsidRDefault="00440DDC">
      <w:pPr>
        <w:rPr>
          <w:lang w:val="pt-PT"/>
        </w:rPr>
      </w:pPr>
    </w:p>
    <w:p w14:paraId="68CECC1C" w14:textId="60794801" w:rsidR="00440DDC" w:rsidRDefault="00440DDC">
      <w:pPr>
        <w:rPr>
          <w:lang w:val="pt-PT"/>
        </w:rPr>
      </w:pPr>
    </w:p>
    <w:p w14:paraId="27CC358B" w14:textId="602ECD8A" w:rsidR="00440DDC" w:rsidRDefault="00440DDC">
      <w:pPr>
        <w:rPr>
          <w:lang w:val="pt-PT"/>
        </w:rPr>
      </w:pPr>
    </w:p>
    <w:p w14:paraId="5E83CCFB" w14:textId="015BA250" w:rsidR="00440DDC" w:rsidRDefault="00440DDC">
      <w:pPr>
        <w:rPr>
          <w:lang w:val="pt-PT"/>
        </w:rPr>
      </w:pPr>
    </w:p>
    <w:p w14:paraId="4E07D50F" w14:textId="77777777" w:rsidR="00440DDC" w:rsidRDefault="00440DDC">
      <w:pPr>
        <w:rPr>
          <w:lang w:val="pt-PT"/>
        </w:rPr>
      </w:pPr>
    </w:p>
    <w:p w14:paraId="2671A662" w14:textId="77777777" w:rsidR="00440DDC" w:rsidRDefault="00440DDC">
      <w:pPr>
        <w:rPr>
          <w:lang w:val="pt-PT"/>
        </w:rPr>
      </w:pPr>
    </w:p>
    <w:p w14:paraId="76D14EAD" w14:textId="77777777" w:rsidR="00440DDC" w:rsidRDefault="00440DDC">
      <w:pPr>
        <w:rPr>
          <w:lang w:val="pt-PT"/>
        </w:rPr>
      </w:pPr>
    </w:p>
    <w:p w14:paraId="3E5948FE" w14:textId="77777777" w:rsidR="00440DDC" w:rsidRDefault="00440DDC">
      <w:pPr>
        <w:rPr>
          <w:lang w:val="pt-PT"/>
        </w:rPr>
      </w:pPr>
    </w:p>
    <w:p w14:paraId="42993768" w14:textId="1438AD65" w:rsidR="00440DDC" w:rsidRDefault="00440DDC">
      <w:pPr>
        <w:rPr>
          <w:lang w:val="pt-PT"/>
        </w:rPr>
      </w:pPr>
      <w:r>
        <w:rPr>
          <w:lang w:val="pt-PT"/>
        </w:rPr>
        <w:t>Vasco Ricoca Peixoto</w:t>
      </w:r>
      <w:r w:rsidR="008C62E5">
        <w:rPr>
          <w:lang w:val="pt-PT"/>
        </w:rPr>
        <w:t xml:space="preserve"> – Unidade de Saúde Pública -ACES Lisboa Norte</w:t>
      </w:r>
      <w:r w:rsidR="009149CE">
        <w:rPr>
          <w:lang w:val="pt-PT"/>
        </w:rPr>
        <w:t>, Lisboa</w:t>
      </w:r>
      <w:r w:rsidR="008C62E5">
        <w:rPr>
          <w:lang w:val="pt-PT"/>
        </w:rPr>
        <w:t xml:space="preserve"> ; </w:t>
      </w:r>
      <w:bookmarkStart w:id="1" w:name="_Hlk31992740"/>
      <w:r w:rsidR="008C62E5" w:rsidRPr="008C62E5">
        <w:rPr>
          <w:lang w:val="pt-PT"/>
        </w:rPr>
        <w:t>Centro de Investigação em Saúde Pública</w:t>
      </w:r>
      <w:r w:rsidR="009149CE">
        <w:rPr>
          <w:lang w:val="pt-PT"/>
        </w:rPr>
        <w:t>,</w:t>
      </w:r>
      <w:r w:rsidR="008C62E5" w:rsidRPr="008C62E5">
        <w:rPr>
          <w:lang w:val="pt-PT"/>
        </w:rPr>
        <w:t xml:space="preserve"> Escola Nacional de Saúde Pública</w:t>
      </w:r>
      <w:r w:rsidR="009149CE">
        <w:rPr>
          <w:lang w:val="pt-PT"/>
        </w:rPr>
        <w:t>,</w:t>
      </w:r>
      <w:r w:rsidR="008C62E5" w:rsidRPr="008C62E5">
        <w:rPr>
          <w:lang w:val="pt-PT"/>
        </w:rPr>
        <w:t xml:space="preserve"> Universidade NOVA de Lisboa</w:t>
      </w:r>
      <w:r w:rsidR="009149CE">
        <w:rPr>
          <w:lang w:val="pt-PT"/>
        </w:rPr>
        <w:t>,</w:t>
      </w:r>
      <w:r w:rsidR="008C62E5" w:rsidRPr="008C62E5">
        <w:rPr>
          <w:lang w:val="pt-PT"/>
        </w:rPr>
        <w:t xml:space="preserve"> Lisboa</w:t>
      </w:r>
      <w:r w:rsidR="009149CE">
        <w:rPr>
          <w:lang w:val="pt-PT"/>
        </w:rPr>
        <w:t>,</w:t>
      </w:r>
      <w:r w:rsidR="008C62E5" w:rsidRPr="008C62E5">
        <w:rPr>
          <w:lang w:val="pt-PT"/>
        </w:rPr>
        <w:t xml:space="preserve"> Portugal</w:t>
      </w:r>
    </w:p>
    <w:bookmarkEnd w:id="1"/>
    <w:p w14:paraId="354E0566" w14:textId="6600A3F7" w:rsidR="008006F9" w:rsidRDefault="008006F9">
      <w:pPr>
        <w:rPr>
          <w:lang w:val="pt-PT"/>
        </w:rPr>
      </w:pPr>
      <w:r>
        <w:rPr>
          <w:lang w:val="pt-PT"/>
        </w:rPr>
        <w:t>Ricardo Mexia</w:t>
      </w:r>
      <w:r w:rsidR="008C62E5">
        <w:rPr>
          <w:lang w:val="pt-PT"/>
        </w:rPr>
        <w:t xml:space="preserve"> – Departamento de Epidemiologia – Instituto Nacional de Saúde D</w:t>
      </w:r>
      <w:r w:rsidR="00D87FB8">
        <w:rPr>
          <w:lang w:val="pt-PT"/>
        </w:rPr>
        <w:t>outor</w:t>
      </w:r>
      <w:bookmarkStart w:id="2" w:name="_GoBack"/>
      <w:bookmarkEnd w:id="2"/>
      <w:r w:rsidR="008C62E5">
        <w:rPr>
          <w:lang w:val="pt-PT"/>
        </w:rPr>
        <w:t xml:space="preserve"> Ricardo Jorge</w:t>
      </w:r>
    </w:p>
    <w:p w14:paraId="7FF6B3D7" w14:textId="187F0748" w:rsidR="008006F9" w:rsidRDefault="009C4AE2">
      <w:pPr>
        <w:rPr>
          <w:lang w:val="pt-PT"/>
        </w:rPr>
      </w:pPr>
      <w:r>
        <w:rPr>
          <w:lang w:val="pt-PT"/>
        </w:rPr>
        <w:t>Nina de Sousa Santos</w:t>
      </w:r>
      <w:r w:rsidR="00D068B9">
        <w:rPr>
          <w:lang w:val="pt-PT"/>
        </w:rPr>
        <w:t xml:space="preserve">, </w:t>
      </w:r>
      <w:r w:rsidR="00D6191F">
        <w:rPr>
          <w:lang w:val="pt-PT"/>
        </w:rPr>
        <w:t>Doutorand</w:t>
      </w:r>
      <w:r w:rsidR="00316416">
        <w:rPr>
          <w:lang w:val="pt-PT"/>
        </w:rPr>
        <w:t>a</w:t>
      </w:r>
      <w:r w:rsidR="00D068B9">
        <w:rPr>
          <w:lang w:val="pt-PT"/>
        </w:rPr>
        <w:t xml:space="preserve"> Instituto de Bioética da Universidade Católica Portuguesa</w:t>
      </w:r>
    </w:p>
    <w:p w14:paraId="31890F5D" w14:textId="37AEBB25" w:rsidR="009C4AE2" w:rsidRPr="008C62E5" w:rsidRDefault="009C4AE2">
      <w:pPr>
        <w:rPr>
          <w:lang w:val="pt-PT"/>
        </w:rPr>
      </w:pPr>
      <w:r>
        <w:rPr>
          <w:lang w:val="pt-PT"/>
        </w:rPr>
        <w:t>Carlos Carvalho</w:t>
      </w:r>
      <w:r w:rsidR="008C62E5">
        <w:rPr>
          <w:lang w:val="pt-PT"/>
        </w:rPr>
        <w:t xml:space="preserve"> </w:t>
      </w:r>
      <w:r w:rsidR="008C62E5" w:rsidRPr="009E6313">
        <w:rPr>
          <w:lang w:val="pt-PT"/>
        </w:rPr>
        <w:t>Administração Regional de Saúde do Norte, I.P., Departamento de Saúde Pública, Porto </w:t>
      </w:r>
      <w:r w:rsidR="008C62E5">
        <w:rPr>
          <w:lang w:val="pt-PT"/>
        </w:rPr>
        <w:t xml:space="preserve">; </w:t>
      </w:r>
      <w:r w:rsidR="008C62E5" w:rsidRPr="008C62E5">
        <w:rPr>
          <w:lang w:val="pt-PT"/>
        </w:rPr>
        <w:t>Instituto de Ciências Biomédicas Abel Salazar - Universidade do Porto, Unidade Multidisciplinar de Investigação Biomédica (UMIB), Porto</w:t>
      </w:r>
    </w:p>
    <w:p w14:paraId="0DE96FB3" w14:textId="56517CF2" w:rsidR="009C4AE2" w:rsidRDefault="009C4AE2">
      <w:pPr>
        <w:rPr>
          <w:lang w:val="pt-PT"/>
        </w:rPr>
      </w:pPr>
      <w:r>
        <w:rPr>
          <w:lang w:val="pt-PT"/>
        </w:rPr>
        <w:t>Alexandre Abrantes</w:t>
      </w:r>
      <w:r w:rsidR="008C62E5">
        <w:rPr>
          <w:lang w:val="pt-PT"/>
        </w:rPr>
        <w:t xml:space="preserve"> </w:t>
      </w:r>
      <w:r w:rsidR="009149CE" w:rsidRPr="009149CE">
        <w:rPr>
          <w:lang w:val="pt-PT"/>
        </w:rPr>
        <w:t>Centro de Investigação em Saúde Pública, Escola Nacional de Saúde Pública, Universidade NOVA de Lisboa, Lisboa, Portugal</w:t>
      </w:r>
    </w:p>
    <w:p w14:paraId="41A21E02" w14:textId="42FE0DEA" w:rsidR="00440DDC" w:rsidRDefault="00440DDC" w:rsidP="00440DDC">
      <w:pPr>
        <w:rPr>
          <w:lang w:val="pt-PT"/>
        </w:rPr>
      </w:pPr>
    </w:p>
    <w:p w14:paraId="7F256D8C" w14:textId="77777777" w:rsidR="00440DDC" w:rsidRDefault="00440DDC" w:rsidP="00440DDC">
      <w:pPr>
        <w:jc w:val="center"/>
        <w:rPr>
          <w:lang w:val="pt-PT"/>
        </w:rPr>
      </w:pPr>
    </w:p>
    <w:p w14:paraId="5302D99F" w14:textId="75F9F54E" w:rsidR="00416506" w:rsidRDefault="00416506">
      <w:pPr>
        <w:rPr>
          <w:lang w:val="pt-PT"/>
        </w:rPr>
      </w:pPr>
      <w:r>
        <w:rPr>
          <w:lang w:val="pt-PT"/>
        </w:rPr>
        <w:br w:type="page"/>
      </w:r>
    </w:p>
    <w:p w14:paraId="1144B2BE" w14:textId="77777777" w:rsidR="00440DDC" w:rsidRDefault="00440DDC" w:rsidP="00440DDC">
      <w:pPr>
        <w:jc w:val="center"/>
        <w:rPr>
          <w:lang w:val="pt-PT"/>
        </w:rPr>
      </w:pPr>
    </w:p>
    <w:p w14:paraId="50B99443" w14:textId="77777777" w:rsidR="0055109B" w:rsidRDefault="0055109B" w:rsidP="0012174A">
      <w:pPr>
        <w:rPr>
          <w:lang w:val="pt-PT"/>
        </w:rPr>
      </w:pPr>
    </w:p>
    <w:p w14:paraId="2791ACA7" w14:textId="013ECD19" w:rsidR="00EB6A70" w:rsidRDefault="008006F9" w:rsidP="00EB6A70">
      <w:pPr>
        <w:rPr>
          <w:lang w:val="pt-PT"/>
        </w:rPr>
      </w:pPr>
      <w:r>
        <w:rPr>
          <w:lang w:val="pt-PT"/>
        </w:rPr>
        <w:t>Na sequência d</w:t>
      </w:r>
      <w:r w:rsidR="00D35290">
        <w:rPr>
          <w:lang w:val="pt-PT"/>
        </w:rPr>
        <w:t>a</w:t>
      </w:r>
      <w:r>
        <w:rPr>
          <w:lang w:val="pt-PT"/>
        </w:rPr>
        <w:t xml:space="preserve"> </w:t>
      </w:r>
      <w:r w:rsidR="00D35290">
        <w:rPr>
          <w:lang w:val="pt-PT"/>
        </w:rPr>
        <w:t>epidemia</w:t>
      </w:r>
      <w:r>
        <w:rPr>
          <w:lang w:val="pt-PT"/>
        </w:rPr>
        <w:t xml:space="preserve"> de</w:t>
      </w:r>
      <w:r w:rsidR="00D35290">
        <w:rPr>
          <w:lang w:val="pt-PT"/>
        </w:rPr>
        <w:t xml:space="preserve"> um novo</w:t>
      </w:r>
      <w:r>
        <w:rPr>
          <w:lang w:val="pt-PT"/>
        </w:rPr>
        <w:t xml:space="preserve"> coronavírus 2019-nCoV </w:t>
      </w:r>
      <w:r w:rsidR="00D35290">
        <w:rPr>
          <w:lang w:val="pt-PT"/>
        </w:rPr>
        <w:t>foi reaberta</w:t>
      </w:r>
      <w:r>
        <w:rPr>
          <w:lang w:val="pt-PT"/>
        </w:rPr>
        <w:t xml:space="preserve"> </w:t>
      </w:r>
      <w:r w:rsidR="00D35290">
        <w:rPr>
          <w:lang w:val="pt-PT"/>
        </w:rPr>
        <w:t>a discussão</w:t>
      </w:r>
      <w:r>
        <w:rPr>
          <w:lang w:val="pt-PT"/>
        </w:rPr>
        <w:t xml:space="preserve"> sobre a possibilidade </w:t>
      </w:r>
      <w:r w:rsidR="00EB6A70">
        <w:rPr>
          <w:lang w:val="pt-PT"/>
        </w:rPr>
        <w:t>d</w:t>
      </w:r>
      <w:r>
        <w:rPr>
          <w:lang w:val="pt-PT"/>
        </w:rPr>
        <w:t>o ordenamento jurídico português</w:t>
      </w:r>
      <w:r w:rsidR="00EB6A70">
        <w:rPr>
          <w:lang w:val="pt-PT"/>
        </w:rPr>
        <w:t xml:space="preserve"> </w:t>
      </w:r>
      <w:r>
        <w:rPr>
          <w:lang w:val="pt-PT"/>
        </w:rPr>
        <w:t>permitir</w:t>
      </w:r>
      <w:r w:rsidR="00EB6A70">
        <w:rPr>
          <w:lang w:val="pt-PT"/>
        </w:rPr>
        <w:t xml:space="preserve"> medidas de restrição da liberdade para proteger outro bem </w:t>
      </w:r>
      <w:r w:rsidR="00776EF3">
        <w:rPr>
          <w:lang w:val="pt-PT"/>
        </w:rPr>
        <w:t>constitucional</w:t>
      </w:r>
      <w:r w:rsidR="009973F6">
        <w:rPr>
          <w:lang w:val="pt-PT"/>
        </w:rPr>
        <w:t>mente protegido</w:t>
      </w:r>
      <w:r w:rsidR="00776EF3">
        <w:rPr>
          <w:lang w:val="pt-PT"/>
        </w:rPr>
        <w:t>:</w:t>
      </w:r>
      <w:r w:rsidR="00EB6A70">
        <w:rPr>
          <w:lang w:val="pt-PT"/>
        </w:rPr>
        <w:t xml:space="preserve"> a saúde.</w:t>
      </w:r>
      <w:r w:rsidR="00D01595">
        <w:rPr>
          <w:lang w:val="pt-PT"/>
        </w:rPr>
        <w:t xml:space="preserve"> </w:t>
      </w:r>
    </w:p>
    <w:p w14:paraId="5A703BF3" w14:textId="6643A879" w:rsidR="008006F9" w:rsidRPr="00644DE1" w:rsidRDefault="008006F9" w:rsidP="008006F9">
      <w:pPr>
        <w:rPr>
          <w:lang w:val="pt-PT"/>
        </w:rPr>
      </w:pPr>
      <w:r>
        <w:rPr>
          <w:lang w:val="pt-PT"/>
        </w:rPr>
        <w:t>O</w:t>
      </w:r>
      <w:r w:rsidRPr="00644DE1">
        <w:rPr>
          <w:lang w:val="pt-PT"/>
        </w:rPr>
        <w:t xml:space="preserve"> art</w:t>
      </w:r>
      <w:r>
        <w:rPr>
          <w:lang w:val="pt-PT"/>
        </w:rPr>
        <w:t>igo</w:t>
      </w:r>
      <w:r w:rsidRPr="00644DE1">
        <w:rPr>
          <w:lang w:val="pt-PT"/>
        </w:rPr>
        <w:t xml:space="preserve"> 5º, da Convenção Europeia dos Direitos do Homem</w:t>
      </w:r>
      <w:r w:rsidR="00AB6920"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{"citationItems":[{"id":"ITEM-1","itemData":{"URL":"https://www.echr.coe.int/Pages/home.aspx?p=basictexts&amp;c=","accessed":{"date-parts":[["2020","2","9"]]},"author":[{"dropping-particle":"","family":"European Court of Human Rights ; Council of Europe","given":"","non-dropping-particle":"","parse-names":false,"suffix":""}],"id":"ITEM-1","issued":{"date-parts":[["1950"]]},"title":"European Convention on Human Rights - Official texts, Convention and Protocols","type":"webpage"},"uris":["http://www.mendeley.com/documents/?uuid=623a9dd3-c865-3021-a258-3aee98d61888"]}],"mendeley":{"formattedCitation":"&lt;sup&gt;1&lt;/sup&gt;","plainTextFormattedCitation":"1","previouslyFormattedCitation":"&lt;sup&gt;1&lt;/sup&gt;"},"properties":{"noteIndex":0},"schema":"https://github.com/citation-style-language/schema/raw/master/csl-citation.json"}</w:instrText>
      </w:r>
      <w:r w:rsidR="00AB6920"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1</w:t>
      </w:r>
      <w:r w:rsidR="00AB6920">
        <w:rPr>
          <w:lang w:val="pt-PT"/>
        </w:rPr>
        <w:fldChar w:fldCharType="end"/>
      </w:r>
      <w:r w:rsidRPr="00644DE1">
        <w:rPr>
          <w:lang w:val="pt-PT"/>
        </w:rPr>
        <w:t>, que consagra o direito à liberdade, prevê, na al</w:t>
      </w:r>
      <w:r>
        <w:rPr>
          <w:lang w:val="pt-PT"/>
        </w:rPr>
        <w:t xml:space="preserve">ínea </w:t>
      </w:r>
      <w:r w:rsidRPr="00644DE1">
        <w:rPr>
          <w:lang w:val="pt-PT"/>
        </w:rPr>
        <w:t>e), do n.º1, a possibilidade de “detenção legal de uma pessoa suscetível de propagar uma doença contagiosa (...)”.</w:t>
      </w:r>
    </w:p>
    <w:p w14:paraId="07C6FC87" w14:textId="71439780" w:rsidR="00B556CF" w:rsidRDefault="0085120F" w:rsidP="00EB6A70">
      <w:pPr>
        <w:rPr>
          <w:lang w:val="pt-PT"/>
        </w:rPr>
      </w:pPr>
      <w:r>
        <w:rPr>
          <w:lang w:val="pt-PT"/>
        </w:rPr>
        <w:t>Na lei fundamental</w:t>
      </w:r>
      <w:r w:rsidR="008006F9">
        <w:rPr>
          <w:lang w:val="pt-PT"/>
        </w:rPr>
        <w:t xml:space="preserve"> nacional</w:t>
      </w:r>
      <w:r>
        <w:rPr>
          <w:lang w:val="pt-PT"/>
        </w:rPr>
        <w:t>, o</w:t>
      </w:r>
      <w:r w:rsidR="00EB6A70" w:rsidRPr="00EB6A70">
        <w:rPr>
          <w:lang w:val="pt-PT"/>
        </w:rPr>
        <w:t xml:space="preserve"> Artigo 27º da Constituiçã</w:t>
      </w:r>
      <w:r w:rsidR="008006F9">
        <w:rPr>
          <w:lang w:val="pt-PT"/>
        </w:rPr>
        <w:t>o da República Portuguesa</w:t>
      </w:r>
      <w:r w:rsidR="00FE59BF">
        <w:rPr>
          <w:lang w:val="pt-PT"/>
        </w:rPr>
        <w:t>(</w:t>
      </w:r>
      <w:r w:rsidR="007C3E7F">
        <w:rPr>
          <w:lang w:val="pt-PT"/>
        </w:rPr>
        <w:t>CRP</w:t>
      </w:r>
      <w:r w:rsidR="00FE59BF">
        <w:rPr>
          <w:lang w:val="pt-PT"/>
        </w:rPr>
        <w:t>)</w:t>
      </w:r>
      <w:r w:rsidR="007F5494"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{"citationItems":[{"id":"ITEM-1","itemData":{"id":"ITEM-1","issued":{"date-parts":[["0"]]},"title":"ASSEMBLEIA CONSTITUINTE (1976), Constituição da República Portuguesa – V Revisão Constitucional. Versão online no site: http://www.parlamento.pt/const_leg/crp_port/index.html.","type":"article-journal"},"uris":["http://www.mendeley.com/documents/?uuid=fbd4d2dd-7ab5-3290-bcb7-22a9c302ddf6"]}],"mendeley":{"formattedCitation":"&lt;sup&gt;2&lt;/sup&gt;","plainTextFormattedCitation":"2","previouslyFormattedCitation":"&lt;sup&gt;2&lt;/sup&gt;"},"properties":{"noteIndex":0},"schema":"https://github.com/citation-style-language/schema/raw/master/csl-citation.json"}</w:instrText>
      </w:r>
      <w:r w:rsidR="007F5494"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2</w:t>
      </w:r>
      <w:r w:rsidR="007F5494">
        <w:rPr>
          <w:lang w:val="pt-PT"/>
        </w:rPr>
        <w:fldChar w:fldCharType="end"/>
      </w:r>
      <w:r w:rsidR="00EB6A70" w:rsidRPr="00EB6A70">
        <w:rPr>
          <w:lang w:val="pt-PT"/>
        </w:rPr>
        <w:t xml:space="preserve"> </w:t>
      </w:r>
      <w:r w:rsidR="00EC4262">
        <w:rPr>
          <w:lang w:val="pt-PT"/>
        </w:rPr>
        <w:t>–</w:t>
      </w:r>
      <w:r w:rsidR="00EB6A70" w:rsidRPr="00EB6A70">
        <w:rPr>
          <w:lang w:val="pt-PT"/>
        </w:rPr>
        <w:t xml:space="preserve"> </w:t>
      </w:r>
      <w:r w:rsidR="00EC4262">
        <w:rPr>
          <w:lang w:val="pt-PT"/>
        </w:rPr>
        <w:t>“</w:t>
      </w:r>
      <w:r w:rsidR="00EB6A70" w:rsidRPr="00EB6A70">
        <w:rPr>
          <w:lang w:val="pt-PT"/>
        </w:rPr>
        <w:t>Direito à liberdade  e segurança</w:t>
      </w:r>
      <w:r w:rsidR="00EC4262">
        <w:rPr>
          <w:lang w:val="pt-PT"/>
        </w:rPr>
        <w:t>”</w:t>
      </w:r>
      <w:r w:rsidR="00EB6A70" w:rsidRPr="00EB6A70">
        <w:rPr>
          <w:lang w:val="pt-PT"/>
        </w:rPr>
        <w:t xml:space="preserve"> </w:t>
      </w:r>
      <w:r w:rsidR="00FE59BF">
        <w:rPr>
          <w:lang w:val="pt-PT"/>
        </w:rPr>
        <w:t>prevê</w:t>
      </w:r>
      <w:r w:rsidR="00EB6A70" w:rsidRPr="00EB6A70">
        <w:rPr>
          <w:lang w:val="pt-PT"/>
        </w:rPr>
        <w:t xml:space="preserve"> que “Ninguém pode ser total ou parcialmente  privado da sua liberdade, a não ser em  consequência de sentença judicial condenatória  </w:t>
      </w:r>
      <w:r w:rsidR="00776EF3">
        <w:rPr>
          <w:lang w:val="pt-PT"/>
        </w:rPr>
        <w:t xml:space="preserve">(…) </w:t>
      </w:r>
      <w:r w:rsidR="00EB6A70" w:rsidRPr="00EB6A70">
        <w:rPr>
          <w:lang w:val="pt-PT"/>
        </w:rPr>
        <w:t>ou de aplicação judicial de medida de segurança”</w:t>
      </w:r>
      <w:r w:rsidR="008006F9">
        <w:rPr>
          <w:lang w:val="pt-PT"/>
        </w:rPr>
        <w:t>.</w:t>
      </w:r>
      <w:r w:rsidR="00EB6A70" w:rsidRPr="00EB6A70">
        <w:rPr>
          <w:lang w:val="pt-PT"/>
        </w:rPr>
        <w:t xml:space="preserve"> </w:t>
      </w:r>
      <w:r w:rsidR="00EB6A70">
        <w:rPr>
          <w:lang w:val="pt-PT"/>
        </w:rPr>
        <w:t>E</w:t>
      </w:r>
      <w:r w:rsidR="00EB6A70" w:rsidRPr="00EB6A70">
        <w:rPr>
          <w:lang w:val="pt-PT"/>
        </w:rPr>
        <w:t xml:space="preserve">stas medidas de segurança </w:t>
      </w:r>
      <w:r>
        <w:rPr>
          <w:lang w:val="pt-PT"/>
        </w:rPr>
        <w:t>podem</w:t>
      </w:r>
      <w:r w:rsidR="00FE59BF">
        <w:rPr>
          <w:lang w:val="pt-PT"/>
        </w:rPr>
        <w:t>, incluir,</w:t>
      </w:r>
      <w:r w:rsidR="00114BA1">
        <w:rPr>
          <w:lang w:val="pt-PT"/>
        </w:rPr>
        <w:t xml:space="preserve"> </w:t>
      </w:r>
      <w:r w:rsidR="00FE59BF">
        <w:rPr>
          <w:lang w:val="pt-PT"/>
        </w:rPr>
        <w:t>mediante</w:t>
      </w:r>
      <w:r w:rsidR="00114BA1">
        <w:rPr>
          <w:lang w:val="pt-PT"/>
        </w:rPr>
        <w:t xml:space="preserve"> </w:t>
      </w:r>
      <w:r w:rsidR="00EB6A70" w:rsidRPr="00EB6A70">
        <w:rPr>
          <w:lang w:val="pt-PT"/>
        </w:rPr>
        <w:t>decisão judicial</w:t>
      </w:r>
      <w:r w:rsidR="00846DBB">
        <w:rPr>
          <w:lang w:val="pt-PT"/>
        </w:rPr>
        <w:t>,</w:t>
      </w:r>
      <w:r w:rsidR="00EB6A70" w:rsidRPr="00EB6A70">
        <w:rPr>
          <w:lang w:val="pt-PT"/>
        </w:rPr>
        <w:t xml:space="preserve"> a privação da liberdade em situações de perigo para a saúde pública</w:t>
      </w:r>
      <w:r w:rsidR="00EB6A70">
        <w:rPr>
          <w:lang w:val="pt-PT"/>
        </w:rPr>
        <w:t xml:space="preserve">. </w:t>
      </w:r>
      <w:r w:rsidR="00FE59BF">
        <w:rPr>
          <w:lang w:val="pt-PT"/>
        </w:rPr>
        <w:t>Neste sentido, pronunciaram-se dois Acórdãos do Tribunal da Relação do Porto proferidos no âmbito de casos de recusa de tratamento em doentes com diagnóstico de tuberculose</w:t>
      </w:r>
      <w:r w:rsidR="00EB6A70">
        <w:rPr>
          <w:lang w:val="pt-PT"/>
        </w:rPr>
        <w:t>.</w:t>
      </w:r>
      <w:r w:rsidR="007F5494">
        <w:rPr>
          <w:lang w:val="pt-PT"/>
        </w:rPr>
        <w:t xml:space="preserve"> </w:t>
      </w:r>
      <w:r w:rsidR="007F5494"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{"citationItems":[{"id":"ITEM-1","itemData":{"URL":"http://www.dgsi.pt/jtrp.nsf/c3fb530030ea1c61802568d9005cd5bb/c4c0347dfa5f1a2f80257103003c591b","accessed":{"date-parts":[["2019","2","18"]]},"author":[{"dropping-particle":"","family":"Tribunal Relação Porto","given":"","non-dropping-particle":"","parse-names":false,"suffix":""},{"dropping-particle":"","family":"São Pedro","given":"E et.al","non-dropping-particle":"","parse-names":false,"suffix":""}],"id":"ITEM-1","issued":{"date-parts":[["2005"]]},"title":"Acórdão do Tribunal da Relação do Porto - É legal o internamento compulsivo de quem, padecendo de tuberculose pulmonar, recusa tratar-se e deambula pelas vias públicas, podendo assim afectar outras pessoas.","type":"webpage"},"uris":["http://www.mendeley.com/documents/?uuid=f664c186-c65b-3b21-85c2-c25908d43246"]}],"mendeley":{"formattedCitation":"&lt;sup&gt;3&lt;/sup&gt;","plainTextFormattedCitation":"3","previouslyFormattedCitation":"&lt;sup&gt;3&lt;/sup&gt;"},"properties":{"noteIndex":0},"schema":"https://github.com/citation-style-language/schema/raw/master/csl-citation.json"}</w:instrText>
      </w:r>
      <w:r w:rsidR="007F5494"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3</w:t>
      </w:r>
      <w:r w:rsidR="007F5494">
        <w:rPr>
          <w:lang w:val="pt-PT"/>
        </w:rPr>
        <w:fldChar w:fldCharType="end"/>
      </w:r>
      <w:r w:rsidR="007F5494">
        <w:rPr>
          <w:lang w:val="pt-PT"/>
        </w:rPr>
        <w:t xml:space="preserve"> </w:t>
      </w:r>
      <w:r w:rsidR="007F5494"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{"citationItems":[{"id":"ITEM-1","itemData":{"author":[{"dropping-particle":"","family":"Tribunal da Relação do Porto","given":"","non-dropping-particle":"","parse-names":false,"suffix":""},{"dropping-particle":"al","family":"Marques Salgueiro","given":"José Henriques et","non-dropping-particle":"","parse-names":false,"suffix":""}],"id":"ITEM-1","issued":{"date-parts":[["2002"]]},"title":"Acórdão do Tribunal da Relação do Porto Impõe-se o internamento compulsivo, da competência do juiz e não da autoridade administrativa, do doente que sofre de tuberculose pulmonar e se recusa a tratar-se","type":"legal_case"},"uris":["http://www.mendeley.com/documents/?uuid=336c7a3e-31e9-3a2c-a20e-7c4563b0274b"]}],"mendeley":{"formattedCitation":"&lt;sup&gt;4&lt;/sup&gt;","plainTextFormattedCitation":"4","previouslyFormattedCitation":"&lt;sup&gt;4&lt;/sup&gt;"},"properties":{"noteIndex":0},"schema":"https://github.com/citation-style-language/schema/raw/master/csl-citation.json"}</w:instrText>
      </w:r>
      <w:r w:rsidR="007F5494"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4</w:t>
      </w:r>
      <w:r w:rsidR="007F5494">
        <w:rPr>
          <w:lang w:val="pt-PT"/>
        </w:rPr>
        <w:fldChar w:fldCharType="end"/>
      </w:r>
      <w:r w:rsidR="00FE59BF">
        <w:rPr>
          <w:lang w:val="pt-PT"/>
        </w:rPr>
        <w:t xml:space="preserve"> </w:t>
      </w:r>
      <w:r w:rsidR="00BC65EF">
        <w:rPr>
          <w:lang w:val="pt-PT"/>
        </w:rPr>
        <w:t>A</w:t>
      </w:r>
      <w:r w:rsidR="00FE59BF" w:rsidRPr="00FE59BF">
        <w:rPr>
          <w:lang w:val="pt-PT"/>
        </w:rPr>
        <w:t xml:space="preserve"> privação da liberdade por internamento compulsivo nos termos em que se encontra regulada na Lei de Saúde Mental, também não dispensa a decisão judicial.</w:t>
      </w:r>
    </w:p>
    <w:p w14:paraId="4704CC75" w14:textId="089B92F1" w:rsidR="00826711" w:rsidRPr="005010A6" w:rsidRDefault="00FE59BF" w:rsidP="00EB6A70">
      <w:pPr>
        <w:rPr>
          <w:lang w:val="pt-PT"/>
        </w:rPr>
      </w:pPr>
      <w:r>
        <w:rPr>
          <w:lang w:val="pt-PT"/>
        </w:rPr>
        <w:t>O rol de direitos, liberdades e garantias constitucionais inclui também o direito à saúde previsto no a</w:t>
      </w:r>
      <w:r w:rsidRPr="00591D21">
        <w:rPr>
          <w:lang w:val="pt-PT"/>
        </w:rPr>
        <w:t xml:space="preserve">rtigo 64.º </w:t>
      </w:r>
      <w:r>
        <w:rPr>
          <w:lang w:val="pt-PT"/>
        </w:rPr>
        <w:t>da CRP</w:t>
      </w:r>
      <w:r w:rsidR="00316416"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{"citationItems":[{"id":"ITEM-1","itemData":{"id":"ITEM-1","issued":{"date-parts":[["0"]]},"title":"ASSEMBLEIA CONSTITUINTE (1976), Constituição da República Portuguesa – V Revisão Constitucional. Versão online no site: http://www.parlamento.pt/const_leg/crp_port/index.html.","type":"article-journal"},"uris":["http://www.mendeley.com/documents/?uuid=fbd4d2dd-7ab5-3290-bcb7-22a9c302ddf6"]}],"mendeley":{"formattedCitation":"&lt;sup&gt;2&lt;/sup&gt;","plainTextFormattedCitation":"2","previouslyFormattedCitation":"&lt;sup&gt;2&lt;/sup&gt;"},"properties":{"noteIndex":0},"schema":"https://github.com/citation-style-language/schema/raw/master/csl-citation.json"}</w:instrText>
      </w:r>
      <w:r w:rsidR="00316416"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2</w:t>
      </w:r>
      <w:r w:rsidR="00316416">
        <w:rPr>
          <w:lang w:val="pt-PT"/>
        </w:rPr>
        <w:fldChar w:fldCharType="end"/>
      </w:r>
      <w:r>
        <w:rPr>
          <w:lang w:val="pt-PT"/>
        </w:rPr>
        <w:t xml:space="preserve"> nos seguintes termos: </w:t>
      </w:r>
      <w:r w:rsidRPr="00826711">
        <w:rPr>
          <w:lang w:val="pt-PT"/>
        </w:rPr>
        <w:t>“Para assegurar o direito à proteção da saúde, incumbe prioritariamente ao Estado</w:t>
      </w:r>
      <w:r w:rsidR="005B531C">
        <w:rPr>
          <w:lang w:val="pt-PT"/>
        </w:rPr>
        <w:t xml:space="preserve"> </w:t>
      </w:r>
      <w:r>
        <w:rPr>
          <w:lang w:val="pt-PT"/>
        </w:rPr>
        <w:t>g</w:t>
      </w:r>
      <w:r w:rsidRPr="00826711">
        <w:rPr>
          <w:lang w:val="pt-PT"/>
        </w:rPr>
        <w:t xml:space="preserve">arantir o acesso de todos os cidadãos, </w:t>
      </w:r>
      <w:r>
        <w:rPr>
          <w:lang w:val="pt-PT"/>
        </w:rPr>
        <w:t xml:space="preserve">(…) </w:t>
      </w:r>
      <w:r w:rsidRPr="00826711">
        <w:rPr>
          <w:lang w:val="pt-PT"/>
        </w:rPr>
        <w:t>aos cuidados da medicina preventiva, curativa e de reabilitação.”</w:t>
      </w:r>
      <w:r w:rsidRPr="00FE59BF">
        <w:rPr>
          <w:lang w:val="pt-PT"/>
        </w:rPr>
        <w:t xml:space="preserve"> </w:t>
      </w:r>
    </w:p>
    <w:p w14:paraId="5E41D03A" w14:textId="4DFC2754" w:rsidR="00A20DAB" w:rsidRPr="00EB6A70" w:rsidRDefault="00BC65EF" w:rsidP="00A20DAB">
      <w:pPr>
        <w:rPr>
          <w:lang w:val="pt-PT"/>
        </w:rPr>
      </w:pPr>
      <w:r>
        <w:rPr>
          <w:lang w:val="pt-PT"/>
        </w:rPr>
        <w:t>E</w:t>
      </w:r>
      <w:r w:rsidR="00A20DAB">
        <w:rPr>
          <w:lang w:val="pt-PT"/>
        </w:rPr>
        <w:t>m sede de direito penal, cumpre assinalar o artigo 283.º do Código Penal</w:t>
      </w:r>
      <w:r w:rsidR="00A20DAB"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{"citationItems":[{"id":"ITEM-1","itemData":{"URL":"https://dre.pt/web/guest/legislacao-consolidada/-/lc/107981223/201708230200/indice","accessed":{"date-parts":[["2020","2","4"]]},"id":"ITEM-1","issued":{"date-parts":[["0"]]},"title":"Código Penal - Decreto-Lei n.º 48/95,  Diário da República n.º 63/1995, Série I-A de 1995-03-15  ","type":"webpage"},"uris":["http://www.mendeley.com/documents/?uuid=43390604-eb61-3f59-8c5d-aae95046b8d1"]}],"mendeley":{"formattedCitation":"&lt;sup&gt;5&lt;/sup&gt;","plainTextFormattedCitation":"5","previouslyFormattedCitation":"&lt;sup&gt;5&lt;/sup&gt;"},"properties":{"noteIndex":0},"schema":"https://github.com/citation-style-language/schema/raw/master/csl-citation.json"}</w:instrText>
      </w:r>
      <w:r w:rsidR="00A20DAB"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5</w:t>
      </w:r>
      <w:r w:rsidR="00A20DAB">
        <w:rPr>
          <w:lang w:val="pt-PT"/>
        </w:rPr>
        <w:fldChar w:fldCharType="end"/>
      </w:r>
      <w:r w:rsidR="00A20DAB">
        <w:rPr>
          <w:lang w:val="pt-PT"/>
        </w:rPr>
        <w:t xml:space="preserve"> que prevê</w:t>
      </w:r>
      <w:r w:rsidR="00A20DAB" w:rsidRPr="00EB6A70">
        <w:rPr>
          <w:lang w:val="pt-PT"/>
        </w:rPr>
        <w:t xml:space="preserve"> o </w:t>
      </w:r>
      <w:r w:rsidR="00A20DAB">
        <w:rPr>
          <w:lang w:val="pt-PT"/>
        </w:rPr>
        <w:t>c</w:t>
      </w:r>
      <w:r w:rsidR="00A20DAB" w:rsidRPr="00EB6A70">
        <w:rPr>
          <w:lang w:val="pt-PT"/>
        </w:rPr>
        <w:t>rime de propagação de doença contagiosa</w:t>
      </w:r>
      <w:r w:rsidR="00A20DAB">
        <w:rPr>
          <w:lang w:val="pt-PT"/>
        </w:rPr>
        <w:t xml:space="preserve"> estabelecendo a</w:t>
      </w:r>
      <w:r>
        <w:rPr>
          <w:lang w:val="pt-PT"/>
        </w:rPr>
        <w:t xml:space="preserve"> pena</w:t>
      </w:r>
      <w:r w:rsidR="00A20DAB">
        <w:rPr>
          <w:lang w:val="pt-PT"/>
        </w:rPr>
        <w:t xml:space="preserve"> de um a oito anos de prisão para quem </w:t>
      </w:r>
      <w:r w:rsidR="00A20DAB" w:rsidRPr="00EB6A70">
        <w:rPr>
          <w:lang w:val="pt-PT"/>
        </w:rPr>
        <w:t>propagar doença contagiosa e criar</w:t>
      </w:r>
      <w:r w:rsidR="00DE4F98">
        <w:rPr>
          <w:lang w:val="pt-PT"/>
        </w:rPr>
        <w:t>,</w:t>
      </w:r>
      <w:r w:rsidR="00A20DAB" w:rsidRPr="00EB6A70">
        <w:rPr>
          <w:lang w:val="pt-PT"/>
        </w:rPr>
        <w:t xml:space="preserve"> deste modo</w:t>
      </w:r>
      <w:r w:rsidR="00DE4F98">
        <w:rPr>
          <w:lang w:val="pt-PT"/>
        </w:rPr>
        <w:t>,</w:t>
      </w:r>
      <w:r w:rsidR="00A20DAB" w:rsidRPr="00EB6A70">
        <w:rPr>
          <w:lang w:val="pt-PT"/>
        </w:rPr>
        <w:t xml:space="preserve"> perigo para a vida</w:t>
      </w:r>
      <w:r w:rsidR="00DE4F98">
        <w:rPr>
          <w:lang w:val="pt-PT"/>
        </w:rPr>
        <w:t>,</w:t>
      </w:r>
      <w:r w:rsidR="00A20DAB" w:rsidRPr="00EB6A70">
        <w:rPr>
          <w:lang w:val="pt-PT"/>
        </w:rPr>
        <w:t xml:space="preserve"> ou perigo grave para a integridade física de outrem</w:t>
      </w:r>
      <w:r w:rsidR="00A20DAB">
        <w:rPr>
          <w:lang w:val="pt-PT"/>
        </w:rPr>
        <w:t>.</w:t>
      </w:r>
      <w:r w:rsidR="00A20DAB" w:rsidRPr="00EB6A70">
        <w:rPr>
          <w:lang w:val="pt-PT"/>
        </w:rPr>
        <w:t xml:space="preserve"> </w:t>
      </w:r>
      <w:r w:rsidR="00A20DAB">
        <w:rPr>
          <w:lang w:val="pt-PT"/>
        </w:rPr>
        <w:t xml:space="preserve">No entanto, a aplicação da pena depende de decisão judicial que avalia as circunstâncias agravantes e atenuantes apuradas no âmbito do processo de investigação criminal, não podendo esta lei ser considerada como medida de intervenção de saúde pública, apesar do seu efeito </w:t>
      </w:r>
      <w:r w:rsidR="00AB6920">
        <w:rPr>
          <w:lang w:val="pt-PT"/>
        </w:rPr>
        <w:t xml:space="preserve">desejável efeito </w:t>
      </w:r>
      <w:r w:rsidR="00A20DAB">
        <w:rPr>
          <w:lang w:val="pt-PT"/>
        </w:rPr>
        <w:t>dissuasor</w:t>
      </w:r>
      <w:r>
        <w:rPr>
          <w:lang w:val="pt-PT"/>
        </w:rPr>
        <w:t>.</w:t>
      </w:r>
    </w:p>
    <w:p w14:paraId="1793C399" w14:textId="3806C209" w:rsidR="005B531C" w:rsidRPr="00EB6A70" w:rsidRDefault="005C3150" w:rsidP="005C3150">
      <w:pPr>
        <w:rPr>
          <w:lang w:val="pt-PT"/>
        </w:rPr>
      </w:pPr>
      <w:r w:rsidRPr="00EB6A70">
        <w:rPr>
          <w:lang w:val="pt-PT"/>
        </w:rPr>
        <w:t xml:space="preserve">Em relação </w:t>
      </w:r>
      <w:r>
        <w:rPr>
          <w:lang w:val="pt-PT"/>
        </w:rPr>
        <w:t>à</w:t>
      </w:r>
      <w:r w:rsidRPr="00EB6A70">
        <w:rPr>
          <w:lang w:val="pt-PT"/>
        </w:rPr>
        <w:t xml:space="preserve"> atuação das Autoridades de Saúde</w:t>
      </w:r>
      <w:r w:rsidR="00DE4F98">
        <w:rPr>
          <w:lang w:val="pt-PT"/>
        </w:rPr>
        <w:t xml:space="preserve"> </w:t>
      </w:r>
      <w:r w:rsidR="00BC65EF">
        <w:rPr>
          <w:lang w:val="pt-PT"/>
        </w:rPr>
        <w:t>(AS),</w:t>
      </w:r>
      <w:r w:rsidRPr="00EB6A70">
        <w:rPr>
          <w:lang w:val="pt-PT"/>
        </w:rPr>
        <w:t xml:space="preserve"> em situações de perigo para </w:t>
      </w:r>
      <w:r>
        <w:rPr>
          <w:lang w:val="pt-PT"/>
        </w:rPr>
        <w:t>a saúde de terceiros</w:t>
      </w:r>
      <w:r w:rsidRPr="00EB6A70">
        <w:rPr>
          <w:lang w:val="pt-PT"/>
        </w:rPr>
        <w:t xml:space="preserve"> tanto </w:t>
      </w:r>
      <w:r>
        <w:rPr>
          <w:lang w:val="pt-PT"/>
        </w:rPr>
        <w:t xml:space="preserve">a nova Lei de Bases da Saúde </w:t>
      </w:r>
      <w:r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{"citationItems":[{"id":"ITEM-1","itemData":{"URL":"https://dre.pt/home/-/dre/124417108/details/maximized","accessed":{"date-parts":[["2019","11","14"]]},"author":[{"dropping-particle":"","family":"Assembleia da República Portuguesa","given":"","non-dropping-particle":"","parse-names":false,"suffix":""}],"container-title":"Diário da República n.º 169/2019, Série I de 2019-09-04","id":"ITEM-1","issued":{"date-parts":[["2019"]]},"title":"Lei 95/2019-Aprova a Lei de Bases da Saúde e revoga a Lei n.º 48/90, de 24 de agosto, e o Decreto-Lei n.º 185/2002, de 20 de agosto","type":"webpage"},"uris":["http://www.mendeley.com/documents/?uuid=b823a31f-041b-3633-9a7e-4e2822a2f98e"]}],"mendeley":{"formattedCitation":"&lt;sup&gt;6&lt;/sup&gt;","plainTextFormattedCitation":"6","previouslyFormattedCitation":"&lt;sup&gt;6&lt;/sup&gt;"},"properties":{"noteIndex":0},"schema":"https://github.com/citation-style-language/schema/raw/master/csl-citation.json"}</w:instrText>
      </w:r>
      <w:r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6</w:t>
      </w:r>
      <w:r>
        <w:rPr>
          <w:lang w:val="pt-PT"/>
        </w:rPr>
        <w:fldChar w:fldCharType="end"/>
      </w:r>
      <w:r w:rsidRPr="00EB6A70">
        <w:rPr>
          <w:lang w:val="pt-PT"/>
        </w:rPr>
        <w:t>, como o Decreto-Lei n.º 82/2009</w:t>
      </w:r>
      <w:r>
        <w:rPr>
          <w:lang w:val="pt-PT"/>
        </w:rPr>
        <w:t>,</w:t>
      </w:r>
      <w:r w:rsidRPr="00EB6A70">
        <w:rPr>
          <w:lang w:val="pt-PT"/>
        </w:rPr>
        <w:t xml:space="preserve"> de 2 de </w:t>
      </w:r>
      <w:r>
        <w:rPr>
          <w:lang w:val="pt-PT"/>
        </w:rPr>
        <w:t>a</w:t>
      </w:r>
      <w:r w:rsidRPr="00EB6A70">
        <w:rPr>
          <w:lang w:val="pt-PT"/>
        </w:rPr>
        <w:t>bril</w:t>
      </w:r>
      <w:r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URL":"https://dre.pt/web/guest/pesquisa-avancada/-/asearch/603229/details/normal?types=SERIEI&amp;numero=82%2F2009&amp;tipo=%22Decreto-Lei%22","accessed":{"date-parts":[["2019","2","15"]]},"author":[{"dropping-particle":"","family":"Ministério da Saúde","given":"","non-dropping-particle":"","parse-names":false,"suffix":""}],"id":"ITEM-1","issued":{"date-parts":[["0"]]},"title":"Decreto-Lei 82/2009, 2009-04-02 - DRE - Estabelece o regime jurídico da designação, competência e funcionamento das entidades que exercem o poder de autoridades de saúde","type":"webpage"},"uris":["http://www.mendeley.com/documents/?uuid=56afd9f2-3c6c-37e8-860e-aed02bd9d4dd"]}],"mendeley":{"formattedCitation":"&lt;sup&gt;7&lt;/sup&gt;","plainTextFormattedCitation":"7","previouslyFormattedCitation":"&lt;sup&gt;7&lt;/sup&gt;"},"properties":{"noteIndex":0},"schema":"https://github.com/citation-style-language/schema/raw/master/csl-citation.json"}</w:instrText>
      </w:r>
      <w:r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7</w:t>
      </w:r>
      <w:r>
        <w:rPr>
          <w:lang w:val="pt-PT"/>
        </w:rPr>
        <w:fldChar w:fldCharType="end"/>
      </w:r>
      <w:r w:rsidRPr="00EB6A70">
        <w:rPr>
          <w:lang w:val="pt-PT"/>
        </w:rPr>
        <w:t>, alterado pelo Decreto-Lei nº</w:t>
      </w:r>
      <w:r>
        <w:rPr>
          <w:lang w:val="pt-PT"/>
        </w:rPr>
        <w:t xml:space="preserve"> </w:t>
      </w:r>
      <w:r w:rsidRPr="00EB6A70">
        <w:rPr>
          <w:lang w:val="pt-PT"/>
        </w:rPr>
        <w:t>135/2013</w:t>
      </w:r>
      <w:r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{"citationItems":[{"id":"ITEM-1","itemData":{"URL":"https://dre.pt/pesquisa/-/search/500190/details/maximized","accessed":{"date-parts":[["2019","2","15"]]},"author":[{"dropping-particle":"","family":"Ministério da Saúde","given":"","non-dropping-particle":"","parse-names":false,"suffix":""}],"id":"ITEM-1","issued":{"date-parts":[["0"]]},"title":"Decreto-Lei 135/2013, 2013-10-04 - DRE - Procede à primeira alteração ao Decreto-Lei n.º 82/2009, de 2 de abril, que estabelece as regras de designação, competência e funcionamento das entidades que exercem o poder de autoridade de saúde","type":"webpage"},"uris":["http://www.mendeley.com/documents/?uuid=a5002aa6-6315-3675-86b9-35b197745e27"]}],"mendeley":{"formattedCitation":"&lt;sup&gt;8&lt;/sup&gt;","plainTextFormattedCitation":"8","previouslyFormattedCitation":"&lt;sup&gt;8&lt;/sup&gt;"},"properties":{"noteIndex":0},"schema":"https://github.com/citation-style-language/schema/raw/master/csl-citation.json"}</w:instrText>
      </w:r>
      <w:r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8</w:t>
      </w:r>
      <w:r>
        <w:rPr>
          <w:lang w:val="pt-PT"/>
        </w:rPr>
        <w:fldChar w:fldCharType="end"/>
      </w:r>
      <w:r w:rsidRPr="00EB6A70">
        <w:rPr>
          <w:lang w:val="pt-PT"/>
        </w:rPr>
        <w:t xml:space="preserve">,  de 4 de </w:t>
      </w:r>
      <w:r>
        <w:rPr>
          <w:lang w:val="pt-PT"/>
        </w:rPr>
        <w:t>o</w:t>
      </w:r>
      <w:r w:rsidRPr="00EB6A70">
        <w:rPr>
          <w:lang w:val="pt-PT"/>
        </w:rPr>
        <w:t>utubro</w:t>
      </w:r>
      <w:r>
        <w:rPr>
          <w:lang w:val="pt-PT"/>
        </w:rPr>
        <w:t>,</w:t>
      </w:r>
      <w:r w:rsidRPr="00EB6A70">
        <w:rPr>
          <w:lang w:val="pt-PT"/>
        </w:rPr>
        <w:t xml:space="preserve"> referem que</w:t>
      </w:r>
      <w:r>
        <w:rPr>
          <w:lang w:val="pt-PT"/>
        </w:rPr>
        <w:t xml:space="preserve">, para </w:t>
      </w:r>
      <w:r w:rsidRPr="0039742F">
        <w:rPr>
          <w:lang w:val="pt-PT"/>
        </w:rPr>
        <w:t>defesa da saúde pública</w:t>
      </w:r>
      <w:r>
        <w:rPr>
          <w:lang w:val="pt-PT"/>
        </w:rPr>
        <w:t>,</w:t>
      </w:r>
      <w:r w:rsidRPr="00EB6A70">
        <w:rPr>
          <w:lang w:val="pt-PT"/>
        </w:rPr>
        <w:t xml:space="preserve"> </w:t>
      </w:r>
      <w:r>
        <w:rPr>
          <w:lang w:val="pt-PT"/>
        </w:rPr>
        <w:t xml:space="preserve">cabe especialmente </w:t>
      </w:r>
      <w:r w:rsidRPr="00EB6A70">
        <w:rPr>
          <w:lang w:val="pt-PT"/>
        </w:rPr>
        <w:t>à</w:t>
      </w:r>
      <w:r>
        <w:rPr>
          <w:lang w:val="pt-PT"/>
        </w:rPr>
        <w:t>s</w:t>
      </w:r>
      <w:r w:rsidRPr="00EB6A70">
        <w:rPr>
          <w:lang w:val="pt-PT"/>
        </w:rPr>
        <w:t xml:space="preserve"> A</w:t>
      </w:r>
      <w:r w:rsidR="00BC65EF">
        <w:rPr>
          <w:lang w:val="pt-PT"/>
        </w:rPr>
        <w:t>S</w:t>
      </w:r>
      <w:r w:rsidR="00270F16">
        <w:rPr>
          <w:lang w:val="pt-PT"/>
        </w:rPr>
        <w:t xml:space="preserve"> </w:t>
      </w:r>
      <w:r w:rsidR="00DE4F98">
        <w:rPr>
          <w:lang w:val="pt-PT"/>
        </w:rPr>
        <w:t>d</w:t>
      </w:r>
      <w:r w:rsidRPr="00EB6A70">
        <w:rPr>
          <w:lang w:val="pt-PT"/>
        </w:rPr>
        <w:t>esencadear o internamento ou a prestação compulsiva de cuidados  de saúde a indivíduos em situação de  prejudicarem a saúde pública, nos termos da lei</w:t>
      </w:r>
      <w:r w:rsidR="00DE4F98">
        <w:rPr>
          <w:lang w:val="pt-PT"/>
        </w:rPr>
        <w:t>, (cf. al. b) do n.º 2 da Base 34 e al. c) do n.º 2do artigo 5.º dos diplomas citados).</w:t>
      </w:r>
      <w:r w:rsidRPr="00EB6A70">
        <w:rPr>
          <w:lang w:val="pt-PT"/>
        </w:rPr>
        <w:t xml:space="preserve"> </w:t>
      </w:r>
    </w:p>
    <w:p w14:paraId="2BE9CDD8" w14:textId="361F028E" w:rsidR="005B531C" w:rsidRDefault="00A20DAB" w:rsidP="00EB6A70">
      <w:pPr>
        <w:rPr>
          <w:lang w:val="pt-PT"/>
        </w:rPr>
      </w:pPr>
      <w:r>
        <w:rPr>
          <w:lang w:val="pt-PT"/>
        </w:rPr>
        <w:t xml:space="preserve">Não obstante, </w:t>
      </w:r>
      <w:r w:rsidRPr="00EB6A70">
        <w:rPr>
          <w:lang w:val="pt-PT"/>
        </w:rPr>
        <w:t>não exist</w:t>
      </w:r>
      <w:r w:rsidR="00BC65EF">
        <w:rPr>
          <w:lang w:val="pt-PT"/>
        </w:rPr>
        <w:t>em</w:t>
      </w:r>
      <w:r w:rsidRPr="00EB6A70">
        <w:rPr>
          <w:lang w:val="pt-PT"/>
        </w:rPr>
        <w:t xml:space="preserve"> </w:t>
      </w:r>
      <w:r>
        <w:rPr>
          <w:lang w:val="pt-PT"/>
        </w:rPr>
        <w:t xml:space="preserve">ainda mecanismos </w:t>
      </w:r>
      <w:r w:rsidRPr="00EB6A70">
        <w:rPr>
          <w:lang w:val="pt-PT"/>
        </w:rPr>
        <w:t xml:space="preserve">legais que </w:t>
      </w:r>
      <w:r>
        <w:rPr>
          <w:lang w:val="pt-PT"/>
        </w:rPr>
        <w:t xml:space="preserve">definam os procedimentos a adotar pelas </w:t>
      </w:r>
      <w:r w:rsidR="00BC65EF">
        <w:rPr>
          <w:lang w:val="pt-PT"/>
        </w:rPr>
        <w:t>AS</w:t>
      </w:r>
      <w:r>
        <w:rPr>
          <w:lang w:val="pt-PT"/>
        </w:rPr>
        <w:t xml:space="preserve"> para a sua concretização, </w:t>
      </w:r>
      <w:r w:rsidRPr="00EB6A70">
        <w:rPr>
          <w:lang w:val="pt-PT"/>
        </w:rPr>
        <w:t xml:space="preserve">ficando </w:t>
      </w:r>
      <w:r w:rsidR="005B531C">
        <w:rPr>
          <w:lang w:val="pt-PT"/>
        </w:rPr>
        <w:t>apenas implícito</w:t>
      </w:r>
      <w:r w:rsidR="005B531C" w:rsidRPr="00EB6A70">
        <w:rPr>
          <w:lang w:val="pt-PT"/>
        </w:rPr>
        <w:t xml:space="preserve"> que</w:t>
      </w:r>
      <w:r w:rsidR="0018516F">
        <w:rPr>
          <w:lang w:val="pt-PT"/>
        </w:rPr>
        <w:t xml:space="preserve"> lhes</w:t>
      </w:r>
      <w:r w:rsidR="005B531C" w:rsidRPr="00EB6A70">
        <w:rPr>
          <w:lang w:val="pt-PT"/>
        </w:rPr>
        <w:t xml:space="preserve"> </w:t>
      </w:r>
      <w:r w:rsidR="00BC65EF">
        <w:rPr>
          <w:lang w:val="pt-PT"/>
        </w:rPr>
        <w:t xml:space="preserve">cabe </w:t>
      </w:r>
      <w:r w:rsidR="005B531C">
        <w:rPr>
          <w:lang w:val="pt-PT"/>
        </w:rPr>
        <w:t>apresentar</w:t>
      </w:r>
      <w:r w:rsidR="005B531C" w:rsidRPr="00EB6A70">
        <w:rPr>
          <w:lang w:val="pt-PT"/>
        </w:rPr>
        <w:t xml:space="preserve"> esse pedido às autoridades judiciais</w:t>
      </w:r>
      <w:r w:rsidR="005B531C">
        <w:rPr>
          <w:lang w:val="pt-PT"/>
        </w:rPr>
        <w:t xml:space="preserve"> perante “indivíduos em situação de prejudicarem a saúde pública”</w:t>
      </w:r>
      <w:r w:rsidR="005B531C"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{"citationItems":[{"id":"ITEM-1","itemData":{"URL":"http://www.dgsi.pt/jtrp.nsf/c3fb530030ea1c61802568d9005cd5bb/c4c0347dfa5f1a2f80257103003c591b","accessed":{"date-parts":[["2019","2","18"]]},"author":[{"dropping-particle":"","family":"Tribunal Relação Porto","given":"","non-dropping-particle":"","parse-names":false,"suffix":""},{"dropping-particle":"","family":"São Pedro","given":"E et.al","non-dropping-particle":"","parse-names":false,"suffix":""}],"id":"ITEM-1","issued":{"date-parts":[["2005"]]},"title":"Acórdão do Tribunal da Relação do Porto - É legal o internamento compulsivo de quem, padecendo de tuberculose pulmonar, recusa tratar-se e deambula pelas vias públicas, podendo assim afectar outras pessoas.","type":"webpage"},"uris":["http://www.mendeley.com/documents/?uuid=f664c186-c65b-3b21-85c2-c25908d43246"]}],"mendeley":{"formattedCitation":"&lt;sup&gt;3&lt;/sup&gt;","plainTextFormattedCitation":"3","previouslyFormattedCitation":"&lt;sup&gt;3&lt;/sup&gt;"},"properties":{"noteIndex":0},"schema":"https://github.com/citation-style-language/schema/raw/master/csl-citation.json"}</w:instrText>
      </w:r>
      <w:r w:rsidR="005B531C"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3</w:t>
      </w:r>
      <w:r w:rsidR="005B531C">
        <w:rPr>
          <w:lang w:val="pt-PT"/>
        </w:rPr>
        <w:fldChar w:fldCharType="end"/>
      </w:r>
      <w:r w:rsidR="00DE4F98">
        <w:rPr>
          <w:lang w:val="pt-PT"/>
        </w:rPr>
        <w:t>.</w:t>
      </w:r>
    </w:p>
    <w:p w14:paraId="41006847" w14:textId="18A8E400" w:rsidR="006C0F88" w:rsidRDefault="00EC547B" w:rsidP="00EB6A70">
      <w:pPr>
        <w:rPr>
          <w:lang w:val="pt-PT"/>
        </w:rPr>
      </w:pPr>
      <w:r>
        <w:rPr>
          <w:lang w:val="pt-PT"/>
        </w:rPr>
        <w:t xml:space="preserve">Com a </w:t>
      </w:r>
      <w:r w:rsidR="00EB6A70" w:rsidRPr="00EB6A70">
        <w:rPr>
          <w:lang w:val="pt-PT"/>
        </w:rPr>
        <w:t>Lei n.º 81/2009</w:t>
      </w:r>
      <w:r w:rsidR="00482FFF"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{"citationItems":[{"id":"ITEM-1","itemData":{"author":[{"dropping-particle":"","family":"Assembleia da República","given":"","non-dropping-particle":"","parse-names":false,"suffix":""}],"id":"ITEM-1","issued":{"date-parts":[["0"]]},"publisher":"Assembleia da Républica","title":"Lei 81/2009, 2009-08-21 - DRE - Institui um sistema de vigilância em saúde pública, que identifica situações de risco, recolhe, actualiza, analisa e divulga os dados relativos a doenças transmissíveis e outros riscos em saúde pública, bem como prepara planos de contingência face a situações de emergência ou tão graves como de calamidade pública","type":"bill"},"uris":["http://www.mendeley.com/documents/?uuid=0ede3c04-5b81-396a-9892-a6c5e25488a3"]}],"mendeley":{"formattedCitation":"&lt;sup&gt;9&lt;/sup&gt;","plainTextFormattedCitation":"9","previouslyFormattedCitation":"&lt;sup&gt;9&lt;/sup&gt;"},"properties":{"noteIndex":0},"schema":"https://github.com/citation-style-language/schema/raw/master/csl-citation.json"}</w:instrText>
      </w:r>
      <w:r w:rsidR="00482FFF"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9</w:t>
      </w:r>
      <w:r w:rsidR="00482FFF">
        <w:rPr>
          <w:lang w:val="pt-PT"/>
        </w:rPr>
        <w:fldChar w:fldCharType="end"/>
      </w:r>
      <w:r w:rsidR="00EB6A70" w:rsidRPr="00EB6A70">
        <w:rPr>
          <w:lang w:val="pt-PT"/>
        </w:rPr>
        <w:t xml:space="preserve"> de 21 de Agosto institui</w:t>
      </w:r>
      <w:r>
        <w:rPr>
          <w:lang w:val="pt-PT"/>
        </w:rPr>
        <w:t>u-se</w:t>
      </w:r>
      <w:r w:rsidR="00EB6A70" w:rsidRPr="00EB6A70">
        <w:rPr>
          <w:lang w:val="pt-PT"/>
        </w:rPr>
        <w:t xml:space="preserve"> um sistema de vigilância em </w:t>
      </w:r>
      <w:r w:rsidR="00EC4262">
        <w:rPr>
          <w:lang w:val="pt-PT"/>
        </w:rPr>
        <w:t>S</w:t>
      </w:r>
      <w:r w:rsidR="00EB6A70" w:rsidRPr="00EB6A70">
        <w:rPr>
          <w:lang w:val="pt-PT"/>
        </w:rPr>
        <w:t xml:space="preserve">aúde </w:t>
      </w:r>
      <w:r w:rsidR="00EC4262">
        <w:rPr>
          <w:lang w:val="pt-PT"/>
        </w:rPr>
        <w:t>P</w:t>
      </w:r>
      <w:r w:rsidR="00EB6A70" w:rsidRPr="00EB6A70">
        <w:rPr>
          <w:lang w:val="pt-PT"/>
        </w:rPr>
        <w:t xml:space="preserve">ública (SINAVE) </w:t>
      </w:r>
      <w:r w:rsidR="009F6976">
        <w:rPr>
          <w:lang w:val="pt-PT"/>
        </w:rPr>
        <w:t>e,</w:t>
      </w:r>
      <w:r w:rsidR="00EB6A70" w:rsidRPr="00EB6A70">
        <w:rPr>
          <w:lang w:val="pt-PT"/>
        </w:rPr>
        <w:t xml:space="preserve"> apesar de não </w:t>
      </w:r>
      <w:r>
        <w:rPr>
          <w:lang w:val="pt-PT"/>
        </w:rPr>
        <w:t xml:space="preserve">se </w:t>
      </w:r>
      <w:r w:rsidR="00EB6A70" w:rsidRPr="00EB6A70">
        <w:rPr>
          <w:lang w:val="pt-PT"/>
        </w:rPr>
        <w:t xml:space="preserve">prever o tratamento/internamento compulsivo, </w:t>
      </w:r>
      <w:r>
        <w:rPr>
          <w:lang w:val="pt-PT"/>
        </w:rPr>
        <w:t xml:space="preserve">ficou estabelecido </w:t>
      </w:r>
      <w:r w:rsidR="00EB6A70" w:rsidRPr="00EB6A70">
        <w:rPr>
          <w:lang w:val="pt-PT"/>
        </w:rPr>
        <w:t xml:space="preserve">que as “Autoridades de Saúde asseguram a intervenção oportuna e discricionária do Estado em situações de grave risco para a saúde pública, competindo-lhes, ainda, a vigilância das decisões dos órgãos e serviços operativos do Estado em matéria de saúde </w:t>
      </w:r>
      <w:r w:rsidR="00EB6A70" w:rsidRPr="00EB6A70">
        <w:rPr>
          <w:lang w:val="pt-PT"/>
        </w:rPr>
        <w:lastRenderedPageBreak/>
        <w:t>pública</w:t>
      </w:r>
      <w:r w:rsidR="005C3150">
        <w:rPr>
          <w:lang w:val="pt-PT"/>
        </w:rPr>
        <w:t>”,</w:t>
      </w:r>
      <w:r w:rsidR="00DE4F98">
        <w:rPr>
          <w:lang w:val="pt-PT"/>
        </w:rPr>
        <w:t xml:space="preserve"> </w:t>
      </w:r>
      <w:r w:rsidR="005C3150">
        <w:rPr>
          <w:lang w:val="pt-PT"/>
        </w:rPr>
        <w:t>estabelecendo que para esse efeito</w:t>
      </w:r>
      <w:r w:rsidR="0018516F">
        <w:rPr>
          <w:lang w:val="pt-PT"/>
        </w:rPr>
        <w:t xml:space="preserve"> que</w:t>
      </w:r>
      <w:r w:rsidR="00DE4F98">
        <w:rPr>
          <w:lang w:val="pt-PT"/>
        </w:rPr>
        <w:t xml:space="preserve"> </w:t>
      </w:r>
      <w:r w:rsidR="005C3150">
        <w:rPr>
          <w:lang w:val="pt-PT"/>
        </w:rPr>
        <w:t>“</w:t>
      </w:r>
      <w:r w:rsidR="00EB6A70" w:rsidRPr="00EB6A70">
        <w:rPr>
          <w:lang w:val="pt-PT"/>
        </w:rPr>
        <w:t>as autoridades de saúde podem utilizar todos os meios necessários, proporcionais e limitados aos riscos identificados que considerem prejudiciais à saúde dos cidadãos ou dos aglomerados populacionais envolvidos.”</w:t>
      </w:r>
      <w:r w:rsidR="006C0F88">
        <w:rPr>
          <w:lang w:val="pt-PT"/>
        </w:rPr>
        <w:t xml:space="preserve"> </w:t>
      </w:r>
    </w:p>
    <w:p w14:paraId="7687C322" w14:textId="189FD6BB" w:rsidR="005B531C" w:rsidRDefault="00644DE1" w:rsidP="005C3150">
      <w:pPr>
        <w:rPr>
          <w:lang w:val="pt-PT"/>
        </w:rPr>
      </w:pPr>
      <w:r w:rsidRPr="00644DE1">
        <w:rPr>
          <w:lang w:val="pt-PT"/>
        </w:rPr>
        <w:t>Num artigo publicado na Revista Portuguesa de Direito da Saúde</w:t>
      </w:r>
      <w:r w:rsidR="00AB6920"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{"citationItems":[{"id":"ITEM-1","itemData":{"author":[{"dropping-particle":"","family":"Fidalgo","given":"Sónia","non-dropping-particle":"","parse-names":false,"suffix":""}],"container-title":"“Lex Medicinae – Revista Portuguesa de Direito da Saúde”, ano 1, n.º 2, 2004","id":"ITEM-1","issued":{"date-parts":[["2004"]]},"title":"Internamento compulsivo de doentes com tuberculose","type":"article-journal"},"uris":["http://www.mendeley.com/documents/?uuid=b137e43c-edc9-465a-aa68-24fd6e874595"]}],"mendeley":{"formattedCitation":"&lt;sup&gt;10&lt;/sup&gt;","plainTextFormattedCitation":"10"},"properties":{"noteIndex":0},"schema":"https://github.com/citation-style-language/schema/raw/master/csl-citation.json"}</w:instrText>
      </w:r>
      <w:r w:rsidR="00AB6920"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10</w:t>
      </w:r>
      <w:r w:rsidR="00AB6920">
        <w:rPr>
          <w:lang w:val="pt-PT"/>
        </w:rPr>
        <w:fldChar w:fldCharType="end"/>
      </w:r>
      <w:r w:rsidR="00AB6920">
        <w:rPr>
          <w:lang w:val="pt-PT"/>
        </w:rPr>
        <w:t xml:space="preserve"> </w:t>
      </w:r>
      <w:r w:rsidR="00AB6920">
        <w:rPr>
          <w:vertAlign w:val="superscript"/>
          <w:lang w:val="pt-PT"/>
        </w:rPr>
        <w:t xml:space="preserve"> </w:t>
      </w:r>
      <w:r w:rsidRPr="00644DE1">
        <w:rPr>
          <w:lang w:val="pt-PT"/>
        </w:rPr>
        <w:t xml:space="preserve">é referido que perante um doente com Tuberculose </w:t>
      </w:r>
      <w:r w:rsidR="00EC547B">
        <w:rPr>
          <w:lang w:val="pt-PT"/>
        </w:rPr>
        <w:t xml:space="preserve">que </w:t>
      </w:r>
      <w:r w:rsidRPr="00644DE1">
        <w:rPr>
          <w:lang w:val="pt-PT"/>
        </w:rPr>
        <w:t>recusa tratamento</w:t>
      </w:r>
      <w:r w:rsidR="00CC1448">
        <w:rPr>
          <w:lang w:val="pt-PT"/>
        </w:rPr>
        <w:t>,</w:t>
      </w:r>
      <w:r w:rsidRPr="00644DE1">
        <w:rPr>
          <w:lang w:val="pt-PT"/>
        </w:rPr>
        <w:t xml:space="preserve"> poderão ser </w:t>
      </w:r>
      <w:r w:rsidR="009F6976" w:rsidRPr="00644DE1">
        <w:rPr>
          <w:lang w:val="pt-PT"/>
        </w:rPr>
        <w:t>necessárias medidas</w:t>
      </w:r>
      <w:r w:rsidRPr="00644DE1">
        <w:rPr>
          <w:lang w:val="pt-PT"/>
        </w:rPr>
        <w:t xml:space="preserve"> de restrição da liberdade para defesa de outro bem constitucionalmente protegido: a saúde</w:t>
      </w:r>
      <w:r w:rsidR="00CC1448">
        <w:rPr>
          <w:lang w:val="pt-PT"/>
        </w:rPr>
        <w:t xml:space="preserve"> </w:t>
      </w:r>
      <w:r w:rsidR="007A506F">
        <w:rPr>
          <w:lang w:val="pt-PT"/>
        </w:rPr>
        <w:t xml:space="preserve">(do próprio, </w:t>
      </w:r>
      <w:r w:rsidR="0018516F">
        <w:rPr>
          <w:lang w:val="pt-PT"/>
        </w:rPr>
        <w:t xml:space="preserve">de terceiros </w:t>
      </w:r>
      <w:r w:rsidR="00EC4262">
        <w:rPr>
          <w:lang w:val="pt-PT"/>
        </w:rPr>
        <w:t>e</w:t>
      </w:r>
      <w:r w:rsidR="0018516F">
        <w:rPr>
          <w:lang w:val="pt-PT"/>
        </w:rPr>
        <w:t xml:space="preserve"> da</w:t>
      </w:r>
      <w:r w:rsidR="007A506F">
        <w:rPr>
          <w:lang w:val="pt-PT"/>
        </w:rPr>
        <w:t xml:space="preserve"> </w:t>
      </w:r>
      <w:r w:rsidR="00CC1448">
        <w:rPr>
          <w:lang w:val="pt-PT"/>
        </w:rPr>
        <w:t>S</w:t>
      </w:r>
      <w:r w:rsidR="007A506F">
        <w:rPr>
          <w:lang w:val="pt-PT"/>
        </w:rPr>
        <w:t xml:space="preserve">aúde </w:t>
      </w:r>
      <w:r w:rsidR="00CC1448">
        <w:rPr>
          <w:lang w:val="pt-PT"/>
        </w:rPr>
        <w:t>P</w:t>
      </w:r>
      <w:r w:rsidR="007A506F">
        <w:rPr>
          <w:lang w:val="pt-PT"/>
        </w:rPr>
        <w:t>ública)</w:t>
      </w:r>
      <w:r w:rsidRPr="00644DE1">
        <w:rPr>
          <w:lang w:val="pt-PT"/>
        </w:rPr>
        <w:t xml:space="preserve">. </w:t>
      </w:r>
      <w:r w:rsidR="00482FFF">
        <w:rPr>
          <w:lang w:val="pt-PT"/>
        </w:rPr>
        <w:t xml:space="preserve">Uma </w:t>
      </w:r>
      <w:r w:rsidRPr="00644DE1">
        <w:rPr>
          <w:lang w:val="pt-PT"/>
        </w:rPr>
        <w:t>lei que preveja a possibilidade de</w:t>
      </w:r>
      <w:r w:rsidR="00BC65EF">
        <w:rPr>
          <w:lang w:val="pt-PT"/>
        </w:rPr>
        <w:t xml:space="preserve"> </w:t>
      </w:r>
      <w:r w:rsidRPr="00644DE1">
        <w:rPr>
          <w:lang w:val="pt-PT"/>
        </w:rPr>
        <w:t xml:space="preserve">tratamento/internamento compulsivo nestes casos não será </w:t>
      </w:r>
      <w:r w:rsidR="00CC1448">
        <w:rPr>
          <w:lang w:val="pt-PT"/>
        </w:rPr>
        <w:t xml:space="preserve">apenas </w:t>
      </w:r>
      <w:r w:rsidRPr="00644DE1">
        <w:rPr>
          <w:lang w:val="pt-PT"/>
        </w:rPr>
        <w:t>uma lei restritiva do direito à liberdade,</w:t>
      </w:r>
      <w:r w:rsidR="006C0F88">
        <w:rPr>
          <w:lang w:val="pt-PT"/>
        </w:rPr>
        <w:t xml:space="preserve"> mas</w:t>
      </w:r>
      <w:r w:rsidRPr="00644DE1">
        <w:rPr>
          <w:lang w:val="pt-PT"/>
        </w:rPr>
        <w:t xml:space="preserve"> uma lei harmonizadora de direitos em conflito</w:t>
      </w:r>
      <w:r w:rsidR="005A0D49"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{"citationItems":[{"id":"ITEM-1","itemData":{"author":[{"dropping-particle":"","family":"Fidalgo","given":"Sónia","non-dropping-particle":"","parse-names":false,"suffix":""}],"container-title":"“Lex Medicinae – Revista Portuguesa de Direito da Saúde”, ano 1, n.º 2, 2004","id":"ITEM-1","issued":{"date-parts":[["2004"]]},"title":"Internamento compulsivo de doentes com tuberculose","type":"article-journal"},"uris":["http://www.mendeley.com/documents/?uuid=b137e43c-edc9-465a-aa68-24fd6e874595"]}],"mendeley":{"formattedCitation":"&lt;sup&gt;10&lt;/sup&gt;","plainTextFormattedCitation":"10","previouslyFormattedCitation":"&lt;sup&gt;10&lt;/sup&gt;"},"properties":{"noteIndex":0},"schema":"https://github.com/citation-style-language/schema/raw/master/csl-citation.json"}</w:instrText>
      </w:r>
      <w:r w:rsidR="005A0D49"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10</w:t>
      </w:r>
      <w:r w:rsidR="005A0D49">
        <w:rPr>
          <w:lang w:val="pt-PT"/>
        </w:rPr>
        <w:fldChar w:fldCharType="end"/>
      </w:r>
      <w:r w:rsidRPr="00644DE1">
        <w:rPr>
          <w:lang w:val="pt-PT"/>
        </w:rPr>
        <w:t xml:space="preserve">. </w:t>
      </w:r>
      <w:r w:rsidR="005A0D49">
        <w:rPr>
          <w:lang w:val="pt-PT"/>
        </w:rPr>
        <w:t>A própria CRP prevê no seu artigo 18</w:t>
      </w:r>
      <w:r w:rsidR="00DE4F98">
        <w:rPr>
          <w:lang w:val="pt-PT"/>
        </w:rPr>
        <w:t>.</w:t>
      </w:r>
      <w:r w:rsidR="005A0D49">
        <w:rPr>
          <w:lang w:val="pt-PT"/>
        </w:rPr>
        <w:t xml:space="preserve">º que “a </w:t>
      </w:r>
      <w:r w:rsidR="005A0D49" w:rsidRPr="005A0D49">
        <w:rPr>
          <w:lang w:val="pt-PT"/>
        </w:rPr>
        <w:t>lei só pode restringir os direitos, liberdades e garantias nos casos expressamente previstos na Constituição, devendo as restrições limitar-se ao necessário para salvaguardar outros direitos ou interesses constitucionalmente protegidos.</w:t>
      </w:r>
      <w:r w:rsidR="005A0D49">
        <w:rPr>
          <w:lang w:val="pt-PT"/>
        </w:rPr>
        <w:t>”</w:t>
      </w:r>
      <w:r w:rsidR="005C3150">
        <w:rPr>
          <w:lang w:val="pt-PT"/>
        </w:rPr>
        <w:t xml:space="preserve"> </w:t>
      </w:r>
      <w:r w:rsidR="005C3150" w:rsidRPr="005C3150">
        <w:rPr>
          <w:lang w:val="pt-PT"/>
        </w:rPr>
        <w:t>Efetivamente, o conflito</w:t>
      </w:r>
      <w:r w:rsidR="005B531C">
        <w:rPr>
          <w:lang w:val="pt-PT"/>
        </w:rPr>
        <w:t>,</w:t>
      </w:r>
      <w:r w:rsidR="005C3150" w:rsidRPr="005C3150">
        <w:rPr>
          <w:lang w:val="pt-PT"/>
        </w:rPr>
        <w:t xml:space="preserve"> ao ser resolvido com recurso aos princípios axiológicos do interesse público e da proporcionalidade, advoga a solução que apresente o menor risco de violação dos valores constitucionais, mesmo quando concede prioridade à proteção da Saúde Pública em detrimento dos direitos individuais</w:t>
      </w:r>
      <w:r w:rsidR="005B531C">
        <w:rPr>
          <w:lang w:val="pt-PT"/>
        </w:rPr>
        <w:t>.</w:t>
      </w:r>
    </w:p>
    <w:p w14:paraId="47FDBED4" w14:textId="141AB307" w:rsidR="005C3150" w:rsidRDefault="005C3150" w:rsidP="005C3150">
      <w:pPr>
        <w:rPr>
          <w:lang w:val="pt-PT"/>
        </w:rPr>
      </w:pPr>
      <w:r>
        <w:rPr>
          <w:lang w:val="pt-PT"/>
        </w:rPr>
        <w:t>Nas palavras de Jorge Miranda, “O Direito não é somatório de regras avulsas</w:t>
      </w:r>
      <w:r w:rsidR="00440929">
        <w:rPr>
          <w:lang w:val="pt-PT"/>
        </w:rPr>
        <w:t>(...)</w:t>
      </w:r>
      <w:r>
        <w:rPr>
          <w:lang w:val="pt-PT"/>
        </w:rPr>
        <w:t xml:space="preserve">. O Direito (…) implica coerência ou, talvez mais rigorosamente, consistência; projeta-se em sistema; é unidade de sentido, é valor incorporado em regra. E esse ordenamento, </w:t>
      </w:r>
      <w:r w:rsidR="00440929">
        <w:rPr>
          <w:lang w:val="pt-PT"/>
        </w:rPr>
        <w:t>(…)</w:t>
      </w:r>
      <w:r>
        <w:rPr>
          <w:lang w:val="pt-PT"/>
        </w:rPr>
        <w:t>traduz-se em princípios, logicamente anteriores aos preceitos”</w:t>
      </w:r>
      <w:r w:rsidR="00FB08C7"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{"citationItems":[{"id":"ITEM-1","itemData":{"ISBN":"9789723221688","abstract":"7. ed., revista e actualizada.","author":[{"dropping-particle":"","family":"Miranda","given":"Jorge.","non-dropping-particle":"","parse-names":false,"suffix":""}],"id":"ITEM-1","issued":{"date-parts":[["2013"]]},"publisher":"Coimbra Editora","title":"Manual de direito constitucional. 2, Constituição.","type":"book"},"uris":["http://www.mendeley.com/documents/?uuid=de6a1a98-a7bd-3db2-bac4-154c8b968619"]}],"mendeley":{"formattedCitation":"&lt;sup&gt;11&lt;/sup&gt;","plainTextFormattedCitation":"11","previouslyFormattedCitation":"&lt;sup&gt;11&lt;/sup&gt;"},"properties":{"noteIndex":0},"schema":"https://github.com/citation-style-language/schema/raw/master/csl-citation.json"}</w:instrText>
      </w:r>
      <w:r w:rsidR="00FB08C7"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11</w:t>
      </w:r>
      <w:r w:rsidR="00FB08C7">
        <w:rPr>
          <w:lang w:val="pt-PT"/>
        </w:rPr>
        <w:fldChar w:fldCharType="end"/>
      </w:r>
      <w:r w:rsidR="00DE4F98">
        <w:rPr>
          <w:lang w:val="pt-PT"/>
        </w:rPr>
        <w:t>.</w:t>
      </w:r>
    </w:p>
    <w:p w14:paraId="7DEB3E1E" w14:textId="2DBFF68D" w:rsidR="00644DE1" w:rsidRPr="00644DE1" w:rsidRDefault="00644DE1" w:rsidP="00644DE1">
      <w:pPr>
        <w:rPr>
          <w:lang w:val="pt-PT"/>
        </w:rPr>
      </w:pPr>
      <w:r w:rsidRPr="00644DE1">
        <w:rPr>
          <w:lang w:val="pt-PT"/>
        </w:rPr>
        <w:t xml:space="preserve">A saúde pública </w:t>
      </w:r>
      <w:r w:rsidR="00EC547B">
        <w:rPr>
          <w:lang w:val="pt-PT"/>
        </w:rPr>
        <w:t>é</w:t>
      </w:r>
      <w:r w:rsidRPr="00644DE1">
        <w:rPr>
          <w:lang w:val="pt-PT"/>
        </w:rPr>
        <w:t>, assim, um bem jurídico da comunidade, um “objeto [...] valioso [...] considerado como digno de proteção, jurídica e constitucionalmente garantido”</w:t>
      </w:r>
      <w:r w:rsidR="006C0F88"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{"citationItems":[{"id":"ITEM-1","itemData":{"author":[{"dropping-particle":"","family":"Canotilho","given":"Gomes","non-dropping-particle":"","parse-names":false,"suffix":""}],"edition":"6º Edição","id":"ITEM-1","issued":{"date-parts":[["2012"]]},"publisher":"Almedina","publisher-place":"Coimbra","title":"Direito Constitucional e Teoria da Constituição","type":"book"},"uris":["http://www.mendeley.com/documents/?uuid=e775efde-8ddd-4743-80f2-ac7df69f186d"]}],"mendeley":{"formattedCitation":"&lt;sup&gt;12&lt;/sup&gt;","plainTextFormattedCitation":"12","previouslyFormattedCitation":"&lt;sup&gt;12&lt;/sup&gt;"},"properties":{"noteIndex":0},"schema":"https://github.com/citation-style-language/schema/raw/master/csl-citation.json"}</w:instrText>
      </w:r>
      <w:r w:rsidR="006C0F88"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12</w:t>
      </w:r>
      <w:r w:rsidR="006C0F88">
        <w:rPr>
          <w:lang w:val="pt-PT"/>
        </w:rPr>
        <w:fldChar w:fldCharType="end"/>
      </w:r>
      <w:r w:rsidR="006C0F88">
        <w:rPr>
          <w:lang w:val="pt-PT"/>
        </w:rPr>
        <w:t xml:space="preserve"> </w:t>
      </w:r>
    </w:p>
    <w:p w14:paraId="6B476CB3" w14:textId="5E111D3F" w:rsidR="0018516F" w:rsidRDefault="0018516F" w:rsidP="0018516F">
      <w:pPr>
        <w:rPr>
          <w:lang w:val="pt-PT"/>
        </w:rPr>
      </w:pPr>
      <w:r>
        <w:rPr>
          <w:lang w:val="pt-PT"/>
        </w:rPr>
        <w:t xml:space="preserve">No âmbito da </w:t>
      </w:r>
      <w:r w:rsidRPr="004146CA">
        <w:rPr>
          <w:lang w:val="pt-PT"/>
        </w:rPr>
        <w:t>proteção da Saúde</w:t>
      </w:r>
      <w:r>
        <w:rPr>
          <w:lang w:val="pt-PT"/>
        </w:rPr>
        <w:t>, impedir a</w:t>
      </w:r>
      <w:r w:rsidRPr="004146CA">
        <w:rPr>
          <w:lang w:val="pt-PT"/>
        </w:rPr>
        <w:t xml:space="preserve"> transmissão de doenças </w:t>
      </w:r>
      <w:r w:rsidR="00D6191F">
        <w:rPr>
          <w:lang w:val="pt-PT"/>
        </w:rPr>
        <w:t>infeciosas</w:t>
      </w:r>
      <w:r>
        <w:rPr>
          <w:lang w:val="pt-PT"/>
        </w:rPr>
        <w:t xml:space="preserve"> assume uma importância fundamental, contribuindo também indiretamente para proteger a liberdade dos indivíduos evitando o aumento de casos</w:t>
      </w:r>
      <w:r w:rsidR="00D6191F">
        <w:rPr>
          <w:lang w:val="pt-PT"/>
        </w:rPr>
        <w:t xml:space="preserve"> e as consequências da doença na liberdade indiv</w:t>
      </w:r>
      <w:r w:rsidR="00AB6920">
        <w:rPr>
          <w:lang w:val="pt-PT"/>
        </w:rPr>
        <w:t>id</w:t>
      </w:r>
      <w:r w:rsidR="00D6191F">
        <w:rPr>
          <w:lang w:val="pt-PT"/>
        </w:rPr>
        <w:t>ual</w:t>
      </w:r>
      <w:r>
        <w:rPr>
          <w:lang w:val="pt-PT"/>
        </w:rPr>
        <w:t xml:space="preserve"> </w:t>
      </w:r>
      <w:r w:rsidR="00D6191F">
        <w:rPr>
          <w:lang w:val="pt-PT"/>
        </w:rPr>
        <w:t>bem como</w:t>
      </w:r>
      <w:r>
        <w:rPr>
          <w:lang w:val="pt-PT"/>
        </w:rPr>
        <w:t xml:space="preserve"> restrições mais relevantes que decorreriam, por exemplo, da necessidade de declaração de estado de emergência por calamidade pública</w:t>
      </w:r>
      <w:r w:rsidR="00AB6920">
        <w:rPr>
          <w:lang w:val="pt-PT"/>
        </w:rPr>
        <w:t>, previsto na lei</w:t>
      </w:r>
      <w:r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{"citationItems":[{"id":"ITEM-1","itemData":{"author":[{"dropping-particle":"","family":"Assembleia da República","given":"","non-dropping-particle":"","parse-names":false,"suffix":""}],"id":"ITEM-1","issued":{"date-parts":[["0"]]},"publisher":"Assembleia da Républica","title":"Lei 81/2009, 2009-08-21 - DRE - Institui um sistema de vigilância em saúde pública, que identifica situações de risco, recolhe, actualiza, analisa e divulga os dados relativos a doenças transmissíveis e outros riscos em saúde pública, bem como prepara planos de contingência face a situações de emergência ou tão graves como de calamidade pública","type":"bill"},"uris":["http://www.mendeley.com/documents/?uuid=0ede3c04-5b81-396a-9892-a6c5e25488a3"]}],"mendeley":{"formattedCitation":"&lt;sup&gt;9&lt;/sup&gt;","plainTextFormattedCitation":"9","previouslyFormattedCitation":"&lt;sup&gt;9&lt;/sup&gt;"},"properties":{"noteIndex":0},"schema":"https://github.com/citation-style-language/schema/raw/master/csl-citation.json"}</w:instrText>
      </w:r>
      <w:r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9</w:t>
      </w:r>
      <w:r>
        <w:rPr>
          <w:lang w:val="pt-PT"/>
        </w:rPr>
        <w:fldChar w:fldCharType="end"/>
      </w:r>
      <w:r w:rsidR="00AB6920">
        <w:rPr>
          <w:lang w:val="pt-PT"/>
        </w:rPr>
        <w:t>.</w:t>
      </w:r>
    </w:p>
    <w:p w14:paraId="686F6EE9" w14:textId="614EE004" w:rsidR="003E7002" w:rsidRDefault="00836DED" w:rsidP="000C054A">
      <w:pPr>
        <w:rPr>
          <w:lang w:val="pt-PT"/>
        </w:rPr>
      </w:pPr>
      <w:r w:rsidRPr="00D662F3">
        <w:rPr>
          <w:lang w:val="pt-PT"/>
        </w:rPr>
        <w:t>Vist</w:t>
      </w:r>
      <w:r>
        <w:rPr>
          <w:lang w:val="pt-PT"/>
        </w:rPr>
        <w:t>o o enquadramento legislativo, interpretações e jurisprudência, verificamos que</w:t>
      </w:r>
      <w:r w:rsidR="00F62361">
        <w:rPr>
          <w:lang w:val="pt-PT"/>
        </w:rPr>
        <w:t>,</w:t>
      </w:r>
      <w:r>
        <w:rPr>
          <w:lang w:val="pt-PT"/>
        </w:rPr>
        <w:t xml:space="preserve"> em teoria, é possível legalmente, aplicar a medida de isolamento</w:t>
      </w:r>
      <w:r w:rsidR="00EC4262">
        <w:rPr>
          <w:lang w:val="pt-PT"/>
        </w:rPr>
        <w:t>/tratamento</w:t>
      </w:r>
      <w:r>
        <w:rPr>
          <w:lang w:val="pt-PT"/>
        </w:rPr>
        <w:t xml:space="preserve"> preventivo pelo período de tempo estritamente necessário, perante riscos graves e incertos mas potencialmente graves</w:t>
      </w:r>
      <w:r w:rsidR="00F62361">
        <w:rPr>
          <w:lang w:val="pt-PT"/>
        </w:rPr>
        <w:t>,</w:t>
      </w:r>
      <w:r>
        <w:rPr>
          <w:lang w:val="pt-PT"/>
        </w:rPr>
        <w:t xml:space="preserve"> em situações excecionais.</w:t>
      </w:r>
      <w:r w:rsidR="0018516F" w:rsidRPr="0018516F">
        <w:rPr>
          <w:lang w:val="pt-PT"/>
        </w:rPr>
        <w:t xml:space="preserve"> </w:t>
      </w:r>
      <w:r w:rsidR="0018516F">
        <w:rPr>
          <w:lang w:val="pt-PT"/>
        </w:rPr>
        <w:t>Importa referir que o ordenamento jurídico parece ser mais evidente perante casos de doença diagnosticada do que em relação a contactos de casos de doença contagiosa ou que permaneceram em zonas de transmissão da doença e que poderão vir a adoecer</w:t>
      </w:r>
      <w:commentRangeStart w:id="3"/>
      <w:commentRangeEnd w:id="3"/>
      <w:r w:rsidR="00EC4262">
        <w:rPr>
          <w:lang w:val="pt-PT"/>
        </w:rPr>
        <w:t xml:space="preserve"> e </w:t>
      </w:r>
      <w:r w:rsidR="00C822FC">
        <w:rPr>
          <w:lang w:val="pt-PT"/>
        </w:rPr>
        <w:t>infetar</w:t>
      </w:r>
      <w:r w:rsidR="00EC4262">
        <w:rPr>
          <w:lang w:val="pt-PT"/>
        </w:rPr>
        <w:t xml:space="preserve"> outros</w:t>
      </w:r>
      <w:r w:rsidR="0018516F">
        <w:rPr>
          <w:lang w:val="pt-PT"/>
        </w:rPr>
        <w:t>. Assim, considerar a dimensão do risco será sempre fundamental</w:t>
      </w:r>
      <w:r w:rsidR="00C822FC">
        <w:rPr>
          <w:lang w:val="pt-PT"/>
        </w:rPr>
        <w:t xml:space="preserve"> para a tomada de decisão</w:t>
      </w:r>
      <w:r w:rsidR="0018516F">
        <w:rPr>
          <w:lang w:val="pt-PT"/>
        </w:rPr>
        <w:t>.</w:t>
      </w:r>
    </w:p>
    <w:p w14:paraId="0168FA07" w14:textId="7FA16217" w:rsidR="000C054A" w:rsidRPr="000C054A" w:rsidRDefault="004171B8" w:rsidP="000C054A">
      <w:pPr>
        <w:rPr>
          <w:lang w:val="pt-PT"/>
        </w:rPr>
      </w:pPr>
      <w:r>
        <w:rPr>
          <w:lang w:val="pt-PT"/>
        </w:rPr>
        <w:t>A</w:t>
      </w:r>
      <w:r w:rsidR="001F4868">
        <w:rPr>
          <w:lang w:val="pt-PT"/>
        </w:rPr>
        <w:t xml:space="preserve"> Organização Mundial da Saúde,</w:t>
      </w:r>
      <w:r w:rsidR="007A506F">
        <w:rPr>
          <w:lang w:val="pt-PT"/>
        </w:rPr>
        <w:t xml:space="preserve"> </w:t>
      </w:r>
      <w:r w:rsidR="001F4868">
        <w:rPr>
          <w:lang w:val="pt-PT"/>
        </w:rPr>
        <w:t xml:space="preserve">na </w:t>
      </w:r>
      <w:r w:rsidR="00431CC8">
        <w:rPr>
          <w:lang w:val="pt-PT"/>
        </w:rPr>
        <w:t xml:space="preserve">sua </w:t>
      </w:r>
      <w:r w:rsidR="001F4868">
        <w:rPr>
          <w:lang w:val="pt-PT"/>
        </w:rPr>
        <w:t>Checklist para Pandemias Respiratórias de 2005</w:t>
      </w:r>
      <w:r w:rsidR="00431CC8"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{"citationItems":[{"id":"ITEM-1","itemData":{"container-title":"WHO","id":"ITEM-1","issued":{"date-parts":[["2015"]]},"publisher":"World Health Organization","title":"WHO | WHO checklist for influenza pandemic preparedness planning","type":"article-journal"},"uris":["http://www.mendeley.com/documents/?uuid=833f4d21-fbe1-39cc-8ff3-9a86a24aa16e"]}],"mendeley":{"formattedCitation":"&lt;sup&gt;13&lt;/sup&gt;","plainTextFormattedCitation":"13","previouslyFormattedCitation":"&lt;sup&gt;13&lt;/sup&gt;"},"properties":{"noteIndex":0},"schema":"https://github.com/citation-style-language/schema/raw/master/csl-citation.json"}</w:instrText>
      </w:r>
      <w:r w:rsidR="00431CC8"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13</w:t>
      </w:r>
      <w:r w:rsidR="00431CC8">
        <w:rPr>
          <w:lang w:val="pt-PT"/>
        </w:rPr>
        <w:fldChar w:fldCharType="end"/>
      </w:r>
      <w:r w:rsidR="00431CC8">
        <w:rPr>
          <w:lang w:val="pt-PT"/>
        </w:rPr>
        <w:t>,</w:t>
      </w:r>
      <w:r w:rsidR="001F4868">
        <w:rPr>
          <w:lang w:val="pt-PT"/>
        </w:rPr>
        <w:t xml:space="preserve"> </w:t>
      </w:r>
      <w:r w:rsidR="001F4868" w:rsidRPr="00463378">
        <w:rPr>
          <w:lang w:val="pt-PT"/>
        </w:rPr>
        <w:t>recomenda que os países identifi</w:t>
      </w:r>
      <w:r w:rsidR="00D54E16">
        <w:rPr>
          <w:lang w:val="pt-PT"/>
        </w:rPr>
        <w:t>quem</w:t>
      </w:r>
      <w:r w:rsidR="001F4868" w:rsidRPr="00463378">
        <w:rPr>
          <w:lang w:val="pt-PT"/>
        </w:rPr>
        <w:t xml:space="preserve"> bases legais</w:t>
      </w:r>
      <w:r w:rsidR="007A506F">
        <w:rPr>
          <w:lang w:val="pt-PT"/>
        </w:rPr>
        <w:t xml:space="preserve"> </w:t>
      </w:r>
      <w:r w:rsidR="00D52C15">
        <w:rPr>
          <w:lang w:val="pt-PT"/>
        </w:rPr>
        <w:t>e operaci</w:t>
      </w:r>
      <w:r w:rsidR="00431CC8">
        <w:rPr>
          <w:lang w:val="pt-PT"/>
        </w:rPr>
        <w:t>o</w:t>
      </w:r>
      <w:r w:rsidR="00D52C15">
        <w:rPr>
          <w:lang w:val="pt-PT"/>
        </w:rPr>
        <w:t>nais</w:t>
      </w:r>
      <w:r w:rsidR="00431CC8">
        <w:rPr>
          <w:lang w:val="pt-PT"/>
        </w:rPr>
        <w:t xml:space="preserve"> que sustent</w:t>
      </w:r>
      <w:r w:rsidR="00440929">
        <w:rPr>
          <w:lang w:val="pt-PT"/>
        </w:rPr>
        <w:t>e</w:t>
      </w:r>
      <w:r w:rsidR="00431CC8">
        <w:rPr>
          <w:lang w:val="pt-PT"/>
        </w:rPr>
        <w:t>m</w:t>
      </w:r>
      <w:r w:rsidR="001F4868" w:rsidRPr="00463378">
        <w:rPr>
          <w:lang w:val="pt-PT"/>
        </w:rPr>
        <w:t xml:space="preserve"> </w:t>
      </w:r>
      <w:r w:rsidR="001F4868">
        <w:rPr>
          <w:lang w:val="pt-PT"/>
        </w:rPr>
        <w:t>medidas</w:t>
      </w:r>
      <w:r w:rsidR="00440929">
        <w:rPr>
          <w:lang w:val="pt-PT"/>
        </w:rPr>
        <w:t xml:space="preserve"> </w:t>
      </w:r>
      <w:r w:rsidR="001F4868">
        <w:rPr>
          <w:lang w:val="pt-PT"/>
        </w:rPr>
        <w:t xml:space="preserve">necessárias </w:t>
      </w:r>
      <w:r w:rsidR="007A506F">
        <w:rPr>
          <w:lang w:val="pt-PT"/>
        </w:rPr>
        <w:t xml:space="preserve">em Pandemias </w:t>
      </w:r>
      <w:r w:rsidR="00431CC8">
        <w:rPr>
          <w:lang w:val="pt-PT"/>
        </w:rPr>
        <w:t xml:space="preserve">- </w:t>
      </w:r>
      <w:r w:rsidR="001F4868">
        <w:rPr>
          <w:lang w:val="pt-PT"/>
        </w:rPr>
        <w:t>incluindo medidas de isolamento/quarentena.</w:t>
      </w:r>
      <w:r w:rsidR="00C20D07">
        <w:rPr>
          <w:lang w:val="pt-PT"/>
        </w:rPr>
        <w:t xml:space="preserve"> </w:t>
      </w:r>
      <w:r w:rsidR="001F4868"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{"citationItems":[{"id":"ITEM-1","itemData":{"container-title":"WHO","id":"ITEM-1","issued":{"date-parts":[["2015"]]},"publisher":"World Health Organization","title":"WHO | WHO checklist for influenza pandemic preparedness planning","type":"article-journal"},"uris":["http://www.mendeley.com/documents/?uuid=833f4d21-fbe1-39cc-8ff3-9a86a24aa16e"]}],"mendeley":{"formattedCitation":"&lt;sup&gt;13&lt;/sup&gt;","plainTextFormattedCitation":"13","previouslyFormattedCitation":"&lt;sup&gt;13&lt;/sup&gt;"},"properties":{"noteIndex":0},"schema":"https://github.com/citation-style-language/schema/raw/master/csl-citation.json"}</w:instrText>
      </w:r>
      <w:r w:rsidR="001F4868"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13</w:t>
      </w:r>
      <w:r w:rsidR="001F4868">
        <w:rPr>
          <w:lang w:val="pt-PT"/>
        </w:rPr>
        <w:fldChar w:fldCharType="end"/>
      </w:r>
      <w:r w:rsidR="00C20D07" w:rsidRPr="000C054A">
        <w:rPr>
          <w:lang w:val="pt-PT"/>
        </w:rPr>
        <w:t xml:space="preserve"> </w:t>
      </w:r>
      <w:r w:rsidR="00C61937">
        <w:rPr>
          <w:lang w:val="pt-PT"/>
        </w:rPr>
        <w:t xml:space="preserve"> Em</w:t>
      </w:r>
      <w:r w:rsidR="00440929">
        <w:rPr>
          <w:lang w:val="pt-PT"/>
        </w:rPr>
        <w:t xml:space="preserve"> </w:t>
      </w:r>
      <w:r w:rsidR="00C20D07" w:rsidRPr="000C054A">
        <w:rPr>
          <w:lang w:val="pt-PT"/>
        </w:rPr>
        <w:t xml:space="preserve">relação ao </w:t>
      </w:r>
      <w:r w:rsidR="005B531C">
        <w:rPr>
          <w:lang w:val="pt-PT"/>
        </w:rPr>
        <w:t>N</w:t>
      </w:r>
      <w:r w:rsidR="000C054A" w:rsidRPr="000C054A">
        <w:rPr>
          <w:lang w:val="pt-PT"/>
        </w:rPr>
        <w:t xml:space="preserve">ovo </w:t>
      </w:r>
      <w:r w:rsidR="00431CC8" w:rsidRPr="000C054A">
        <w:rPr>
          <w:lang w:val="pt-PT"/>
        </w:rPr>
        <w:t>Coronav</w:t>
      </w:r>
      <w:r w:rsidR="00431CC8">
        <w:rPr>
          <w:lang w:val="pt-PT"/>
        </w:rPr>
        <w:t>í</w:t>
      </w:r>
      <w:r w:rsidR="00431CC8" w:rsidRPr="000C054A">
        <w:rPr>
          <w:lang w:val="pt-PT"/>
        </w:rPr>
        <w:t>rus</w:t>
      </w:r>
      <w:r w:rsidR="003E7002">
        <w:rPr>
          <w:lang w:val="pt-PT"/>
        </w:rPr>
        <w:t>, o</w:t>
      </w:r>
      <w:r w:rsidR="00216832">
        <w:rPr>
          <w:lang w:val="pt-PT"/>
        </w:rPr>
        <w:t xml:space="preserve"> </w:t>
      </w:r>
      <w:r w:rsidR="000C054A" w:rsidRPr="000C054A">
        <w:rPr>
          <w:lang w:val="pt-PT"/>
        </w:rPr>
        <w:t xml:space="preserve">Plano Estratégico de Preparação </w:t>
      </w:r>
      <w:r w:rsidR="003E7002">
        <w:rPr>
          <w:lang w:val="pt-PT"/>
        </w:rPr>
        <w:t xml:space="preserve">da OMS </w:t>
      </w:r>
      <w:r w:rsidR="000C054A" w:rsidRPr="000C054A">
        <w:rPr>
          <w:lang w:val="pt-PT"/>
        </w:rPr>
        <w:t xml:space="preserve">refere que </w:t>
      </w:r>
      <w:r w:rsidR="000C054A">
        <w:rPr>
          <w:lang w:val="pt-PT"/>
        </w:rPr>
        <w:t>“</w:t>
      </w:r>
      <w:r w:rsidR="000C054A" w:rsidRPr="000C054A">
        <w:rPr>
          <w:lang w:val="pt-PT"/>
        </w:rPr>
        <w:t>em circunstâncias específicas,</w:t>
      </w:r>
      <w:r w:rsidR="000C054A">
        <w:rPr>
          <w:lang w:val="pt-PT"/>
        </w:rPr>
        <w:t xml:space="preserve"> como</w:t>
      </w:r>
      <w:r w:rsidR="000C054A" w:rsidRPr="000C054A">
        <w:rPr>
          <w:lang w:val="pt-PT"/>
        </w:rPr>
        <w:t xml:space="preserve"> </w:t>
      </w:r>
      <w:r w:rsidR="00431CC8">
        <w:rPr>
          <w:lang w:val="pt-PT"/>
        </w:rPr>
        <w:t xml:space="preserve">naquelas em que há </w:t>
      </w:r>
      <w:r w:rsidR="000C054A" w:rsidRPr="000C054A">
        <w:rPr>
          <w:lang w:val="pt-PT"/>
        </w:rPr>
        <w:t xml:space="preserve">incerteza sobre a gravidade </w:t>
      </w:r>
      <w:r w:rsidR="00431CC8" w:rsidRPr="000C054A">
        <w:rPr>
          <w:lang w:val="pt-PT"/>
        </w:rPr>
        <w:t xml:space="preserve">e transmissibilidade </w:t>
      </w:r>
      <w:r w:rsidR="000C054A" w:rsidRPr="000C054A">
        <w:rPr>
          <w:lang w:val="pt-PT"/>
        </w:rPr>
        <w:t>de uma doença, medidas que restringem o movimento de pessoas podem ser úteis no início de um surt</w:t>
      </w:r>
      <w:r w:rsidR="000C054A">
        <w:rPr>
          <w:lang w:val="pt-PT"/>
        </w:rPr>
        <w:t>o pandémico,</w:t>
      </w:r>
      <w:r w:rsidR="000C054A" w:rsidRPr="000C054A">
        <w:rPr>
          <w:lang w:val="pt-PT"/>
        </w:rPr>
        <w:t xml:space="preserve"> permiti</w:t>
      </w:r>
      <w:r w:rsidR="000C054A">
        <w:rPr>
          <w:lang w:val="pt-PT"/>
        </w:rPr>
        <w:t>ndo</w:t>
      </w:r>
      <w:r w:rsidR="000C054A" w:rsidRPr="000C054A">
        <w:rPr>
          <w:lang w:val="pt-PT"/>
        </w:rPr>
        <w:t xml:space="preserve"> tempo para </w:t>
      </w:r>
      <w:r w:rsidR="000C054A">
        <w:rPr>
          <w:lang w:val="pt-PT"/>
        </w:rPr>
        <w:t>preparação de respostas.”</w:t>
      </w:r>
      <w:r w:rsidR="000C054A"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{"citationItems":[{"id":"ITEM-1","itemData":{"author":[{"dropping-particle":"","family":"WHO - World Health Organization","given":"","non-dropping-particle":"","parse-names":false,"suffix":""}],"id":"ITEM-1","issued":{"date-parts":[["0"]]},"title":"2019 Novel Coronavirus (2019-nCoV): Strategic Preparedness and Response Plan","type":"report"},"uris":["http://www.mendeley.com/documents/?uuid=ef44c833-6795-36d7-ad86-90e57c4c5698"]}],"mendeley":{"formattedCitation":"&lt;sup&gt;14&lt;/sup&gt;","plainTextFormattedCitation":"14","previouslyFormattedCitation":"&lt;sup&gt;14&lt;/sup&gt;"},"properties":{"noteIndex":0},"schema":"https://github.com/citation-style-language/schema/raw/master/csl-citation.json"}</w:instrText>
      </w:r>
      <w:r w:rsidR="000C054A"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14</w:t>
      </w:r>
      <w:r w:rsidR="000C054A">
        <w:rPr>
          <w:lang w:val="pt-PT"/>
        </w:rPr>
        <w:fldChar w:fldCharType="end"/>
      </w:r>
      <w:r>
        <w:rPr>
          <w:lang w:val="pt-PT"/>
        </w:rPr>
        <w:t xml:space="preserve"> Adicionalmente o</w:t>
      </w:r>
      <w:r w:rsidR="00836DED">
        <w:rPr>
          <w:lang w:val="pt-PT"/>
        </w:rPr>
        <w:t xml:space="preserve"> Centro Europeu de Controlo da Doenças</w:t>
      </w:r>
      <w:r>
        <w:rPr>
          <w:lang w:val="pt-PT"/>
        </w:rPr>
        <w:t xml:space="preserve"> </w:t>
      </w:r>
      <w:r w:rsidR="00C61937">
        <w:rPr>
          <w:lang w:val="pt-PT"/>
        </w:rPr>
        <w:t>(</w:t>
      </w:r>
      <w:r>
        <w:rPr>
          <w:lang w:val="pt-PT"/>
        </w:rPr>
        <w:t>ECDC</w:t>
      </w:r>
      <w:r w:rsidR="00C61937">
        <w:rPr>
          <w:lang w:val="pt-PT"/>
        </w:rPr>
        <w:t>)</w:t>
      </w:r>
      <w:r w:rsidR="005A0D49">
        <w:rPr>
          <w:lang w:val="pt-PT"/>
        </w:rPr>
        <w:t xml:space="preserve"> também prevê</w:t>
      </w:r>
      <w:r w:rsidR="00431CC8">
        <w:rPr>
          <w:lang w:val="pt-PT"/>
        </w:rPr>
        <w:t>,</w:t>
      </w:r>
      <w:r w:rsidR="005A0D49">
        <w:rPr>
          <w:lang w:val="pt-PT"/>
        </w:rPr>
        <w:t xml:space="preserve"> nas competências nucleares </w:t>
      </w:r>
      <w:r w:rsidR="00EC4262">
        <w:rPr>
          <w:lang w:val="pt-PT"/>
        </w:rPr>
        <w:t>d</w:t>
      </w:r>
      <w:r w:rsidR="005A0D49">
        <w:rPr>
          <w:lang w:val="pt-PT"/>
        </w:rPr>
        <w:t>os Estados</w:t>
      </w:r>
      <w:r w:rsidR="009B5336">
        <w:rPr>
          <w:lang w:val="pt-PT"/>
        </w:rPr>
        <w:t>-</w:t>
      </w:r>
      <w:r w:rsidR="005A0D49">
        <w:rPr>
          <w:lang w:val="pt-PT"/>
        </w:rPr>
        <w:t>Membro</w:t>
      </w:r>
      <w:r w:rsidR="00EC4262">
        <w:rPr>
          <w:lang w:val="pt-PT"/>
        </w:rPr>
        <w:t xml:space="preserve"> perante emergências</w:t>
      </w:r>
      <w:r w:rsidR="005A0D49">
        <w:rPr>
          <w:lang w:val="pt-PT"/>
        </w:rPr>
        <w:t xml:space="preserve">, a necessidade de </w:t>
      </w:r>
      <w:r w:rsidR="00270F16">
        <w:rPr>
          <w:lang w:val="pt-PT"/>
        </w:rPr>
        <w:t xml:space="preserve">existirem </w:t>
      </w:r>
      <w:r w:rsidR="009B5336">
        <w:rPr>
          <w:lang w:val="pt-PT"/>
        </w:rPr>
        <w:t xml:space="preserve"> </w:t>
      </w:r>
      <w:r w:rsidR="005A0D49">
        <w:rPr>
          <w:lang w:val="pt-PT"/>
        </w:rPr>
        <w:t>políticas e normas suficientemente ágeis para evitar a disseminação de doença</w:t>
      </w:r>
      <w:r w:rsidR="00C61937">
        <w:rPr>
          <w:lang w:val="pt-PT"/>
        </w:rPr>
        <w:t>s</w:t>
      </w:r>
      <w:r w:rsidR="005A0D49">
        <w:rPr>
          <w:lang w:val="pt-PT"/>
        </w:rPr>
        <w:t xml:space="preserve"> transmissíve</w:t>
      </w:r>
      <w:r w:rsidR="00C61937">
        <w:rPr>
          <w:lang w:val="pt-PT"/>
        </w:rPr>
        <w:t>is</w:t>
      </w:r>
      <w:r w:rsidR="005A0D49">
        <w:rPr>
          <w:lang w:val="pt-PT"/>
        </w:rPr>
        <w:t>.</w:t>
      </w:r>
      <w:r w:rsidR="00E53AFA"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URL":"https://www.ecdc.europa.eu/en/publications-data/public-health-emergency-preparedness-core-competencies-eu-member-states","accessed":{"date-parts":[["2020","2","6"]]},"id":"ITEM-1","issued":{"date-parts":[["0"]]},"title":"European Centre for Disease Prevention and Control. Public health emergency preparedness – Core competencies for EU Member States. Stockholm: ECDC; 2017.","type":"webpage"},"uris":["http://www.mendeley.com/documents/?uuid=1fc202d7-cbd9-3b38-8e06-166221d1c2d3"]}],"mendeley":{"formattedCitation":"&lt;sup&gt;15&lt;/sup&gt;","plainTextFormattedCitation":"15","previouslyFormattedCitation":"&lt;sup&gt;15&lt;/sup&gt;"},"properties":{"noteIndex":0},"schema":"https://github.com/citation-style-language/schema/raw/master/csl-citation.json"}</w:instrText>
      </w:r>
      <w:r w:rsidR="00E53AFA"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15</w:t>
      </w:r>
      <w:r w:rsidR="00E53AFA">
        <w:rPr>
          <w:lang w:val="pt-PT"/>
        </w:rPr>
        <w:fldChar w:fldCharType="end"/>
      </w:r>
    </w:p>
    <w:p w14:paraId="7F35A381" w14:textId="0E04C59D" w:rsidR="00D01595" w:rsidRDefault="004171B8" w:rsidP="00F650FE">
      <w:pPr>
        <w:rPr>
          <w:lang w:val="pt-PT"/>
        </w:rPr>
      </w:pPr>
      <w:r>
        <w:rPr>
          <w:lang w:val="pt-PT"/>
        </w:rPr>
        <w:lastRenderedPageBreak/>
        <w:t>S</w:t>
      </w:r>
      <w:r w:rsidR="000653DE">
        <w:rPr>
          <w:lang w:val="pt-PT"/>
        </w:rPr>
        <w:t>empre que exista um risco potencialmente elevado</w:t>
      </w:r>
      <w:r w:rsidR="00431CC8">
        <w:rPr>
          <w:lang w:val="pt-PT"/>
        </w:rPr>
        <w:t>,</w:t>
      </w:r>
      <w:r w:rsidR="000653DE">
        <w:rPr>
          <w:lang w:val="pt-PT"/>
        </w:rPr>
        <w:t xml:space="preserve"> </w:t>
      </w:r>
      <w:r w:rsidR="00431CC8">
        <w:rPr>
          <w:lang w:val="pt-PT"/>
        </w:rPr>
        <w:t>suportado p</w:t>
      </w:r>
      <w:r w:rsidR="00C61937">
        <w:rPr>
          <w:lang w:val="pt-PT"/>
        </w:rPr>
        <w:t>ela</w:t>
      </w:r>
      <w:r w:rsidR="00431CC8">
        <w:rPr>
          <w:lang w:val="pt-PT"/>
        </w:rPr>
        <w:t xml:space="preserve"> </w:t>
      </w:r>
      <w:r w:rsidR="000653DE">
        <w:rPr>
          <w:lang w:val="pt-PT"/>
        </w:rPr>
        <w:t>evid</w:t>
      </w:r>
      <w:r w:rsidR="00AB064F">
        <w:rPr>
          <w:lang w:val="pt-PT"/>
        </w:rPr>
        <w:t>ê</w:t>
      </w:r>
      <w:r w:rsidR="000653DE">
        <w:rPr>
          <w:lang w:val="pt-PT"/>
        </w:rPr>
        <w:t>ncia</w:t>
      </w:r>
      <w:r w:rsidR="00431CC8">
        <w:rPr>
          <w:lang w:val="pt-PT"/>
        </w:rPr>
        <w:t xml:space="preserve"> científica</w:t>
      </w:r>
      <w:r w:rsidR="00F92ED7">
        <w:rPr>
          <w:lang w:val="pt-PT"/>
        </w:rPr>
        <w:t xml:space="preserve"> </w:t>
      </w:r>
      <w:r w:rsidR="00C61937">
        <w:rPr>
          <w:lang w:val="pt-PT"/>
        </w:rPr>
        <w:t>ou</w:t>
      </w:r>
      <w:r w:rsidR="000653DE">
        <w:rPr>
          <w:lang w:val="pt-PT"/>
        </w:rPr>
        <w:t xml:space="preserve"> </w:t>
      </w:r>
      <w:r w:rsidR="003E7002">
        <w:rPr>
          <w:lang w:val="pt-PT"/>
        </w:rPr>
        <w:t>majorado</w:t>
      </w:r>
      <w:r w:rsidR="000653DE">
        <w:rPr>
          <w:lang w:val="pt-PT"/>
        </w:rPr>
        <w:t xml:space="preserve"> </w:t>
      </w:r>
      <w:r w:rsidR="003E7002">
        <w:rPr>
          <w:lang w:val="pt-PT"/>
        </w:rPr>
        <w:t xml:space="preserve">por </w:t>
      </w:r>
      <w:r w:rsidR="00826711">
        <w:rPr>
          <w:lang w:val="pt-PT"/>
        </w:rPr>
        <w:t>algum</w:t>
      </w:r>
      <w:r w:rsidR="003E7002">
        <w:rPr>
          <w:lang w:val="pt-PT"/>
        </w:rPr>
        <w:t xml:space="preserve"> grau de</w:t>
      </w:r>
      <w:r w:rsidR="00826711">
        <w:rPr>
          <w:lang w:val="pt-PT"/>
        </w:rPr>
        <w:t xml:space="preserve"> </w:t>
      </w:r>
      <w:r w:rsidR="000653DE">
        <w:rPr>
          <w:lang w:val="pt-PT"/>
        </w:rPr>
        <w:t>incerteza</w:t>
      </w:r>
      <w:r>
        <w:rPr>
          <w:lang w:val="pt-PT"/>
        </w:rPr>
        <w:t xml:space="preserve"> </w:t>
      </w:r>
      <w:r w:rsidR="00826711">
        <w:rPr>
          <w:lang w:val="pt-PT"/>
        </w:rPr>
        <w:t xml:space="preserve">(como no caso de uma nova </w:t>
      </w:r>
      <w:r>
        <w:rPr>
          <w:lang w:val="pt-PT"/>
        </w:rPr>
        <w:t>doença</w:t>
      </w:r>
      <w:r w:rsidR="00826711">
        <w:rPr>
          <w:lang w:val="pt-PT"/>
        </w:rPr>
        <w:t>)</w:t>
      </w:r>
      <w:r w:rsidR="000653DE">
        <w:rPr>
          <w:lang w:val="pt-PT"/>
        </w:rPr>
        <w:t>, podem as autoridades de saúde</w:t>
      </w:r>
      <w:r w:rsidR="00F92ED7">
        <w:rPr>
          <w:lang w:val="pt-PT"/>
        </w:rPr>
        <w:t xml:space="preserve"> </w:t>
      </w:r>
      <w:r w:rsidR="003C10E8">
        <w:rPr>
          <w:lang w:val="pt-PT"/>
        </w:rPr>
        <w:t>demonstrar</w:t>
      </w:r>
      <w:r w:rsidR="00183E85">
        <w:rPr>
          <w:lang w:val="pt-PT"/>
        </w:rPr>
        <w:t xml:space="preserve"> </w:t>
      </w:r>
      <w:r w:rsidR="00C61937">
        <w:rPr>
          <w:lang w:val="pt-PT"/>
        </w:rPr>
        <w:t>esses</w:t>
      </w:r>
      <w:r w:rsidR="00183E85">
        <w:rPr>
          <w:lang w:val="pt-PT"/>
        </w:rPr>
        <w:t xml:space="preserve"> riscos de modo a “</w:t>
      </w:r>
      <w:r w:rsidR="007046C7" w:rsidRPr="007046C7">
        <w:rPr>
          <w:lang w:val="pt-PT"/>
        </w:rPr>
        <w:t>Desencadear</w:t>
      </w:r>
      <w:r w:rsidR="00AB064F">
        <w:rPr>
          <w:lang w:val="pt-PT"/>
        </w:rPr>
        <w:t xml:space="preserve"> (…) </w:t>
      </w:r>
      <w:r w:rsidR="007046C7" w:rsidRPr="007046C7">
        <w:rPr>
          <w:lang w:val="pt-PT"/>
        </w:rPr>
        <w:t>o internamento ou a prestação compulsiva de cuidados de saúde a indivíduos em situação de prejudicarem a saúde pública</w:t>
      </w:r>
      <w:r w:rsidR="007046C7">
        <w:rPr>
          <w:lang w:val="pt-PT"/>
        </w:rPr>
        <w:t xml:space="preserve">” de acordo com a nova </w:t>
      </w:r>
      <w:r w:rsidR="00836DED">
        <w:rPr>
          <w:lang w:val="pt-PT"/>
        </w:rPr>
        <w:t>L</w:t>
      </w:r>
      <w:r w:rsidR="007046C7">
        <w:rPr>
          <w:lang w:val="pt-PT"/>
        </w:rPr>
        <w:t xml:space="preserve">ei de </w:t>
      </w:r>
      <w:r w:rsidR="00836DED">
        <w:rPr>
          <w:lang w:val="pt-PT"/>
        </w:rPr>
        <w:t>B</w:t>
      </w:r>
      <w:r w:rsidR="007046C7">
        <w:rPr>
          <w:lang w:val="pt-PT"/>
        </w:rPr>
        <w:t xml:space="preserve">ases da Saúde </w:t>
      </w:r>
      <w:r w:rsidR="007046C7"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{"citationItems":[{"id":"ITEM-1","itemData":{"URL":"https://dre.pt/home/-/dre/124417108/details/maximized","accessed":{"date-parts":[["2019","11","14"]]},"author":[{"dropping-particle":"","family":"Assembleia da República Portuguesa","given":"","non-dropping-particle":"","parse-names":false,"suffix":""}],"container-title":"Diário da República n.º 169/2019, Série I de 2019-09-04","id":"ITEM-1","issued":{"date-parts":[["2019"]]},"title":"Lei 95/2019-Aprova a Lei de Bases da Saúde e revoga a Lei n.º 48/90, de 24 de agosto, e o Decreto-Lei n.º 185/2002, de 20 de agosto","type":"webpage"},"uris":["http://www.mendeley.com/documents/?uuid=b823a31f-041b-3633-9a7e-4e2822a2f98e"]}],"mendeley":{"formattedCitation":"&lt;sup&gt;6&lt;/sup&gt;","plainTextFormattedCitation":"6","previouslyFormattedCitation":"&lt;sup&gt;6&lt;/sup&gt;"},"properties":{"noteIndex":0},"schema":"https://github.com/citation-style-language/schema/raw/master/csl-citation.json"}</w:instrText>
      </w:r>
      <w:r w:rsidR="007046C7"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6</w:t>
      </w:r>
      <w:r w:rsidR="007046C7">
        <w:rPr>
          <w:lang w:val="pt-PT"/>
        </w:rPr>
        <w:fldChar w:fldCharType="end"/>
      </w:r>
      <w:r w:rsidR="007046C7">
        <w:rPr>
          <w:lang w:val="pt-PT"/>
        </w:rPr>
        <w:t xml:space="preserve"> e </w:t>
      </w:r>
      <w:r w:rsidR="00F92ED7">
        <w:rPr>
          <w:lang w:val="pt-PT"/>
        </w:rPr>
        <w:t xml:space="preserve">com </w:t>
      </w:r>
      <w:r w:rsidR="007046C7">
        <w:rPr>
          <w:lang w:val="pt-PT"/>
        </w:rPr>
        <w:t>o Decreto Lei</w:t>
      </w:r>
      <w:r w:rsidR="00836DED">
        <w:rPr>
          <w:lang w:val="pt-PT"/>
        </w:rPr>
        <w:t xml:space="preserve"> n.º 82/2009, de 2 de abril</w:t>
      </w:r>
      <w:r w:rsidR="009B5336">
        <w:rPr>
          <w:lang w:val="pt-PT"/>
        </w:rPr>
        <w:t>,</w:t>
      </w:r>
      <w:r w:rsidR="00836DED">
        <w:rPr>
          <w:lang w:val="pt-PT"/>
        </w:rPr>
        <w:t xml:space="preserve"> </w:t>
      </w:r>
      <w:r w:rsidR="007046C7"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{"citationItems":[{"id":"ITEM-1","itemData":{"URL":"https://dre.pt/pesquisa/-/search/500190/details/maximized","accessed":{"date-parts":[["2019","2","15"]]},"author":[{"dropping-particle":"","family":"Ministério da Saúde","given":"","non-dropping-particle":"","parse-names":false,"suffix":""}],"id":"ITEM-1","issued":{"date-parts":[["0"]]},"title":"Decreto-Lei 135/2013, 2013-10-04 - DRE - Procede à primeira alteração ao Decreto-Lei n.º 82/2009, de 2 de abril, que estabelece as regras de designação, competência e funcionamento das entidades que exercem o poder de autoridade de saúde","type":"webpage"},"uris":["http://www.mendeley.com/documents/?uuid=a5002aa6-6315-3675-86b9-35b197745e27"]}],"mendeley":{"formattedCitation":"&lt;sup&gt;8&lt;/sup&gt;","plainTextFormattedCitation":"8","previouslyFormattedCitation":"&lt;sup&gt;8&lt;/sup&gt;"},"properties":{"noteIndex":0},"schema":"https://github.com/citation-style-language/schema/raw/master/csl-citation.json"}</w:instrText>
      </w:r>
      <w:r w:rsidR="007046C7"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8</w:t>
      </w:r>
      <w:r w:rsidR="007046C7">
        <w:rPr>
          <w:lang w:val="pt-PT"/>
        </w:rPr>
        <w:fldChar w:fldCharType="end"/>
      </w:r>
      <w:r w:rsidR="007046C7">
        <w:rPr>
          <w:lang w:val="pt-PT"/>
        </w:rPr>
        <w:t xml:space="preserve"> que regulamenta a sua </w:t>
      </w:r>
      <w:r w:rsidR="00826711">
        <w:rPr>
          <w:lang w:val="pt-PT"/>
        </w:rPr>
        <w:t>atividade, suportado pela possibilidade constitucional</w:t>
      </w:r>
      <w:r w:rsidR="00D54E16"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{"citationItems":[{"id":"ITEM-1","itemData":{"id":"ITEM-1","issued":{"date-parts":[["0"]]},"title":"ASSEMBLEIA CONSTITUINTE (1976), Constituição da República Portuguesa – V Revisão Constitucional. Versão online no site: http://www.parlamento.pt/const_leg/crp_port/index.html.","type":"article-journal"},"uris":["http://www.mendeley.com/documents/?uuid=fbd4d2dd-7ab5-3290-bcb7-22a9c302ddf6"]}],"mendeley":{"formattedCitation":"&lt;sup&gt;2&lt;/sup&gt;","plainTextFormattedCitation":"2","previouslyFormattedCitation":"&lt;sup&gt;2&lt;/sup&gt;"},"properties":{"noteIndex":0},"schema":"https://github.com/citation-style-language/schema/raw/master/csl-citation.json"}</w:instrText>
      </w:r>
      <w:r w:rsidR="00D54E16"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2</w:t>
      </w:r>
      <w:r w:rsidR="00D54E16">
        <w:rPr>
          <w:lang w:val="pt-PT"/>
        </w:rPr>
        <w:fldChar w:fldCharType="end"/>
      </w:r>
      <w:r w:rsidR="00826711">
        <w:rPr>
          <w:lang w:val="pt-PT"/>
        </w:rPr>
        <w:t xml:space="preserve"> de aplicar medidas de segurança</w:t>
      </w:r>
      <w:r w:rsidR="00AB064F">
        <w:rPr>
          <w:lang w:val="pt-PT"/>
        </w:rPr>
        <w:t xml:space="preserve"> e</w:t>
      </w:r>
      <w:r w:rsidR="00D54E16">
        <w:rPr>
          <w:lang w:val="pt-PT"/>
        </w:rPr>
        <w:t xml:space="preserve"> pela</w:t>
      </w:r>
      <w:r w:rsidR="00AB064F">
        <w:rPr>
          <w:lang w:val="pt-PT"/>
        </w:rPr>
        <w:t xml:space="preserve"> jurisprudência</w:t>
      </w:r>
      <w:r w:rsidR="00D54E16"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{"citationItems":[{"id":"ITEM-1","itemData":{"URL":"http://www.dgsi.pt/jtrp.nsf/c3fb530030ea1c61802568d9005cd5bb/c4c0347dfa5f1a2f80257103003c591b","accessed":{"date-parts":[["2019","2","18"]]},"author":[{"dropping-particle":"","family":"Tribunal Relação Porto","given":"","non-dropping-particle":"","parse-names":false,"suffix":""},{"dropping-particle":"","family":"São Pedro","given":"E et.al","non-dropping-particle":"","parse-names":false,"suffix":""}],"id":"ITEM-1","issued":{"date-parts":[["2005"]]},"title":"Acórdão do Tribunal da Relação do Porto - É legal o internamento compulsivo de quem, padecendo de tuberculose pulmonar, recusa tratar-se e deambula pelas vias públicas, podendo assim afectar outras pessoas.","type":"webpage"},"uris":["http://www.mendeley.com/documents/?uuid=f664c186-c65b-3b21-85c2-c25908d43246"]}],"mendeley":{"formattedCitation":"&lt;sup&gt;3&lt;/sup&gt;","plainTextFormattedCitation":"3","previouslyFormattedCitation":"&lt;sup&gt;3&lt;/sup&gt;"},"properties":{"noteIndex":0},"schema":"https://github.com/citation-style-language/schema/raw/master/csl-citation.json"}</w:instrText>
      </w:r>
      <w:r w:rsidR="00D54E16"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3</w:t>
      </w:r>
      <w:r w:rsidR="00D54E16">
        <w:rPr>
          <w:lang w:val="pt-PT"/>
        </w:rPr>
        <w:fldChar w:fldCharType="end"/>
      </w:r>
      <w:r w:rsidR="00D54E16">
        <w:rPr>
          <w:lang w:val="pt-PT"/>
        </w:rPr>
        <w:t xml:space="preserve"> </w:t>
      </w:r>
      <w:r w:rsidR="00D54E16">
        <w:rPr>
          <w:lang w:val="pt-PT"/>
        </w:rPr>
        <w:fldChar w:fldCharType="begin" w:fldLock="1"/>
      </w:r>
      <w:r w:rsidR="00AB6920">
        <w:rPr>
          <w:lang w:val="pt-PT"/>
        </w:rPr>
        <w:instrText>ADDIN CSL_CITATION {"citationItems":[{"id":"ITEM-1","itemData":{"author":[{"dropping-particle":"","family":"Tribunal da Relação do Porto","given":"","non-dropping-particle":"","parse-names":false,"suffix":""},{"dropping-particle":"al","family":"Marques Salgueiro","given":"José Henriques et","non-dropping-particle":"","parse-names":false,"suffix":""}],"id":"ITEM-1","issued":{"date-parts":[["2002"]]},"title":"Acórdão do Tribunal da Relação do Porto Impõe-se o internamento compulsivo, da competência do juiz e não da autoridade administrativa, do doente que sofre de tuberculose pulmonar e se recusa a tratar-se","type":"legal_case"},"uris":["http://www.mendeley.com/documents/?uuid=336c7a3e-31e9-3a2c-a20e-7c4563b0274b"]}],"mendeley":{"formattedCitation":"&lt;sup&gt;4&lt;/sup&gt;","plainTextFormattedCitation":"4","previouslyFormattedCitation":"&lt;sup&gt;4&lt;/sup&gt;"},"properties":{"noteIndex":0},"schema":"https://github.com/citation-style-language/schema/raw/master/csl-citation.json"}</w:instrText>
      </w:r>
      <w:r w:rsidR="00D54E16">
        <w:rPr>
          <w:lang w:val="pt-PT"/>
        </w:rPr>
        <w:fldChar w:fldCharType="separate"/>
      </w:r>
      <w:r w:rsidR="00AB6920" w:rsidRPr="00AB6920">
        <w:rPr>
          <w:noProof/>
          <w:vertAlign w:val="superscript"/>
          <w:lang w:val="pt-PT"/>
        </w:rPr>
        <w:t>4</w:t>
      </w:r>
      <w:r w:rsidR="00D54E16">
        <w:rPr>
          <w:lang w:val="pt-PT"/>
        </w:rPr>
        <w:fldChar w:fldCharType="end"/>
      </w:r>
      <w:r w:rsidR="00AB064F">
        <w:rPr>
          <w:lang w:val="pt-PT"/>
        </w:rPr>
        <w:t>.</w:t>
      </w:r>
      <w:r w:rsidR="00B556CF">
        <w:rPr>
          <w:lang w:val="pt-PT"/>
        </w:rPr>
        <w:t xml:space="preserve"> </w:t>
      </w:r>
    </w:p>
    <w:p w14:paraId="28C68FFD" w14:textId="7A903F81" w:rsidR="00F650FE" w:rsidRDefault="003E7002" w:rsidP="00F650FE">
      <w:pPr>
        <w:rPr>
          <w:lang w:val="pt-PT"/>
        </w:rPr>
      </w:pPr>
      <w:r>
        <w:rPr>
          <w:lang w:val="pt-PT"/>
        </w:rPr>
        <w:t>As questões da proporcionalidade</w:t>
      </w:r>
      <w:r w:rsidR="003B40F0">
        <w:rPr>
          <w:lang w:val="pt-PT"/>
        </w:rPr>
        <w:t xml:space="preserve"> entre riscos e medidas</w:t>
      </w:r>
      <w:r>
        <w:rPr>
          <w:lang w:val="pt-PT"/>
        </w:rPr>
        <w:t xml:space="preserve"> </w:t>
      </w:r>
      <w:r w:rsidR="00C61937">
        <w:rPr>
          <w:lang w:val="pt-PT"/>
        </w:rPr>
        <w:t>de saúde pública</w:t>
      </w:r>
      <w:r w:rsidR="00C822FC">
        <w:rPr>
          <w:lang w:val="pt-PT"/>
        </w:rPr>
        <w:t>,</w:t>
      </w:r>
      <w:r w:rsidR="00C61937">
        <w:rPr>
          <w:lang w:val="pt-PT"/>
        </w:rPr>
        <w:t xml:space="preserve"> </w:t>
      </w:r>
      <w:r>
        <w:rPr>
          <w:lang w:val="pt-PT"/>
        </w:rPr>
        <w:t xml:space="preserve">e do equilíbrio entre os Direitos, Liberdades e Garantias </w:t>
      </w:r>
      <w:r w:rsidR="00255F29">
        <w:rPr>
          <w:lang w:val="pt-PT"/>
        </w:rPr>
        <w:t>dos cidadãos e a defesa da Saúde</w:t>
      </w:r>
      <w:r w:rsidR="00F92ED7">
        <w:rPr>
          <w:lang w:val="pt-PT"/>
        </w:rPr>
        <w:t xml:space="preserve"> Pública</w:t>
      </w:r>
      <w:r w:rsidR="00255F29">
        <w:rPr>
          <w:lang w:val="pt-PT"/>
        </w:rPr>
        <w:t xml:space="preserve"> deverão sempre ser analisadas detalhadamente, evidenciando eventuais necessidades de revisão das normas existentes.</w:t>
      </w:r>
      <w:r w:rsidR="00F650FE" w:rsidRPr="00F650FE">
        <w:rPr>
          <w:lang w:val="pt-PT"/>
        </w:rPr>
        <w:t xml:space="preserve"> </w:t>
      </w:r>
      <w:r w:rsidR="00F650FE">
        <w:rPr>
          <w:lang w:val="pt-PT"/>
        </w:rPr>
        <w:t xml:space="preserve">Os processos que levem a eventuais restrições </w:t>
      </w:r>
      <w:r w:rsidR="003B40F0">
        <w:rPr>
          <w:lang w:val="pt-PT"/>
        </w:rPr>
        <w:t>devem ser</w:t>
      </w:r>
      <w:r w:rsidR="00F650FE">
        <w:rPr>
          <w:lang w:val="pt-PT"/>
        </w:rPr>
        <w:t xml:space="preserve"> regulamentados e agilizados, permitindo a sua implementação em tempo útil</w:t>
      </w:r>
      <w:r w:rsidR="00C822FC">
        <w:rPr>
          <w:lang w:val="pt-PT"/>
        </w:rPr>
        <w:t xml:space="preserve"> </w:t>
      </w:r>
      <w:r w:rsidR="00F650FE">
        <w:rPr>
          <w:lang w:val="pt-PT"/>
        </w:rPr>
        <w:t>e</w:t>
      </w:r>
      <w:r w:rsidR="008D6654">
        <w:rPr>
          <w:lang w:val="pt-PT"/>
        </w:rPr>
        <w:t xml:space="preserve"> </w:t>
      </w:r>
      <w:r w:rsidR="00EC4262">
        <w:rPr>
          <w:lang w:val="pt-PT"/>
        </w:rPr>
        <w:t>simultaneamente</w:t>
      </w:r>
      <w:r w:rsidR="003B40F0">
        <w:rPr>
          <w:lang w:val="pt-PT"/>
        </w:rPr>
        <w:t xml:space="preserve"> </w:t>
      </w:r>
      <w:r w:rsidR="00C61937">
        <w:rPr>
          <w:lang w:val="pt-PT"/>
        </w:rPr>
        <w:t xml:space="preserve">a </w:t>
      </w:r>
      <w:r w:rsidR="00F650FE">
        <w:rPr>
          <w:lang w:val="pt-PT"/>
        </w:rPr>
        <w:t>defesa dos direitos constitucionalmente protegidos.</w:t>
      </w:r>
    </w:p>
    <w:p w14:paraId="67551B99" w14:textId="2F3F780D" w:rsidR="00826711" w:rsidRDefault="00C61937" w:rsidP="00F92ED7">
      <w:pPr>
        <w:rPr>
          <w:lang w:val="pt-PT"/>
        </w:rPr>
      </w:pPr>
      <w:r>
        <w:rPr>
          <w:lang w:val="pt-PT"/>
        </w:rPr>
        <w:t>No entanto, n</w:t>
      </w:r>
      <w:r w:rsidR="00F92ED7">
        <w:rPr>
          <w:lang w:val="pt-PT"/>
        </w:rPr>
        <w:t xml:space="preserve">a epidemia pelo novo Coronavirus mas também </w:t>
      </w:r>
      <w:r>
        <w:rPr>
          <w:lang w:val="pt-PT"/>
        </w:rPr>
        <w:t>em</w:t>
      </w:r>
      <w:r w:rsidR="00F92ED7">
        <w:rPr>
          <w:lang w:val="pt-PT"/>
        </w:rPr>
        <w:t xml:space="preserve"> doenças contagiosas mais antigas, como a tuberculose, e noutras que </w:t>
      </w:r>
      <w:r>
        <w:rPr>
          <w:lang w:val="pt-PT"/>
        </w:rPr>
        <w:t>virão</w:t>
      </w:r>
      <w:r w:rsidR="00F92ED7">
        <w:rPr>
          <w:lang w:val="pt-PT"/>
        </w:rPr>
        <w:t>, a</w:t>
      </w:r>
      <w:r w:rsidR="000A6A2C">
        <w:rPr>
          <w:lang w:val="pt-PT"/>
        </w:rPr>
        <w:t xml:space="preserve"> </w:t>
      </w:r>
      <w:r w:rsidR="00826711">
        <w:rPr>
          <w:lang w:val="pt-PT"/>
        </w:rPr>
        <w:t xml:space="preserve">primeira e </w:t>
      </w:r>
      <w:r w:rsidR="00F92ED7">
        <w:rPr>
          <w:lang w:val="pt-PT"/>
        </w:rPr>
        <w:t xml:space="preserve">mais eficaz </w:t>
      </w:r>
      <w:r w:rsidR="00826711">
        <w:rPr>
          <w:lang w:val="pt-PT"/>
        </w:rPr>
        <w:t>arma</w:t>
      </w:r>
      <w:r w:rsidR="00216832">
        <w:rPr>
          <w:lang w:val="pt-PT"/>
        </w:rPr>
        <w:t xml:space="preserve"> </w:t>
      </w:r>
      <w:r w:rsidR="00826711">
        <w:rPr>
          <w:lang w:val="pt-PT"/>
        </w:rPr>
        <w:t xml:space="preserve">será sempre uma comunicação clara e transparente, o envolvimento e esclarecimento </w:t>
      </w:r>
      <w:r w:rsidR="00F92ED7">
        <w:rPr>
          <w:lang w:val="pt-PT"/>
        </w:rPr>
        <w:t xml:space="preserve">do indivíduo e </w:t>
      </w:r>
      <w:r w:rsidR="00826711">
        <w:rPr>
          <w:lang w:val="pt-PT"/>
        </w:rPr>
        <w:t>da opinião pública</w:t>
      </w:r>
      <w:r w:rsidR="004171B8">
        <w:rPr>
          <w:lang w:val="pt-PT"/>
        </w:rPr>
        <w:t>,</w:t>
      </w:r>
      <w:r w:rsidR="00826711">
        <w:rPr>
          <w:lang w:val="pt-PT"/>
        </w:rPr>
        <w:t xml:space="preserve"> para que os cidadãos tomem as medidas recomendadas </w:t>
      </w:r>
      <w:r w:rsidR="00776EF3">
        <w:rPr>
          <w:lang w:val="pt-PT"/>
        </w:rPr>
        <w:t>e proporcionais aos riscos</w:t>
      </w:r>
      <w:r w:rsidR="00C5572A">
        <w:rPr>
          <w:lang w:val="pt-PT"/>
        </w:rPr>
        <w:t xml:space="preserve"> de forma</w:t>
      </w:r>
      <w:r w:rsidR="00AB064F">
        <w:rPr>
          <w:lang w:val="pt-PT"/>
        </w:rPr>
        <w:t xml:space="preserve"> </w:t>
      </w:r>
      <w:r w:rsidR="00C5572A">
        <w:rPr>
          <w:lang w:val="pt-PT"/>
        </w:rPr>
        <w:t xml:space="preserve">informada e </w:t>
      </w:r>
      <w:r w:rsidR="00AB064F">
        <w:rPr>
          <w:lang w:val="pt-PT"/>
        </w:rPr>
        <w:t>volunt</w:t>
      </w:r>
      <w:r w:rsidR="00C5572A">
        <w:rPr>
          <w:lang w:val="pt-PT"/>
        </w:rPr>
        <w:t>ária.</w:t>
      </w:r>
      <w:r w:rsidR="000A6A2C">
        <w:rPr>
          <w:lang w:val="pt-PT"/>
        </w:rPr>
        <w:t xml:space="preserve"> </w:t>
      </w:r>
      <w:r w:rsidR="00C5572A">
        <w:rPr>
          <w:lang w:val="pt-PT"/>
        </w:rPr>
        <w:t xml:space="preserve">Só assim será possível garantir a </w:t>
      </w:r>
      <w:r w:rsidR="00776EF3">
        <w:rPr>
          <w:lang w:val="pt-PT"/>
        </w:rPr>
        <w:t>proteção da saúde</w:t>
      </w:r>
      <w:r w:rsidR="003C10E8">
        <w:rPr>
          <w:lang w:val="pt-PT"/>
        </w:rPr>
        <w:t xml:space="preserve"> de cada um</w:t>
      </w:r>
      <w:r w:rsidR="00ED24CD">
        <w:rPr>
          <w:lang w:val="pt-PT"/>
        </w:rPr>
        <w:t xml:space="preserve">, </w:t>
      </w:r>
      <w:r w:rsidR="004171B8">
        <w:rPr>
          <w:lang w:val="pt-PT"/>
        </w:rPr>
        <w:t>dos que lhes são próximos</w:t>
      </w:r>
      <w:r w:rsidR="00ED24CD">
        <w:rPr>
          <w:lang w:val="pt-PT"/>
        </w:rPr>
        <w:t xml:space="preserve"> e </w:t>
      </w:r>
      <w:r w:rsidR="00776EF3">
        <w:rPr>
          <w:lang w:val="pt-PT"/>
        </w:rPr>
        <w:t>da saúde pública</w:t>
      </w:r>
      <w:r w:rsidR="004171B8">
        <w:rPr>
          <w:lang w:val="pt-PT"/>
        </w:rPr>
        <w:t>,</w:t>
      </w:r>
      <w:r w:rsidR="00ED24CD">
        <w:rPr>
          <w:lang w:val="pt-PT"/>
        </w:rPr>
        <w:t xml:space="preserve"> sem alarmismo desnecessário</w:t>
      </w:r>
      <w:r w:rsidR="008C2AF0">
        <w:rPr>
          <w:lang w:val="pt-PT"/>
        </w:rPr>
        <w:t xml:space="preserve"> mas garantindo medidas de prevenção e controlo.</w:t>
      </w:r>
    </w:p>
    <w:p w14:paraId="48283BBB" w14:textId="77777777" w:rsidR="00C674E2" w:rsidRDefault="00C674E2" w:rsidP="009142C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lang w:val="pt-PT"/>
        </w:rPr>
      </w:pPr>
    </w:p>
    <w:p w14:paraId="692EE004" w14:textId="77777777" w:rsidR="00C674E2" w:rsidRDefault="00C674E2" w:rsidP="009142C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lang w:val="pt-PT"/>
        </w:rPr>
      </w:pPr>
    </w:p>
    <w:p w14:paraId="2CE3A9EC" w14:textId="4A884794" w:rsidR="00F06CC2" w:rsidRDefault="00F06CC2" w:rsidP="009142C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lang w:val="pt-PT"/>
        </w:rPr>
      </w:pPr>
      <w:r>
        <w:rPr>
          <w:lang w:val="pt-PT"/>
        </w:rPr>
        <w:t>Referências</w:t>
      </w:r>
    </w:p>
    <w:p w14:paraId="79F43173" w14:textId="2FB184D5" w:rsidR="00AB6920" w:rsidRPr="00AB6920" w:rsidRDefault="009F4543" w:rsidP="00AB692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lang w:val="pt-PT"/>
        </w:rPr>
        <w:fldChar w:fldCharType="begin" w:fldLock="1"/>
      </w:r>
      <w:r w:rsidRPr="00F06CC2">
        <w:rPr>
          <w:lang w:val="pt-PT"/>
        </w:rPr>
        <w:instrText xml:space="preserve">ADDIN Mendeley Bibliography CSL_BIBLIOGRAPHY </w:instrText>
      </w:r>
      <w:r>
        <w:rPr>
          <w:lang w:val="pt-PT"/>
        </w:rPr>
        <w:fldChar w:fldCharType="separate"/>
      </w:r>
      <w:r w:rsidR="00AB6920" w:rsidRPr="00AB6920">
        <w:rPr>
          <w:rFonts w:ascii="Calibri" w:hAnsi="Calibri" w:cs="Calibri"/>
          <w:noProof/>
          <w:szCs w:val="24"/>
        </w:rPr>
        <w:t xml:space="preserve">1. </w:t>
      </w:r>
      <w:r w:rsidR="00AB6920" w:rsidRPr="00AB6920">
        <w:rPr>
          <w:rFonts w:ascii="Calibri" w:hAnsi="Calibri" w:cs="Calibri"/>
          <w:noProof/>
          <w:szCs w:val="24"/>
        </w:rPr>
        <w:tab/>
        <w:t>European Court of Human Rights ; Council of Europe. European Convention on Human Rights - Official texts, Convention and Protocols. https://www.echr.coe.int/Pages/home.aspx?p=basictexts&amp;c=. Published 1950. Accessed February 9, 2020.</w:t>
      </w:r>
    </w:p>
    <w:p w14:paraId="281A0B9B" w14:textId="77777777" w:rsidR="00AB6920" w:rsidRPr="00AB6920" w:rsidRDefault="00AB6920" w:rsidP="00AB692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AB6920">
        <w:rPr>
          <w:rFonts w:ascii="Calibri" w:hAnsi="Calibri" w:cs="Calibri"/>
          <w:noProof/>
          <w:szCs w:val="24"/>
        </w:rPr>
        <w:t xml:space="preserve">2. </w:t>
      </w:r>
      <w:r w:rsidRPr="00AB6920">
        <w:rPr>
          <w:rFonts w:ascii="Calibri" w:hAnsi="Calibri" w:cs="Calibri"/>
          <w:noProof/>
          <w:szCs w:val="24"/>
        </w:rPr>
        <w:tab/>
        <w:t>ASSEMBLEIA CONSTITUINTE (1976), Constituição da República Portuguesa – V Revisão Constitucional. Versão online no site: http://www.parlamento.pt/const_leg/crp_port/index.html. https://dre.pt/legislacao-consolidada/-/lc/34520775/view. Accessed February 4, 2020.</w:t>
      </w:r>
    </w:p>
    <w:p w14:paraId="0A3BF27C" w14:textId="06CF957B" w:rsidR="00AB6920" w:rsidRPr="000C02C5" w:rsidRDefault="00AB6920" w:rsidP="000C02C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  <w:lang w:val="pt-PT"/>
        </w:rPr>
      </w:pPr>
      <w:r w:rsidRPr="00AB6920">
        <w:rPr>
          <w:rFonts w:ascii="Calibri" w:hAnsi="Calibri" w:cs="Calibri"/>
          <w:noProof/>
          <w:szCs w:val="24"/>
        </w:rPr>
        <w:t xml:space="preserve">3. </w:t>
      </w:r>
      <w:r w:rsidRPr="00AB6920">
        <w:rPr>
          <w:rFonts w:ascii="Calibri" w:hAnsi="Calibri" w:cs="Calibri"/>
          <w:noProof/>
          <w:szCs w:val="24"/>
        </w:rPr>
        <w:tab/>
      </w:r>
      <w:r w:rsidR="000C02C5" w:rsidRPr="000C02C5">
        <w:rPr>
          <w:rFonts w:ascii="Calibri" w:hAnsi="Calibri" w:cs="Calibri"/>
          <w:noProof/>
          <w:szCs w:val="24"/>
          <w:lang w:val="pt-PT"/>
        </w:rPr>
        <w:t>Acórdão do Tribunal da Relação do Porto, de 21/12/2002, proferido no Proc. n.º 514697, conclui que: «É legal o internamento compulsivo de quem, padecendo de tuberculose pulmonar, recusa tratar-se e deambula pelas vias públicas, podendo assim afectar outras pessoas.», cf. http://www.dgsi.pt/jtrp.nsf/c3fb530030ea1c61802568d9005cd5bb/c4c0347dfa5f1a2f80257103003c591b. Published 2005. Accessed February 18, 2019.</w:t>
      </w:r>
    </w:p>
    <w:p w14:paraId="288FC8CE" w14:textId="400E2689" w:rsidR="000C02C5" w:rsidRPr="000C02C5" w:rsidRDefault="00AB6920" w:rsidP="000C02C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  <w:lang w:val="pt-PT"/>
        </w:rPr>
      </w:pPr>
      <w:r w:rsidRPr="00AB6920">
        <w:rPr>
          <w:rFonts w:ascii="Calibri" w:hAnsi="Calibri" w:cs="Calibri"/>
          <w:noProof/>
          <w:szCs w:val="24"/>
        </w:rPr>
        <w:t xml:space="preserve">4. </w:t>
      </w:r>
      <w:r w:rsidRPr="00AB6920">
        <w:rPr>
          <w:rFonts w:ascii="Calibri" w:hAnsi="Calibri" w:cs="Calibri"/>
          <w:noProof/>
          <w:szCs w:val="24"/>
        </w:rPr>
        <w:tab/>
      </w:r>
      <w:r w:rsidR="000C02C5" w:rsidRPr="000C02C5">
        <w:rPr>
          <w:rFonts w:ascii="Calibri" w:hAnsi="Calibri" w:cs="Calibri"/>
          <w:noProof/>
          <w:szCs w:val="24"/>
          <w:lang w:val="pt-PT"/>
        </w:rPr>
        <w:t>Acórdão do Tribunal da Relação do Porto, de 06/02/2002, conclui que:« Impõe-se o internamento compulsivo, da competência do juiz e não da autoridade administrativa, do doente que sofre de tuberculose pulmonar e se recusa a tratar-se, havendo perigo de contagiar terceiros, conviventes diretos e risco iminente para a Saúde Pública.(…)»Cf. http://www.dgsi.pt/jtrp.nsf/0/bb2d8a8cb57b4d9380256bc800396446. Accessed February 18, 2019.</w:t>
      </w:r>
    </w:p>
    <w:p w14:paraId="70904B61" w14:textId="6E2BFCD7" w:rsidR="00AB6920" w:rsidRPr="00AB6920" w:rsidRDefault="00AB6920" w:rsidP="00AB692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AB6920">
        <w:rPr>
          <w:rFonts w:ascii="Calibri" w:hAnsi="Calibri" w:cs="Calibri"/>
          <w:noProof/>
          <w:szCs w:val="24"/>
        </w:rPr>
        <w:t xml:space="preserve">5. </w:t>
      </w:r>
      <w:r w:rsidRPr="00AB6920">
        <w:rPr>
          <w:rFonts w:ascii="Calibri" w:hAnsi="Calibri" w:cs="Calibri"/>
          <w:noProof/>
          <w:szCs w:val="24"/>
        </w:rPr>
        <w:tab/>
        <w:t>Código Penal - Decreto-Lei n.</w:t>
      </w:r>
      <w:r w:rsidRPr="00AB6920">
        <w:rPr>
          <w:rFonts w:ascii="Calibri" w:hAnsi="Calibri" w:cs="Calibri"/>
          <w:noProof/>
          <w:szCs w:val="24"/>
          <w:vertAlign w:val="superscript"/>
        </w:rPr>
        <w:t>o</w:t>
      </w:r>
      <w:r w:rsidRPr="00AB6920">
        <w:rPr>
          <w:rFonts w:ascii="Calibri" w:hAnsi="Calibri" w:cs="Calibri"/>
          <w:noProof/>
          <w:szCs w:val="24"/>
        </w:rPr>
        <w:t xml:space="preserve"> 48/95,  Diário da República n.</w:t>
      </w:r>
      <w:r w:rsidRPr="00AB6920">
        <w:rPr>
          <w:rFonts w:ascii="Calibri" w:hAnsi="Calibri" w:cs="Calibri"/>
          <w:noProof/>
          <w:szCs w:val="24"/>
          <w:vertAlign w:val="superscript"/>
        </w:rPr>
        <w:t>o</w:t>
      </w:r>
      <w:r w:rsidRPr="00AB6920">
        <w:rPr>
          <w:rFonts w:ascii="Calibri" w:hAnsi="Calibri" w:cs="Calibri"/>
          <w:noProof/>
          <w:szCs w:val="24"/>
        </w:rPr>
        <w:t xml:space="preserve"> 63/1995, Série I-A de </w:t>
      </w:r>
      <w:r w:rsidRPr="00AB6920">
        <w:rPr>
          <w:rFonts w:ascii="Calibri" w:hAnsi="Calibri" w:cs="Calibri"/>
          <w:noProof/>
          <w:szCs w:val="24"/>
        </w:rPr>
        <w:lastRenderedPageBreak/>
        <w:t>1995-03-15  . https://dre.pt/web/guest/legislacao-consolidada/-/lc/107981223/201708230200/indice. Accessed February 4, 2020.</w:t>
      </w:r>
    </w:p>
    <w:p w14:paraId="6AA8B2EF" w14:textId="77777777" w:rsidR="00AB6920" w:rsidRPr="00AB6920" w:rsidRDefault="00AB6920" w:rsidP="00AB692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AB6920">
        <w:rPr>
          <w:rFonts w:ascii="Calibri" w:hAnsi="Calibri" w:cs="Calibri"/>
          <w:noProof/>
          <w:szCs w:val="24"/>
        </w:rPr>
        <w:t xml:space="preserve">6. </w:t>
      </w:r>
      <w:r w:rsidRPr="00AB6920">
        <w:rPr>
          <w:rFonts w:ascii="Calibri" w:hAnsi="Calibri" w:cs="Calibri"/>
          <w:noProof/>
          <w:szCs w:val="24"/>
        </w:rPr>
        <w:tab/>
        <w:t>Assembleia da República Portuguesa. Lei 95/2019-Aprova a Lei de Bases da Saúde e revoga a Lei n.</w:t>
      </w:r>
      <w:r w:rsidRPr="00AB6920">
        <w:rPr>
          <w:rFonts w:ascii="Calibri" w:hAnsi="Calibri" w:cs="Calibri"/>
          <w:noProof/>
          <w:szCs w:val="24"/>
          <w:vertAlign w:val="superscript"/>
        </w:rPr>
        <w:t>o</w:t>
      </w:r>
      <w:r w:rsidRPr="00AB6920">
        <w:rPr>
          <w:rFonts w:ascii="Calibri" w:hAnsi="Calibri" w:cs="Calibri"/>
          <w:noProof/>
          <w:szCs w:val="24"/>
        </w:rPr>
        <w:t xml:space="preserve"> 48/90, de 24 de agosto, e o Decreto-Lei n.</w:t>
      </w:r>
      <w:r w:rsidRPr="00AB6920">
        <w:rPr>
          <w:rFonts w:ascii="Calibri" w:hAnsi="Calibri" w:cs="Calibri"/>
          <w:noProof/>
          <w:szCs w:val="24"/>
          <w:vertAlign w:val="superscript"/>
        </w:rPr>
        <w:t>o</w:t>
      </w:r>
      <w:r w:rsidRPr="00AB6920">
        <w:rPr>
          <w:rFonts w:ascii="Calibri" w:hAnsi="Calibri" w:cs="Calibri"/>
          <w:noProof/>
          <w:szCs w:val="24"/>
        </w:rPr>
        <w:t xml:space="preserve"> 185/2002, de 20 de agosto. Diário da República n.</w:t>
      </w:r>
      <w:r w:rsidRPr="00AB6920">
        <w:rPr>
          <w:rFonts w:ascii="Calibri" w:hAnsi="Calibri" w:cs="Calibri"/>
          <w:noProof/>
          <w:szCs w:val="24"/>
          <w:vertAlign w:val="superscript"/>
        </w:rPr>
        <w:t>o</w:t>
      </w:r>
      <w:r w:rsidRPr="00AB6920">
        <w:rPr>
          <w:rFonts w:ascii="Calibri" w:hAnsi="Calibri" w:cs="Calibri"/>
          <w:noProof/>
          <w:szCs w:val="24"/>
        </w:rPr>
        <w:t xml:space="preserve"> 169/2019, Série I de 2019-09-04. https://dre.pt/home/-/dre/124417108/details/maximized. Published 2019. Accessed November 14, 2019.</w:t>
      </w:r>
    </w:p>
    <w:p w14:paraId="64E56DD6" w14:textId="77777777" w:rsidR="00AB6920" w:rsidRPr="00AB6920" w:rsidRDefault="00AB6920" w:rsidP="00AB692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AB6920">
        <w:rPr>
          <w:rFonts w:ascii="Calibri" w:hAnsi="Calibri" w:cs="Calibri"/>
          <w:noProof/>
          <w:szCs w:val="24"/>
        </w:rPr>
        <w:t xml:space="preserve">7. </w:t>
      </w:r>
      <w:r w:rsidRPr="00AB6920">
        <w:rPr>
          <w:rFonts w:ascii="Calibri" w:hAnsi="Calibri" w:cs="Calibri"/>
          <w:noProof/>
          <w:szCs w:val="24"/>
        </w:rPr>
        <w:tab/>
        <w:t>Ministério da Saúde. Decreto-Lei 82/2009, 2009-04-02 - DRE - Estabelece o regime jurídico da designação, competência e funcionamento das entidades que exercem o poder de autoridades de saúde. https://dre.pt/web/guest/pesquisa-avancada/-/asearch/603229/details/normal?types=SERIEI&amp;numero=82%2F2009&amp;tipo=%22Decreto-Lei%22. Accessed February 15, 2019.</w:t>
      </w:r>
    </w:p>
    <w:p w14:paraId="50B3A3FA" w14:textId="77777777" w:rsidR="00AB6920" w:rsidRPr="00AB6920" w:rsidRDefault="00AB6920" w:rsidP="00AB692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AB6920">
        <w:rPr>
          <w:rFonts w:ascii="Calibri" w:hAnsi="Calibri" w:cs="Calibri"/>
          <w:noProof/>
          <w:szCs w:val="24"/>
        </w:rPr>
        <w:t xml:space="preserve">8. </w:t>
      </w:r>
      <w:r w:rsidRPr="00AB6920">
        <w:rPr>
          <w:rFonts w:ascii="Calibri" w:hAnsi="Calibri" w:cs="Calibri"/>
          <w:noProof/>
          <w:szCs w:val="24"/>
        </w:rPr>
        <w:tab/>
        <w:t>Ministério da Saúde. Decreto-Lei 135/2013, 2013-10-04 - DRE - Procede à primeira alteração ao Decreto-Lei n.</w:t>
      </w:r>
      <w:r w:rsidRPr="00AB6920">
        <w:rPr>
          <w:rFonts w:ascii="Calibri" w:hAnsi="Calibri" w:cs="Calibri"/>
          <w:noProof/>
          <w:szCs w:val="24"/>
          <w:vertAlign w:val="superscript"/>
        </w:rPr>
        <w:t>o</w:t>
      </w:r>
      <w:r w:rsidRPr="00AB6920">
        <w:rPr>
          <w:rFonts w:ascii="Calibri" w:hAnsi="Calibri" w:cs="Calibri"/>
          <w:noProof/>
          <w:szCs w:val="24"/>
        </w:rPr>
        <w:t xml:space="preserve"> 82/2009, de 2 de abril, que estabelece as regras de designação, competência e funcionamento das entidades que exercem o poder de autoridade de saúde. https://dre.pt/pesquisa/-/search/500190/details/maximized. Accessed February 15, 2019.</w:t>
      </w:r>
    </w:p>
    <w:p w14:paraId="16A6839E" w14:textId="77777777" w:rsidR="00AB6920" w:rsidRPr="00AB6920" w:rsidRDefault="00AB6920" w:rsidP="00AB692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AB6920">
        <w:rPr>
          <w:rFonts w:ascii="Calibri" w:hAnsi="Calibri" w:cs="Calibri"/>
          <w:noProof/>
          <w:szCs w:val="24"/>
        </w:rPr>
        <w:t xml:space="preserve">9. </w:t>
      </w:r>
      <w:r w:rsidRPr="00AB6920">
        <w:rPr>
          <w:rFonts w:ascii="Calibri" w:hAnsi="Calibri" w:cs="Calibri"/>
          <w:noProof/>
          <w:szCs w:val="24"/>
        </w:rPr>
        <w:tab/>
        <w:t xml:space="preserve">Assembleia da República. </w:t>
      </w:r>
      <w:r w:rsidRPr="00AB6920">
        <w:rPr>
          <w:rFonts w:ascii="Calibri" w:hAnsi="Calibri" w:cs="Calibri"/>
          <w:i/>
          <w:iCs/>
          <w:noProof/>
          <w:szCs w:val="24"/>
        </w:rPr>
        <w:t>Lei 81/2009, 2009-08-21 - DRE - Institui Um Sistema de Vigilância Em Saúde Pública, Que Identifica Situações de Risco, Recolhe, Actualiza, Analisa e Divulga Os Dados Relativos a Doenças Transmissíveis e Outros Riscos Em Saúde Pública, Bem Como Prepara Planos de Contingência Face a Situações de Emergência Ou Tão Graves Como de Calamidade Pública</w:t>
      </w:r>
      <w:r w:rsidRPr="00AB6920">
        <w:rPr>
          <w:rFonts w:ascii="Calibri" w:hAnsi="Calibri" w:cs="Calibri"/>
          <w:noProof/>
          <w:szCs w:val="24"/>
        </w:rPr>
        <w:t>. Assembleia da Républica https://dre.pt/pesquisa/-/search/488301/details/maximized?print_preview=print-preview. Accessed February 15, 2019.</w:t>
      </w:r>
    </w:p>
    <w:p w14:paraId="0D13F70E" w14:textId="77777777" w:rsidR="00AB6920" w:rsidRPr="00AB6920" w:rsidRDefault="00AB6920" w:rsidP="00AB692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AB6920">
        <w:rPr>
          <w:rFonts w:ascii="Calibri" w:hAnsi="Calibri" w:cs="Calibri"/>
          <w:noProof/>
          <w:szCs w:val="24"/>
        </w:rPr>
        <w:t xml:space="preserve">10. </w:t>
      </w:r>
      <w:r w:rsidRPr="00AB6920">
        <w:rPr>
          <w:rFonts w:ascii="Calibri" w:hAnsi="Calibri" w:cs="Calibri"/>
          <w:noProof/>
          <w:szCs w:val="24"/>
        </w:rPr>
        <w:tab/>
        <w:t xml:space="preserve">Fidalgo S. Internamento compulsivo de doentes com tuberculose. </w:t>
      </w:r>
      <w:r w:rsidRPr="00AB6920">
        <w:rPr>
          <w:rFonts w:ascii="Calibri" w:hAnsi="Calibri" w:cs="Calibri"/>
          <w:i/>
          <w:iCs/>
          <w:noProof/>
          <w:szCs w:val="24"/>
        </w:rPr>
        <w:t>“Lex Med – Rev Port Direito da Saúde”, ano 1, n</w:t>
      </w:r>
      <w:r w:rsidRPr="00AB6920">
        <w:rPr>
          <w:rFonts w:ascii="Calibri" w:hAnsi="Calibri" w:cs="Calibri"/>
          <w:i/>
          <w:iCs/>
          <w:noProof/>
          <w:szCs w:val="24"/>
          <w:vertAlign w:val="superscript"/>
        </w:rPr>
        <w:t>o</w:t>
      </w:r>
      <w:r w:rsidRPr="00AB6920">
        <w:rPr>
          <w:rFonts w:ascii="Calibri" w:hAnsi="Calibri" w:cs="Calibri"/>
          <w:i/>
          <w:iCs/>
          <w:noProof/>
          <w:szCs w:val="24"/>
        </w:rPr>
        <w:t xml:space="preserve"> 2, 2004</w:t>
      </w:r>
      <w:r w:rsidRPr="00AB6920">
        <w:rPr>
          <w:rFonts w:ascii="Calibri" w:hAnsi="Calibri" w:cs="Calibri"/>
          <w:noProof/>
          <w:szCs w:val="24"/>
        </w:rPr>
        <w:t>. 2004.</w:t>
      </w:r>
    </w:p>
    <w:p w14:paraId="51F97F78" w14:textId="77777777" w:rsidR="00AB6920" w:rsidRPr="00AB6920" w:rsidRDefault="00AB6920" w:rsidP="00AB692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AB6920">
        <w:rPr>
          <w:rFonts w:ascii="Calibri" w:hAnsi="Calibri" w:cs="Calibri"/>
          <w:noProof/>
          <w:szCs w:val="24"/>
        </w:rPr>
        <w:t xml:space="preserve">11. </w:t>
      </w:r>
      <w:r w:rsidRPr="00AB6920">
        <w:rPr>
          <w:rFonts w:ascii="Calibri" w:hAnsi="Calibri" w:cs="Calibri"/>
          <w:noProof/>
          <w:szCs w:val="24"/>
        </w:rPr>
        <w:tab/>
        <w:t xml:space="preserve">Miranda J. </w:t>
      </w:r>
      <w:r w:rsidRPr="00AB6920">
        <w:rPr>
          <w:rFonts w:ascii="Calibri" w:hAnsi="Calibri" w:cs="Calibri"/>
          <w:i/>
          <w:iCs/>
          <w:noProof/>
          <w:szCs w:val="24"/>
        </w:rPr>
        <w:t>Manual de Direito Constitucional. 2, Constituição.</w:t>
      </w:r>
      <w:r w:rsidRPr="00AB6920">
        <w:rPr>
          <w:rFonts w:ascii="Calibri" w:hAnsi="Calibri" w:cs="Calibri"/>
          <w:noProof/>
          <w:szCs w:val="24"/>
        </w:rPr>
        <w:t xml:space="preserve"> Coimbra Editora; 2013.</w:t>
      </w:r>
    </w:p>
    <w:p w14:paraId="6B9BFEF3" w14:textId="77777777" w:rsidR="00AB6920" w:rsidRPr="00AB6920" w:rsidRDefault="00AB6920" w:rsidP="00AB692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AB6920">
        <w:rPr>
          <w:rFonts w:ascii="Calibri" w:hAnsi="Calibri" w:cs="Calibri"/>
          <w:noProof/>
          <w:szCs w:val="24"/>
        </w:rPr>
        <w:t xml:space="preserve">12. </w:t>
      </w:r>
      <w:r w:rsidRPr="00AB6920">
        <w:rPr>
          <w:rFonts w:ascii="Calibri" w:hAnsi="Calibri" w:cs="Calibri"/>
          <w:noProof/>
          <w:szCs w:val="24"/>
        </w:rPr>
        <w:tab/>
        <w:t xml:space="preserve">Canotilho G. </w:t>
      </w:r>
      <w:r w:rsidRPr="00AB6920">
        <w:rPr>
          <w:rFonts w:ascii="Calibri" w:hAnsi="Calibri" w:cs="Calibri"/>
          <w:i/>
          <w:iCs/>
          <w:noProof/>
          <w:szCs w:val="24"/>
        </w:rPr>
        <w:t>Direito Constitucional e Teoria Da Constituição</w:t>
      </w:r>
      <w:r w:rsidRPr="00AB6920">
        <w:rPr>
          <w:rFonts w:ascii="Calibri" w:hAnsi="Calibri" w:cs="Calibri"/>
          <w:noProof/>
          <w:szCs w:val="24"/>
        </w:rPr>
        <w:t>. 6</w:t>
      </w:r>
      <w:r w:rsidRPr="00AB6920">
        <w:rPr>
          <w:rFonts w:ascii="Calibri" w:hAnsi="Calibri" w:cs="Calibri"/>
          <w:noProof/>
          <w:szCs w:val="24"/>
          <w:vertAlign w:val="superscript"/>
        </w:rPr>
        <w:t>o</w:t>
      </w:r>
      <w:r w:rsidRPr="00AB6920">
        <w:rPr>
          <w:rFonts w:ascii="Calibri" w:hAnsi="Calibri" w:cs="Calibri"/>
          <w:noProof/>
          <w:szCs w:val="24"/>
        </w:rPr>
        <w:t xml:space="preserve"> Edição. Coimbra: Almedina; 2012.</w:t>
      </w:r>
    </w:p>
    <w:p w14:paraId="5A90A0BE" w14:textId="77777777" w:rsidR="00AB6920" w:rsidRPr="00AB6920" w:rsidRDefault="00AB6920" w:rsidP="00AB692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AB6920">
        <w:rPr>
          <w:rFonts w:ascii="Calibri" w:hAnsi="Calibri" w:cs="Calibri"/>
          <w:noProof/>
          <w:szCs w:val="24"/>
        </w:rPr>
        <w:t xml:space="preserve">13. </w:t>
      </w:r>
      <w:r w:rsidRPr="00AB6920">
        <w:rPr>
          <w:rFonts w:ascii="Calibri" w:hAnsi="Calibri" w:cs="Calibri"/>
          <w:noProof/>
          <w:szCs w:val="24"/>
        </w:rPr>
        <w:tab/>
        <w:t xml:space="preserve">WHO | WHO checklist for influenza pandemic preparedness planning. </w:t>
      </w:r>
      <w:r w:rsidRPr="00AB6920">
        <w:rPr>
          <w:rFonts w:ascii="Calibri" w:hAnsi="Calibri" w:cs="Calibri"/>
          <w:i/>
          <w:iCs/>
          <w:noProof/>
          <w:szCs w:val="24"/>
        </w:rPr>
        <w:t>WHO</w:t>
      </w:r>
      <w:r w:rsidRPr="00AB6920">
        <w:rPr>
          <w:rFonts w:ascii="Calibri" w:hAnsi="Calibri" w:cs="Calibri"/>
          <w:noProof/>
          <w:szCs w:val="24"/>
        </w:rPr>
        <w:t>. 2015.</w:t>
      </w:r>
    </w:p>
    <w:p w14:paraId="79738B96" w14:textId="77777777" w:rsidR="00AB6920" w:rsidRPr="00AB6920" w:rsidRDefault="00AB6920" w:rsidP="00AB692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AB6920">
        <w:rPr>
          <w:rFonts w:ascii="Calibri" w:hAnsi="Calibri" w:cs="Calibri"/>
          <w:noProof/>
          <w:szCs w:val="24"/>
        </w:rPr>
        <w:t xml:space="preserve">14. </w:t>
      </w:r>
      <w:r w:rsidRPr="00AB6920">
        <w:rPr>
          <w:rFonts w:ascii="Calibri" w:hAnsi="Calibri" w:cs="Calibri"/>
          <w:noProof/>
          <w:szCs w:val="24"/>
        </w:rPr>
        <w:tab/>
        <w:t xml:space="preserve">WHO - World Health Organization. </w:t>
      </w:r>
      <w:r w:rsidRPr="00AB6920">
        <w:rPr>
          <w:rFonts w:ascii="Calibri" w:hAnsi="Calibri" w:cs="Calibri"/>
          <w:i/>
          <w:iCs/>
          <w:noProof/>
          <w:szCs w:val="24"/>
        </w:rPr>
        <w:t>2019 Novel Coronavirus (2019-NCoV): Strategic Preparedness and Response Plan</w:t>
      </w:r>
      <w:r w:rsidRPr="00AB6920">
        <w:rPr>
          <w:rFonts w:ascii="Calibri" w:hAnsi="Calibri" w:cs="Calibri"/>
          <w:noProof/>
          <w:szCs w:val="24"/>
        </w:rPr>
        <w:t>. https://www.who.int/emergencies/diseases/novel-coronavirus-2019. Accessed February 5, 2020.</w:t>
      </w:r>
    </w:p>
    <w:p w14:paraId="60BEEF47" w14:textId="77777777" w:rsidR="00AB6920" w:rsidRPr="00AB6920" w:rsidRDefault="00AB6920" w:rsidP="00AB692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AB6920">
        <w:rPr>
          <w:rFonts w:ascii="Calibri" w:hAnsi="Calibri" w:cs="Calibri"/>
          <w:noProof/>
          <w:szCs w:val="24"/>
        </w:rPr>
        <w:t xml:space="preserve">15. </w:t>
      </w:r>
      <w:r w:rsidRPr="00AB6920">
        <w:rPr>
          <w:rFonts w:ascii="Calibri" w:hAnsi="Calibri" w:cs="Calibri"/>
          <w:noProof/>
          <w:szCs w:val="24"/>
        </w:rPr>
        <w:tab/>
        <w:t>European Centre for Disease Prevention and Control. Public health emergency preparedness – Core competencies for EU Member States. Stockholm: ECDC; 2017. https://www.ecdc.europa.eu/en/publications-data/public-health-emergency-preparedness-core-competencies-eu-member-states. Accessed February 6, 2020.</w:t>
      </w:r>
    </w:p>
    <w:p w14:paraId="006C57F6" w14:textId="7E5FEACF" w:rsidR="00D04569" w:rsidRPr="004924C5" w:rsidRDefault="009F4543" w:rsidP="00D0456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lang w:val="pt-PT"/>
        </w:rPr>
      </w:pPr>
      <w:r>
        <w:rPr>
          <w:lang w:val="pt-PT"/>
        </w:rPr>
        <w:fldChar w:fldCharType="end"/>
      </w:r>
    </w:p>
    <w:p w14:paraId="452A0A25" w14:textId="2DCC0873" w:rsidR="00836152" w:rsidRPr="004924C5" w:rsidRDefault="00836152" w:rsidP="006B43AD">
      <w:pPr>
        <w:rPr>
          <w:lang w:val="pt-PT"/>
        </w:rPr>
      </w:pPr>
    </w:p>
    <w:sectPr w:rsidR="00836152" w:rsidRPr="004924C5" w:rsidSect="00A10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2F28C" w14:textId="77777777" w:rsidR="00C13EE6" w:rsidRDefault="00C13EE6" w:rsidP="00392455">
      <w:pPr>
        <w:spacing w:after="0" w:line="240" w:lineRule="auto"/>
      </w:pPr>
      <w:r>
        <w:separator/>
      </w:r>
    </w:p>
  </w:endnote>
  <w:endnote w:type="continuationSeparator" w:id="0">
    <w:p w14:paraId="2F6CF674" w14:textId="77777777" w:rsidR="00C13EE6" w:rsidRDefault="00C13EE6" w:rsidP="0039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23832" w14:textId="77777777" w:rsidR="00C13EE6" w:rsidRDefault="00C13EE6" w:rsidP="00392455">
      <w:pPr>
        <w:spacing w:after="0" w:line="240" w:lineRule="auto"/>
      </w:pPr>
      <w:r>
        <w:separator/>
      </w:r>
    </w:p>
  </w:footnote>
  <w:footnote w:type="continuationSeparator" w:id="0">
    <w:p w14:paraId="1FBB688E" w14:textId="77777777" w:rsidR="00C13EE6" w:rsidRDefault="00C13EE6" w:rsidP="0039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B4F"/>
    <w:multiLevelType w:val="hybridMultilevel"/>
    <w:tmpl w:val="696A6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BBB"/>
    <w:multiLevelType w:val="hybridMultilevel"/>
    <w:tmpl w:val="B7FA7F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314A"/>
    <w:multiLevelType w:val="hybridMultilevel"/>
    <w:tmpl w:val="020A9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21E0E"/>
    <w:multiLevelType w:val="hybridMultilevel"/>
    <w:tmpl w:val="7A5A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02101"/>
    <w:multiLevelType w:val="hybridMultilevel"/>
    <w:tmpl w:val="B7C246C4"/>
    <w:lvl w:ilvl="0" w:tplc="247C14D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3366D"/>
    <w:multiLevelType w:val="hybridMultilevel"/>
    <w:tmpl w:val="5C48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45"/>
    <w:rsid w:val="000018D7"/>
    <w:rsid w:val="00005810"/>
    <w:rsid w:val="000219DD"/>
    <w:rsid w:val="000252CB"/>
    <w:rsid w:val="00043146"/>
    <w:rsid w:val="00045464"/>
    <w:rsid w:val="00047B3B"/>
    <w:rsid w:val="000653DE"/>
    <w:rsid w:val="00096410"/>
    <w:rsid w:val="000A2405"/>
    <w:rsid w:val="000A4290"/>
    <w:rsid w:val="000A6A2C"/>
    <w:rsid w:val="000A72E9"/>
    <w:rsid w:val="000B46D0"/>
    <w:rsid w:val="000C02C5"/>
    <w:rsid w:val="000C054A"/>
    <w:rsid w:val="000D67BC"/>
    <w:rsid w:val="000F0069"/>
    <w:rsid w:val="000F574C"/>
    <w:rsid w:val="00112942"/>
    <w:rsid w:val="00114BA1"/>
    <w:rsid w:val="00116E77"/>
    <w:rsid w:val="0012174A"/>
    <w:rsid w:val="00125321"/>
    <w:rsid w:val="0012647C"/>
    <w:rsid w:val="00131312"/>
    <w:rsid w:val="00150EB2"/>
    <w:rsid w:val="001573CA"/>
    <w:rsid w:val="0017479C"/>
    <w:rsid w:val="00177501"/>
    <w:rsid w:val="00183E85"/>
    <w:rsid w:val="0018470C"/>
    <w:rsid w:val="0018516F"/>
    <w:rsid w:val="001929BC"/>
    <w:rsid w:val="001A172B"/>
    <w:rsid w:val="001B3DF4"/>
    <w:rsid w:val="001C4DC5"/>
    <w:rsid w:val="001D318D"/>
    <w:rsid w:val="001E77DA"/>
    <w:rsid w:val="001F17F8"/>
    <w:rsid w:val="001F4868"/>
    <w:rsid w:val="00212BA5"/>
    <w:rsid w:val="00216832"/>
    <w:rsid w:val="0021763A"/>
    <w:rsid w:val="00233B5C"/>
    <w:rsid w:val="002361CE"/>
    <w:rsid w:val="002365D7"/>
    <w:rsid w:val="00236B21"/>
    <w:rsid w:val="00246538"/>
    <w:rsid w:val="00254B91"/>
    <w:rsid w:val="00255F29"/>
    <w:rsid w:val="002608A5"/>
    <w:rsid w:val="00261142"/>
    <w:rsid w:val="00270F16"/>
    <w:rsid w:val="0027761B"/>
    <w:rsid w:val="00280482"/>
    <w:rsid w:val="00282A76"/>
    <w:rsid w:val="00286F52"/>
    <w:rsid w:val="00290A4A"/>
    <w:rsid w:val="002A5153"/>
    <w:rsid w:val="002C038A"/>
    <w:rsid w:val="002D18A4"/>
    <w:rsid w:val="002E1631"/>
    <w:rsid w:val="002E1A15"/>
    <w:rsid w:val="002E279C"/>
    <w:rsid w:val="002F3D32"/>
    <w:rsid w:val="003030AE"/>
    <w:rsid w:val="0030590D"/>
    <w:rsid w:val="00311335"/>
    <w:rsid w:val="00315CC3"/>
    <w:rsid w:val="00316416"/>
    <w:rsid w:val="00324BF3"/>
    <w:rsid w:val="00327F8C"/>
    <w:rsid w:val="0034293A"/>
    <w:rsid w:val="0034310C"/>
    <w:rsid w:val="0036081E"/>
    <w:rsid w:val="0036632F"/>
    <w:rsid w:val="0037272A"/>
    <w:rsid w:val="00377453"/>
    <w:rsid w:val="00383116"/>
    <w:rsid w:val="00392455"/>
    <w:rsid w:val="00392769"/>
    <w:rsid w:val="003941B8"/>
    <w:rsid w:val="003B40F0"/>
    <w:rsid w:val="003B7B38"/>
    <w:rsid w:val="003C0439"/>
    <w:rsid w:val="003C10E8"/>
    <w:rsid w:val="003D0C03"/>
    <w:rsid w:val="003D5630"/>
    <w:rsid w:val="003D60BD"/>
    <w:rsid w:val="003D65BF"/>
    <w:rsid w:val="003D6E32"/>
    <w:rsid w:val="003E7002"/>
    <w:rsid w:val="00410D53"/>
    <w:rsid w:val="004146CA"/>
    <w:rsid w:val="00416506"/>
    <w:rsid w:val="004171B8"/>
    <w:rsid w:val="00431CC8"/>
    <w:rsid w:val="00434616"/>
    <w:rsid w:val="00440929"/>
    <w:rsid w:val="00440DDC"/>
    <w:rsid w:val="00463378"/>
    <w:rsid w:val="00472FEB"/>
    <w:rsid w:val="00480A3C"/>
    <w:rsid w:val="00482FFF"/>
    <w:rsid w:val="00487357"/>
    <w:rsid w:val="004924C5"/>
    <w:rsid w:val="00494A5E"/>
    <w:rsid w:val="004A5E9C"/>
    <w:rsid w:val="004C0F18"/>
    <w:rsid w:val="004D6E46"/>
    <w:rsid w:val="004D7D27"/>
    <w:rsid w:val="004E36F3"/>
    <w:rsid w:val="004E58F9"/>
    <w:rsid w:val="004F7840"/>
    <w:rsid w:val="005010A6"/>
    <w:rsid w:val="0050787D"/>
    <w:rsid w:val="00511740"/>
    <w:rsid w:val="005123C7"/>
    <w:rsid w:val="00535A30"/>
    <w:rsid w:val="00535E02"/>
    <w:rsid w:val="005431DB"/>
    <w:rsid w:val="00545909"/>
    <w:rsid w:val="0055109B"/>
    <w:rsid w:val="00560806"/>
    <w:rsid w:val="00570D76"/>
    <w:rsid w:val="0057440B"/>
    <w:rsid w:val="0059045A"/>
    <w:rsid w:val="00591D21"/>
    <w:rsid w:val="00597262"/>
    <w:rsid w:val="005A0D49"/>
    <w:rsid w:val="005A5395"/>
    <w:rsid w:val="005B0FE6"/>
    <w:rsid w:val="005B20D1"/>
    <w:rsid w:val="005B531C"/>
    <w:rsid w:val="005B610A"/>
    <w:rsid w:val="005C3150"/>
    <w:rsid w:val="005C380C"/>
    <w:rsid w:val="005C70F1"/>
    <w:rsid w:val="005D5219"/>
    <w:rsid w:val="005F0555"/>
    <w:rsid w:val="005F2EA8"/>
    <w:rsid w:val="00622AA6"/>
    <w:rsid w:val="006301B8"/>
    <w:rsid w:val="0064395B"/>
    <w:rsid w:val="00644DE1"/>
    <w:rsid w:val="00670F9B"/>
    <w:rsid w:val="0067528A"/>
    <w:rsid w:val="00677F35"/>
    <w:rsid w:val="0068139F"/>
    <w:rsid w:val="00686533"/>
    <w:rsid w:val="006957AB"/>
    <w:rsid w:val="006A3B7D"/>
    <w:rsid w:val="006A5566"/>
    <w:rsid w:val="006B02E9"/>
    <w:rsid w:val="006B43AD"/>
    <w:rsid w:val="006C0F88"/>
    <w:rsid w:val="006D16C5"/>
    <w:rsid w:val="006D5DD3"/>
    <w:rsid w:val="006D5E8F"/>
    <w:rsid w:val="006D640B"/>
    <w:rsid w:val="006E4682"/>
    <w:rsid w:val="006F2AF5"/>
    <w:rsid w:val="006F4A85"/>
    <w:rsid w:val="0070096C"/>
    <w:rsid w:val="007046C7"/>
    <w:rsid w:val="00712879"/>
    <w:rsid w:val="00743FCD"/>
    <w:rsid w:val="00744EE7"/>
    <w:rsid w:val="0074697E"/>
    <w:rsid w:val="00760639"/>
    <w:rsid w:val="007724B3"/>
    <w:rsid w:val="00776EF3"/>
    <w:rsid w:val="00782252"/>
    <w:rsid w:val="00785EFB"/>
    <w:rsid w:val="007910F0"/>
    <w:rsid w:val="00794C89"/>
    <w:rsid w:val="007A506F"/>
    <w:rsid w:val="007B6FF4"/>
    <w:rsid w:val="007B7C4B"/>
    <w:rsid w:val="007C3E7F"/>
    <w:rsid w:val="007E7403"/>
    <w:rsid w:val="007F5494"/>
    <w:rsid w:val="008006F9"/>
    <w:rsid w:val="008026DE"/>
    <w:rsid w:val="00807A95"/>
    <w:rsid w:val="00810321"/>
    <w:rsid w:val="00817155"/>
    <w:rsid w:val="00826711"/>
    <w:rsid w:val="00834899"/>
    <w:rsid w:val="00836152"/>
    <w:rsid w:val="00836DED"/>
    <w:rsid w:val="008406B6"/>
    <w:rsid w:val="0084509A"/>
    <w:rsid w:val="00846DBB"/>
    <w:rsid w:val="0085120F"/>
    <w:rsid w:val="00852B65"/>
    <w:rsid w:val="00855A8B"/>
    <w:rsid w:val="00866796"/>
    <w:rsid w:val="00875065"/>
    <w:rsid w:val="008A5B78"/>
    <w:rsid w:val="008B61B1"/>
    <w:rsid w:val="008C1D72"/>
    <w:rsid w:val="008C2AF0"/>
    <w:rsid w:val="008C62E5"/>
    <w:rsid w:val="008D6654"/>
    <w:rsid w:val="008D6B7F"/>
    <w:rsid w:val="008D7944"/>
    <w:rsid w:val="008F43CF"/>
    <w:rsid w:val="00910B07"/>
    <w:rsid w:val="00911A0A"/>
    <w:rsid w:val="0091343C"/>
    <w:rsid w:val="009142C9"/>
    <w:rsid w:val="009149CE"/>
    <w:rsid w:val="00917394"/>
    <w:rsid w:val="0094556E"/>
    <w:rsid w:val="00953C50"/>
    <w:rsid w:val="0096490E"/>
    <w:rsid w:val="0097016E"/>
    <w:rsid w:val="009712E1"/>
    <w:rsid w:val="00977699"/>
    <w:rsid w:val="00985A52"/>
    <w:rsid w:val="009937DB"/>
    <w:rsid w:val="00993FC8"/>
    <w:rsid w:val="00994A29"/>
    <w:rsid w:val="009973F6"/>
    <w:rsid w:val="009A63B1"/>
    <w:rsid w:val="009B5336"/>
    <w:rsid w:val="009C4AE2"/>
    <w:rsid w:val="009D5455"/>
    <w:rsid w:val="009D75AE"/>
    <w:rsid w:val="009E6313"/>
    <w:rsid w:val="009F4543"/>
    <w:rsid w:val="009F6976"/>
    <w:rsid w:val="00A0199A"/>
    <w:rsid w:val="00A10B6D"/>
    <w:rsid w:val="00A20DAB"/>
    <w:rsid w:val="00A249A4"/>
    <w:rsid w:val="00A27B1E"/>
    <w:rsid w:val="00A34EAC"/>
    <w:rsid w:val="00A41B36"/>
    <w:rsid w:val="00A45607"/>
    <w:rsid w:val="00A72E03"/>
    <w:rsid w:val="00A75F2D"/>
    <w:rsid w:val="00A777C8"/>
    <w:rsid w:val="00A84EBE"/>
    <w:rsid w:val="00A85D15"/>
    <w:rsid w:val="00A902B3"/>
    <w:rsid w:val="00AB064F"/>
    <w:rsid w:val="00AB06B0"/>
    <w:rsid w:val="00AB46BD"/>
    <w:rsid w:val="00AB6376"/>
    <w:rsid w:val="00AB6920"/>
    <w:rsid w:val="00AC5D82"/>
    <w:rsid w:val="00AD026B"/>
    <w:rsid w:val="00AD10B9"/>
    <w:rsid w:val="00AE06E8"/>
    <w:rsid w:val="00AF101E"/>
    <w:rsid w:val="00AF5CC2"/>
    <w:rsid w:val="00B324FE"/>
    <w:rsid w:val="00B332A3"/>
    <w:rsid w:val="00B33892"/>
    <w:rsid w:val="00B37EC3"/>
    <w:rsid w:val="00B408C7"/>
    <w:rsid w:val="00B419C7"/>
    <w:rsid w:val="00B50A45"/>
    <w:rsid w:val="00B556CF"/>
    <w:rsid w:val="00B604E7"/>
    <w:rsid w:val="00B60886"/>
    <w:rsid w:val="00B644ED"/>
    <w:rsid w:val="00B6548F"/>
    <w:rsid w:val="00B660D6"/>
    <w:rsid w:val="00B73079"/>
    <w:rsid w:val="00B762C0"/>
    <w:rsid w:val="00B7655C"/>
    <w:rsid w:val="00B8717F"/>
    <w:rsid w:val="00BB04BC"/>
    <w:rsid w:val="00BB2BA7"/>
    <w:rsid w:val="00BC65EF"/>
    <w:rsid w:val="00BD0A75"/>
    <w:rsid w:val="00BF783A"/>
    <w:rsid w:val="00C05E57"/>
    <w:rsid w:val="00C0774F"/>
    <w:rsid w:val="00C13EE6"/>
    <w:rsid w:val="00C20D07"/>
    <w:rsid w:val="00C443DC"/>
    <w:rsid w:val="00C5572A"/>
    <w:rsid w:val="00C61937"/>
    <w:rsid w:val="00C674E2"/>
    <w:rsid w:val="00C822FC"/>
    <w:rsid w:val="00C82AE5"/>
    <w:rsid w:val="00C911E7"/>
    <w:rsid w:val="00CC1448"/>
    <w:rsid w:val="00CC6D35"/>
    <w:rsid w:val="00CE7A3E"/>
    <w:rsid w:val="00CF7FBC"/>
    <w:rsid w:val="00D01595"/>
    <w:rsid w:val="00D04569"/>
    <w:rsid w:val="00D068B9"/>
    <w:rsid w:val="00D2306D"/>
    <w:rsid w:val="00D26045"/>
    <w:rsid w:val="00D35290"/>
    <w:rsid w:val="00D52C15"/>
    <w:rsid w:val="00D53292"/>
    <w:rsid w:val="00D54E16"/>
    <w:rsid w:val="00D57161"/>
    <w:rsid w:val="00D573DD"/>
    <w:rsid w:val="00D6191F"/>
    <w:rsid w:val="00D662F3"/>
    <w:rsid w:val="00D672EF"/>
    <w:rsid w:val="00D87FB8"/>
    <w:rsid w:val="00DA3CB1"/>
    <w:rsid w:val="00DB27B3"/>
    <w:rsid w:val="00DB38EF"/>
    <w:rsid w:val="00DC7809"/>
    <w:rsid w:val="00DD360C"/>
    <w:rsid w:val="00DD6CD1"/>
    <w:rsid w:val="00DE2C89"/>
    <w:rsid w:val="00DE4F98"/>
    <w:rsid w:val="00DF2C96"/>
    <w:rsid w:val="00DF551D"/>
    <w:rsid w:val="00E00130"/>
    <w:rsid w:val="00E036B1"/>
    <w:rsid w:val="00E072B1"/>
    <w:rsid w:val="00E2770B"/>
    <w:rsid w:val="00E31F6A"/>
    <w:rsid w:val="00E33D23"/>
    <w:rsid w:val="00E36C84"/>
    <w:rsid w:val="00E37A85"/>
    <w:rsid w:val="00E501CC"/>
    <w:rsid w:val="00E53AFA"/>
    <w:rsid w:val="00E8413B"/>
    <w:rsid w:val="00E87006"/>
    <w:rsid w:val="00EA1253"/>
    <w:rsid w:val="00EA5125"/>
    <w:rsid w:val="00EA5385"/>
    <w:rsid w:val="00EB1BF0"/>
    <w:rsid w:val="00EB57CB"/>
    <w:rsid w:val="00EB6A70"/>
    <w:rsid w:val="00EC4262"/>
    <w:rsid w:val="00EC547B"/>
    <w:rsid w:val="00ED24CD"/>
    <w:rsid w:val="00EE0D11"/>
    <w:rsid w:val="00EE29BB"/>
    <w:rsid w:val="00EE3D07"/>
    <w:rsid w:val="00EE7A7A"/>
    <w:rsid w:val="00F04B4E"/>
    <w:rsid w:val="00F06CC2"/>
    <w:rsid w:val="00F10B4D"/>
    <w:rsid w:val="00F2785A"/>
    <w:rsid w:val="00F36678"/>
    <w:rsid w:val="00F62361"/>
    <w:rsid w:val="00F62430"/>
    <w:rsid w:val="00F64BC6"/>
    <w:rsid w:val="00F650FE"/>
    <w:rsid w:val="00F66BDA"/>
    <w:rsid w:val="00F66DE9"/>
    <w:rsid w:val="00F70D3C"/>
    <w:rsid w:val="00F715CE"/>
    <w:rsid w:val="00F73C2A"/>
    <w:rsid w:val="00F80C8D"/>
    <w:rsid w:val="00F87032"/>
    <w:rsid w:val="00F90A5C"/>
    <w:rsid w:val="00F92ED7"/>
    <w:rsid w:val="00FB08C7"/>
    <w:rsid w:val="00FB7376"/>
    <w:rsid w:val="00FD47A1"/>
    <w:rsid w:val="00FE59BF"/>
    <w:rsid w:val="00FF05B2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60041"/>
  <w15:chartTrackingRefBased/>
  <w15:docId w15:val="{237EB431-ACB3-485B-B281-26D914C7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7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F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A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A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573C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712E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712E1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712E1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712E1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712E1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712E1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712E1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712E1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712E1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712E1"/>
    <w:pPr>
      <w:spacing w:after="0"/>
      <w:ind w:left="1760"/>
    </w:pPr>
    <w:rPr>
      <w:rFonts w:cstheme="minorHAns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F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24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24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24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F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D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D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D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46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D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8416">
          <w:marLeft w:val="864"/>
          <w:marRight w:val="14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535">
          <w:marLeft w:val="864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368">
          <w:marLeft w:val="864"/>
          <w:marRight w:val="14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1411">
          <w:marLeft w:val="56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23">
          <w:marLeft w:val="562"/>
          <w:marRight w:val="331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961">
          <w:marLeft w:val="562"/>
          <w:marRight w:val="1109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513">
          <w:marLeft w:val="562"/>
          <w:marRight w:val="14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34F11-9BEE-45ED-929B-D5F40BD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6</Pages>
  <Words>5271</Words>
  <Characters>30050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CESP.user</dc:creator>
  <cp:keywords/>
  <dc:description/>
  <cp:lastModifiedBy>Vasco Peixoto</cp:lastModifiedBy>
  <cp:revision>6</cp:revision>
  <dcterms:created xsi:type="dcterms:W3CDTF">2020-02-09T22:26:00Z</dcterms:created>
  <dcterms:modified xsi:type="dcterms:W3CDTF">2020-02-10T10:55:00Z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1709936d-b9de-3933-a932-302636018a8e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