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E82AA" w14:textId="09301883" w:rsidR="00F72500" w:rsidRDefault="00666FFA">
      <w:pPr>
        <w:rPr>
          <w:b/>
          <w:lang w:val="pt-PT"/>
        </w:rPr>
      </w:pPr>
      <w:r>
        <w:rPr>
          <w:b/>
          <w:lang w:val="pt-PT"/>
        </w:rPr>
        <w:t>Título:</w:t>
      </w:r>
    </w:p>
    <w:p w14:paraId="33632A87" w14:textId="6838E407" w:rsidR="00666FFA" w:rsidRPr="00666FFA" w:rsidRDefault="00666FFA" w:rsidP="00666FFA">
      <w:pPr>
        <w:rPr>
          <w:lang w:val="pt-PT"/>
        </w:rPr>
      </w:pPr>
      <w:r w:rsidRPr="00666FFA">
        <w:rPr>
          <w:lang w:val="pt-PT"/>
        </w:rPr>
        <w:t>A Violência no Local de Trabalho em Instituições de Saúde: um Estudo Monocêntrico sobre Causas, Consequências e Estratégias de Prevenção</w:t>
      </w:r>
    </w:p>
    <w:p w14:paraId="5D345AFB" w14:textId="77777777" w:rsidR="00666FFA" w:rsidRPr="00666FFA" w:rsidRDefault="00666FFA" w:rsidP="00666FFA">
      <w:r w:rsidRPr="00666FFA">
        <w:t>Workplace Violence in Healthcare: A Single-Center Study on Causes, Consequences and Prevention Strategies</w:t>
      </w:r>
    </w:p>
    <w:p w14:paraId="6B2728CF" w14:textId="5855848F" w:rsidR="00666FFA" w:rsidRPr="00666FFA" w:rsidRDefault="00666FFA" w:rsidP="00666FFA">
      <w:pPr>
        <w:rPr>
          <w:b/>
        </w:rPr>
      </w:pPr>
    </w:p>
    <w:p w14:paraId="63CB496C" w14:textId="08333293" w:rsidR="00666FFA" w:rsidRPr="00666FFA" w:rsidRDefault="00666FFA" w:rsidP="00666FFA">
      <w:pPr>
        <w:rPr>
          <w:b/>
          <w:lang w:val="pt-PT"/>
        </w:rPr>
      </w:pPr>
      <w:r w:rsidRPr="00666FFA">
        <w:rPr>
          <w:b/>
          <w:lang w:val="pt-PT"/>
        </w:rPr>
        <w:t>Autoria:</w:t>
      </w:r>
    </w:p>
    <w:p w14:paraId="6DB07609" w14:textId="0FE9D724" w:rsidR="00835E36" w:rsidRDefault="007B569A" w:rsidP="00835E36">
      <w:pPr>
        <w:rPr>
          <w:lang w:val="pt-PT"/>
        </w:rPr>
      </w:pPr>
      <w:r w:rsidRPr="00666FFA">
        <w:rPr>
          <w:lang w:val="pt-PT"/>
        </w:rPr>
        <w:t>Helena Sofia Antão</w:t>
      </w:r>
      <w:r w:rsidR="00835E36">
        <w:rPr>
          <w:lang w:val="pt-PT"/>
        </w:rPr>
        <w:t xml:space="preserve">, MD, </w:t>
      </w:r>
      <w:proofErr w:type="spellStart"/>
      <w:r w:rsidR="00835E36">
        <w:rPr>
          <w:lang w:val="pt-PT"/>
        </w:rPr>
        <w:t>MSc</w:t>
      </w:r>
      <w:proofErr w:type="spellEnd"/>
      <w:r w:rsidR="00835E36">
        <w:rPr>
          <w:lang w:val="pt-PT"/>
        </w:rPr>
        <w:t xml:space="preserve">, </w:t>
      </w:r>
      <w:proofErr w:type="spellStart"/>
      <w:r w:rsidR="00835E36" w:rsidRPr="00666FFA">
        <w:rPr>
          <w:lang w:val="pt-PT"/>
        </w:rPr>
        <w:t>National</w:t>
      </w:r>
      <w:proofErr w:type="spellEnd"/>
      <w:r w:rsidR="00835E36" w:rsidRPr="00666FFA">
        <w:rPr>
          <w:lang w:val="pt-PT"/>
        </w:rPr>
        <w:t xml:space="preserve"> </w:t>
      </w:r>
      <w:proofErr w:type="spellStart"/>
      <w:r w:rsidR="00835E36" w:rsidRPr="00666FFA">
        <w:rPr>
          <w:lang w:val="pt-PT"/>
        </w:rPr>
        <w:t>School</w:t>
      </w:r>
      <w:proofErr w:type="spellEnd"/>
      <w:r w:rsidR="00835E36" w:rsidRPr="00666FFA">
        <w:rPr>
          <w:lang w:val="pt-PT"/>
        </w:rPr>
        <w:t xml:space="preserve"> </w:t>
      </w:r>
      <w:proofErr w:type="spellStart"/>
      <w:r w:rsidR="00835E36" w:rsidRPr="00666FFA">
        <w:rPr>
          <w:lang w:val="pt-PT"/>
        </w:rPr>
        <w:t>of</w:t>
      </w:r>
      <w:proofErr w:type="spellEnd"/>
      <w:r w:rsidR="00835E36" w:rsidRPr="00666FFA">
        <w:rPr>
          <w:lang w:val="pt-PT"/>
        </w:rPr>
        <w:t xml:space="preserve"> </w:t>
      </w:r>
      <w:proofErr w:type="spellStart"/>
      <w:r w:rsidR="00835E36" w:rsidRPr="00666FFA">
        <w:rPr>
          <w:lang w:val="pt-PT"/>
        </w:rPr>
        <w:t>Public</w:t>
      </w:r>
      <w:proofErr w:type="spellEnd"/>
      <w:r w:rsidR="00835E36" w:rsidRPr="00666FFA">
        <w:rPr>
          <w:lang w:val="pt-PT"/>
        </w:rPr>
        <w:t xml:space="preserve"> </w:t>
      </w:r>
      <w:proofErr w:type="spellStart"/>
      <w:r w:rsidR="00835E36" w:rsidRPr="00666FFA">
        <w:rPr>
          <w:lang w:val="pt-PT"/>
        </w:rPr>
        <w:t>Health</w:t>
      </w:r>
      <w:proofErr w:type="spellEnd"/>
      <w:r w:rsidR="00835E36" w:rsidRPr="00666FFA">
        <w:rPr>
          <w:lang w:val="pt-PT"/>
        </w:rPr>
        <w:t xml:space="preserve">/Universidade NOVA de Lisboa, </w:t>
      </w:r>
      <w:proofErr w:type="spellStart"/>
      <w:r w:rsidR="00835E36" w:rsidRPr="00666FFA">
        <w:rPr>
          <w:lang w:val="pt-PT"/>
        </w:rPr>
        <w:t>Lisbon</w:t>
      </w:r>
      <w:proofErr w:type="spellEnd"/>
      <w:r w:rsidR="00835E36" w:rsidRPr="00666FFA">
        <w:rPr>
          <w:lang w:val="pt-PT"/>
        </w:rPr>
        <w:t>, Portugal</w:t>
      </w:r>
      <w:r w:rsidR="00835E36">
        <w:rPr>
          <w:lang w:val="pt-PT"/>
        </w:rPr>
        <w:t xml:space="preserve">; </w:t>
      </w:r>
      <w:proofErr w:type="spellStart"/>
      <w:r w:rsidR="00835E36">
        <w:rPr>
          <w:lang w:val="pt-PT"/>
        </w:rPr>
        <w:t>Emergency</w:t>
      </w:r>
      <w:proofErr w:type="spellEnd"/>
      <w:r w:rsidR="00835E36">
        <w:rPr>
          <w:lang w:val="pt-PT"/>
        </w:rPr>
        <w:t xml:space="preserve"> </w:t>
      </w:r>
      <w:proofErr w:type="spellStart"/>
      <w:r w:rsidR="00835E36">
        <w:rPr>
          <w:lang w:val="pt-PT"/>
        </w:rPr>
        <w:t>Department</w:t>
      </w:r>
      <w:proofErr w:type="spellEnd"/>
      <w:r w:rsidR="00835E36">
        <w:rPr>
          <w:lang w:val="pt-PT"/>
        </w:rPr>
        <w:t>, Hospital Professor Doutor Fernando da Fonseca, Amadora, Portugal</w:t>
      </w:r>
    </w:p>
    <w:p w14:paraId="345D47B3" w14:textId="1D506FD2" w:rsidR="00835E36" w:rsidRDefault="007B569A" w:rsidP="00835E36">
      <w:pPr>
        <w:rPr>
          <w:lang w:val="pt-PT"/>
        </w:rPr>
      </w:pPr>
      <w:r w:rsidRPr="00666FFA">
        <w:rPr>
          <w:lang w:val="pt-PT"/>
        </w:rPr>
        <w:t xml:space="preserve">Ema Sacadura-Leite, </w:t>
      </w:r>
      <w:r w:rsidR="00666FFA" w:rsidRPr="00666FFA">
        <w:rPr>
          <w:lang w:val="pt-PT"/>
        </w:rPr>
        <w:t>MD, PhD; CISP</w:t>
      </w:r>
      <w:r w:rsidR="00835E36" w:rsidRPr="00666FFA">
        <w:rPr>
          <w:lang w:val="pt-PT"/>
        </w:rPr>
        <w:t xml:space="preserve">, </w:t>
      </w:r>
      <w:proofErr w:type="spellStart"/>
      <w:r w:rsidR="00835E36" w:rsidRPr="00666FFA">
        <w:rPr>
          <w:lang w:val="pt-PT"/>
        </w:rPr>
        <w:t>National</w:t>
      </w:r>
      <w:proofErr w:type="spellEnd"/>
      <w:r w:rsidR="00835E36" w:rsidRPr="00666FFA">
        <w:rPr>
          <w:lang w:val="pt-PT"/>
        </w:rPr>
        <w:t xml:space="preserve"> </w:t>
      </w:r>
      <w:proofErr w:type="spellStart"/>
      <w:r w:rsidR="00835E36" w:rsidRPr="00666FFA">
        <w:rPr>
          <w:lang w:val="pt-PT"/>
        </w:rPr>
        <w:t>School</w:t>
      </w:r>
      <w:proofErr w:type="spellEnd"/>
      <w:r w:rsidR="00835E36" w:rsidRPr="00666FFA">
        <w:rPr>
          <w:lang w:val="pt-PT"/>
        </w:rPr>
        <w:t xml:space="preserve"> </w:t>
      </w:r>
      <w:proofErr w:type="spellStart"/>
      <w:r w:rsidR="00835E36" w:rsidRPr="00666FFA">
        <w:rPr>
          <w:lang w:val="pt-PT"/>
        </w:rPr>
        <w:t>of</w:t>
      </w:r>
      <w:proofErr w:type="spellEnd"/>
      <w:r w:rsidR="00835E36" w:rsidRPr="00666FFA">
        <w:rPr>
          <w:lang w:val="pt-PT"/>
        </w:rPr>
        <w:t xml:space="preserve"> </w:t>
      </w:r>
      <w:proofErr w:type="spellStart"/>
      <w:r w:rsidR="00835E36" w:rsidRPr="00666FFA">
        <w:rPr>
          <w:lang w:val="pt-PT"/>
        </w:rPr>
        <w:t>Public</w:t>
      </w:r>
      <w:proofErr w:type="spellEnd"/>
      <w:r w:rsidR="00835E36" w:rsidRPr="00666FFA">
        <w:rPr>
          <w:lang w:val="pt-PT"/>
        </w:rPr>
        <w:t xml:space="preserve"> </w:t>
      </w:r>
      <w:proofErr w:type="spellStart"/>
      <w:r w:rsidR="00835E36" w:rsidRPr="00666FFA">
        <w:rPr>
          <w:lang w:val="pt-PT"/>
        </w:rPr>
        <w:t>Health</w:t>
      </w:r>
      <w:proofErr w:type="spellEnd"/>
      <w:r w:rsidR="00835E36" w:rsidRPr="00666FFA">
        <w:rPr>
          <w:lang w:val="pt-PT"/>
        </w:rPr>
        <w:t xml:space="preserve">/Universidade NOVA de Lisboa, </w:t>
      </w:r>
      <w:proofErr w:type="spellStart"/>
      <w:r w:rsidR="00835E36" w:rsidRPr="00666FFA">
        <w:rPr>
          <w:lang w:val="pt-PT"/>
        </w:rPr>
        <w:t>Lisbon</w:t>
      </w:r>
      <w:proofErr w:type="spellEnd"/>
      <w:r w:rsidR="00835E36" w:rsidRPr="00666FFA">
        <w:rPr>
          <w:lang w:val="pt-PT"/>
        </w:rPr>
        <w:t>, Portugal</w:t>
      </w:r>
    </w:p>
    <w:p w14:paraId="77E42960" w14:textId="7B0511A8" w:rsidR="00666FFA" w:rsidRDefault="007B569A">
      <w:pPr>
        <w:rPr>
          <w:lang w:val="pt-PT"/>
        </w:rPr>
      </w:pPr>
      <w:r w:rsidRPr="00666FFA">
        <w:rPr>
          <w:lang w:val="pt-PT"/>
        </w:rPr>
        <w:t xml:space="preserve">Maria João </w:t>
      </w:r>
      <w:proofErr w:type="spellStart"/>
      <w:r w:rsidRPr="00666FFA">
        <w:rPr>
          <w:lang w:val="pt-PT"/>
        </w:rPr>
        <w:t>Manzano</w:t>
      </w:r>
      <w:proofErr w:type="spellEnd"/>
      <w:r w:rsidRPr="00666FFA">
        <w:rPr>
          <w:lang w:val="pt-PT"/>
        </w:rPr>
        <w:t xml:space="preserve">, </w:t>
      </w:r>
      <w:r w:rsidR="00835E36" w:rsidRPr="00835E36">
        <w:rPr>
          <w:lang w:val="pt-PT"/>
        </w:rPr>
        <w:t xml:space="preserve">MD, PhD, </w:t>
      </w:r>
      <w:proofErr w:type="spellStart"/>
      <w:r w:rsidR="00835E36" w:rsidRPr="00835E36">
        <w:rPr>
          <w:lang w:val="pt-PT"/>
        </w:rPr>
        <w:t>Occupational</w:t>
      </w:r>
      <w:proofErr w:type="spellEnd"/>
      <w:r w:rsidR="00835E36" w:rsidRPr="00835E36">
        <w:rPr>
          <w:lang w:val="pt-PT"/>
        </w:rPr>
        <w:t xml:space="preserve"> </w:t>
      </w:r>
      <w:proofErr w:type="spellStart"/>
      <w:r w:rsidR="00835E36" w:rsidRPr="00835E36">
        <w:rPr>
          <w:lang w:val="pt-PT"/>
        </w:rPr>
        <w:t>Health</w:t>
      </w:r>
      <w:proofErr w:type="spellEnd"/>
      <w:r w:rsidR="00835E36" w:rsidRPr="00835E36">
        <w:rPr>
          <w:lang w:val="pt-PT"/>
        </w:rPr>
        <w:t xml:space="preserve"> </w:t>
      </w:r>
      <w:proofErr w:type="spellStart"/>
      <w:r w:rsidR="00835E36" w:rsidRPr="00835E36">
        <w:rPr>
          <w:lang w:val="pt-PT"/>
        </w:rPr>
        <w:t>Department</w:t>
      </w:r>
      <w:proofErr w:type="spellEnd"/>
      <w:r w:rsidR="00835E36" w:rsidRPr="00835E36">
        <w:rPr>
          <w:lang w:val="pt-PT"/>
        </w:rPr>
        <w:t xml:space="preserve"> </w:t>
      </w:r>
      <w:proofErr w:type="spellStart"/>
      <w:r w:rsidR="00835E36" w:rsidRPr="00835E36">
        <w:rPr>
          <w:lang w:val="pt-PT"/>
        </w:rPr>
        <w:t>Head</w:t>
      </w:r>
      <w:proofErr w:type="spellEnd"/>
      <w:r w:rsidR="00835E36" w:rsidRPr="00835E36">
        <w:rPr>
          <w:lang w:val="pt-PT"/>
        </w:rPr>
        <w:t>, Centro Hospitalar Universitário de Lisboa Central (CHULC)</w:t>
      </w:r>
      <w:r w:rsidR="00835E36">
        <w:rPr>
          <w:lang w:val="pt-PT"/>
        </w:rPr>
        <w:t xml:space="preserve">, </w:t>
      </w:r>
      <w:proofErr w:type="spellStart"/>
      <w:r w:rsidR="00835E36">
        <w:rPr>
          <w:lang w:val="pt-PT"/>
        </w:rPr>
        <w:t>Lisbon</w:t>
      </w:r>
      <w:proofErr w:type="spellEnd"/>
      <w:r w:rsidR="00835E36">
        <w:rPr>
          <w:lang w:val="pt-PT"/>
        </w:rPr>
        <w:t>, Portugal</w:t>
      </w:r>
    </w:p>
    <w:p w14:paraId="55E410DE" w14:textId="2967F7DB" w:rsidR="00835E36" w:rsidRDefault="007B569A" w:rsidP="00835E36">
      <w:pPr>
        <w:rPr>
          <w:lang w:val="pt-PT"/>
        </w:rPr>
      </w:pPr>
      <w:r w:rsidRPr="00666FFA">
        <w:rPr>
          <w:lang w:val="pt-PT"/>
        </w:rPr>
        <w:t xml:space="preserve">Sónia Pinote, </w:t>
      </w:r>
      <w:proofErr w:type="spellStart"/>
      <w:r w:rsidR="00835E36">
        <w:rPr>
          <w:lang w:val="pt-PT"/>
        </w:rPr>
        <w:t>PsyD</w:t>
      </w:r>
      <w:proofErr w:type="spellEnd"/>
      <w:r w:rsidR="00835E36">
        <w:rPr>
          <w:lang w:val="pt-PT"/>
        </w:rPr>
        <w:t xml:space="preserve">, </w:t>
      </w:r>
      <w:proofErr w:type="spellStart"/>
      <w:r w:rsidR="00835E36">
        <w:rPr>
          <w:lang w:val="pt-PT"/>
        </w:rPr>
        <w:t>MSc</w:t>
      </w:r>
      <w:proofErr w:type="spellEnd"/>
      <w:r w:rsidR="00835E36">
        <w:rPr>
          <w:lang w:val="pt-PT"/>
        </w:rPr>
        <w:t xml:space="preserve">, </w:t>
      </w:r>
      <w:proofErr w:type="spellStart"/>
      <w:r w:rsidR="00835E36" w:rsidRPr="00835E36">
        <w:rPr>
          <w:lang w:val="pt-PT"/>
        </w:rPr>
        <w:t>Occupational</w:t>
      </w:r>
      <w:proofErr w:type="spellEnd"/>
      <w:r w:rsidR="00835E36" w:rsidRPr="00835E36">
        <w:rPr>
          <w:lang w:val="pt-PT"/>
        </w:rPr>
        <w:t xml:space="preserve"> </w:t>
      </w:r>
      <w:proofErr w:type="spellStart"/>
      <w:r w:rsidR="00835E36" w:rsidRPr="00835E36">
        <w:rPr>
          <w:lang w:val="pt-PT"/>
        </w:rPr>
        <w:t>Health</w:t>
      </w:r>
      <w:proofErr w:type="spellEnd"/>
      <w:r w:rsidR="00835E36" w:rsidRPr="00835E36">
        <w:rPr>
          <w:lang w:val="pt-PT"/>
        </w:rPr>
        <w:t xml:space="preserve"> </w:t>
      </w:r>
      <w:proofErr w:type="spellStart"/>
      <w:r w:rsidR="00835E36" w:rsidRPr="00835E36">
        <w:rPr>
          <w:lang w:val="pt-PT"/>
        </w:rPr>
        <w:t>Department</w:t>
      </w:r>
      <w:proofErr w:type="spellEnd"/>
      <w:r w:rsidR="00835E36" w:rsidRPr="00835E36">
        <w:rPr>
          <w:lang w:val="pt-PT"/>
        </w:rPr>
        <w:t>, Centro Hospitalar Universitário de Lisboa Central (CHULC)</w:t>
      </w:r>
      <w:r w:rsidR="00835E36">
        <w:rPr>
          <w:lang w:val="pt-PT"/>
        </w:rPr>
        <w:t xml:space="preserve">, </w:t>
      </w:r>
      <w:proofErr w:type="spellStart"/>
      <w:r w:rsidR="00835E36">
        <w:rPr>
          <w:lang w:val="pt-PT"/>
        </w:rPr>
        <w:t>Lisbon</w:t>
      </w:r>
      <w:proofErr w:type="spellEnd"/>
      <w:r w:rsidR="00835E36">
        <w:rPr>
          <w:lang w:val="pt-PT"/>
        </w:rPr>
        <w:t>, Portugal</w:t>
      </w:r>
    </w:p>
    <w:p w14:paraId="4C25CA5A" w14:textId="3C36C00C" w:rsidR="00835E36" w:rsidRDefault="007B569A" w:rsidP="00835E36">
      <w:pPr>
        <w:rPr>
          <w:lang w:val="pt-PT"/>
        </w:rPr>
      </w:pPr>
      <w:r w:rsidRPr="00666FFA">
        <w:rPr>
          <w:lang w:val="pt-PT"/>
        </w:rPr>
        <w:t xml:space="preserve">Rui Relvas, </w:t>
      </w:r>
      <w:r w:rsidR="00835E36">
        <w:rPr>
          <w:lang w:val="pt-PT"/>
        </w:rPr>
        <w:t xml:space="preserve">MD, </w:t>
      </w:r>
      <w:proofErr w:type="spellStart"/>
      <w:r w:rsidR="00835E36" w:rsidRPr="00835E36">
        <w:rPr>
          <w:lang w:val="pt-PT"/>
        </w:rPr>
        <w:t>Occupational</w:t>
      </w:r>
      <w:proofErr w:type="spellEnd"/>
      <w:r w:rsidR="00835E36" w:rsidRPr="00835E36">
        <w:rPr>
          <w:lang w:val="pt-PT"/>
        </w:rPr>
        <w:t xml:space="preserve"> </w:t>
      </w:r>
      <w:proofErr w:type="spellStart"/>
      <w:r w:rsidR="00835E36" w:rsidRPr="00835E36">
        <w:rPr>
          <w:lang w:val="pt-PT"/>
        </w:rPr>
        <w:t>Health</w:t>
      </w:r>
      <w:proofErr w:type="spellEnd"/>
      <w:r w:rsidR="00835E36" w:rsidRPr="00835E36">
        <w:rPr>
          <w:lang w:val="pt-PT"/>
        </w:rPr>
        <w:t xml:space="preserve"> </w:t>
      </w:r>
      <w:proofErr w:type="spellStart"/>
      <w:r w:rsidR="00835E36" w:rsidRPr="00835E36">
        <w:rPr>
          <w:lang w:val="pt-PT"/>
        </w:rPr>
        <w:t>Department</w:t>
      </w:r>
      <w:proofErr w:type="spellEnd"/>
      <w:r w:rsidR="00835E36" w:rsidRPr="00835E36">
        <w:rPr>
          <w:lang w:val="pt-PT"/>
        </w:rPr>
        <w:t>, Centro Hospitalar Universitário de Lisboa Central (CHULC)</w:t>
      </w:r>
      <w:r w:rsidR="00835E36">
        <w:rPr>
          <w:lang w:val="pt-PT"/>
        </w:rPr>
        <w:t xml:space="preserve">, </w:t>
      </w:r>
      <w:proofErr w:type="spellStart"/>
      <w:r w:rsidR="00835E36">
        <w:rPr>
          <w:lang w:val="pt-PT"/>
        </w:rPr>
        <w:t>Lisbon</w:t>
      </w:r>
      <w:proofErr w:type="spellEnd"/>
      <w:r w:rsidR="00835E36">
        <w:rPr>
          <w:lang w:val="pt-PT"/>
        </w:rPr>
        <w:t>, Portugal</w:t>
      </w:r>
    </w:p>
    <w:p w14:paraId="41353D49" w14:textId="2E569397" w:rsidR="00666FFA" w:rsidRDefault="007B569A">
      <w:pPr>
        <w:rPr>
          <w:lang w:val="pt-PT"/>
        </w:rPr>
      </w:pPr>
      <w:r w:rsidRPr="00666FFA">
        <w:rPr>
          <w:lang w:val="pt-PT"/>
        </w:rPr>
        <w:t xml:space="preserve">Florentino </w:t>
      </w:r>
      <w:proofErr w:type="spellStart"/>
      <w:r w:rsidRPr="00666FFA">
        <w:rPr>
          <w:lang w:val="pt-PT"/>
        </w:rPr>
        <w:t>Serranheira</w:t>
      </w:r>
      <w:proofErr w:type="spellEnd"/>
      <w:r w:rsidRPr="00666FFA">
        <w:rPr>
          <w:lang w:val="pt-PT"/>
        </w:rPr>
        <w:t xml:space="preserve">, </w:t>
      </w:r>
      <w:r w:rsidR="00666FFA" w:rsidRPr="00666FFA">
        <w:rPr>
          <w:lang w:val="pt-PT"/>
        </w:rPr>
        <w:t xml:space="preserve">PhD; CISP, </w:t>
      </w:r>
      <w:proofErr w:type="spellStart"/>
      <w:r w:rsidR="00666FFA" w:rsidRPr="00666FFA">
        <w:rPr>
          <w:lang w:val="pt-PT"/>
        </w:rPr>
        <w:t>National</w:t>
      </w:r>
      <w:proofErr w:type="spellEnd"/>
      <w:r w:rsidR="00666FFA" w:rsidRPr="00666FFA">
        <w:rPr>
          <w:lang w:val="pt-PT"/>
        </w:rPr>
        <w:t xml:space="preserve"> </w:t>
      </w:r>
      <w:proofErr w:type="spellStart"/>
      <w:r w:rsidR="00666FFA" w:rsidRPr="00666FFA">
        <w:rPr>
          <w:lang w:val="pt-PT"/>
        </w:rPr>
        <w:t>School</w:t>
      </w:r>
      <w:proofErr w:type="spellEnd"/>
      <w:r w:rsidR="00666FFA" w:rsidRPr="00666FFA">
        <w:rPr>
          <w:lang w:val="pt-PT"/>
        </w:rPr>
        <w:t xml:space="preserve"> </w:t>
      </w:r>
      <w:proofErr w:type="spellStart"/>
      <w:r w:rsidR="00666FFA" w:rsidRPr="00666FFA">
        <w:rPr>
          <w:lang w:val="pt-PT"/>
        </w:rPr>
        <w:t>of</w:t>
      </w:r>
      <w:proofErr w:type="spellEnd"/>
      <w:r w:rsidR="00666FFA" w:rsidRPr="00666FFA">
        <w:rPr>
          <w:lang w:val="pt-PT"/>
        </w:rPr>
        <w:t xml:space="preserve"> </w:t>
      </w:r>
      <w:proofErr w:type="spellStart"/>
      <w:r w:rsidR="00666FFA" w:rsidRPr="00666FFA">
        <w:rPr>
          <w:lang w:val="pt-PT"/>
        </w:rPr>
        <w:t>Public</w:t>
      </w:r>
      <w:proofErr w:type="spellEnd"/>
      <w:r w:rsidR="00666FFA" w:rsidRPr="00666FFA">
        <w:rPr>
          <w:lang w:val="pt-PT"/>
        </w:rPr>
        <w:t xml:space="preserve"> </w:t>
      </w:r>
      <w:proofErr w:type="spellStart"/>
      <w:r w:rsidR="00666FFA" w:rsidRPr="00666FFA">
        <w:rPr>
          <w:lang w:val="pt-PT"/>
        </w:rPr>
        <w:t>Health</w:t>
      </w:r>
      <w:proofErr w:type="spellEnd"/>
      <w:r w:rsidR="00666FFA" w:rsidRPr="00666FFA">
        <w:rPr>
          <w:lang w:val="pt-PT"/>
        </w:rPr>
        <w:t xml:space="preserve">/Universidade NOVA de Lisboa, </w:t>
      </w:r>
      <w:proofErr w:type="spellStart"/>
      <w:r w:rsidR="00666FFA" w:rsidRPr="00666FFA">
        <w:rPr>
          <w:lang w:val="pt-PT"/>
        </w:rPr>
        <w:t>Lisbon</w:t>
      </w:r>
      <w:proofErr w:type="spellEnd"/>
      <w:r w:rsidR="00666FFA" w:rsidRPr="00666FFA">
        <w:rPr>
          <w:lang w:val="pt-PT"/>
        </w:rPr>
        <w:t>, Portugal</w:t>
      </w:r>
    </w:p>
    <w:p w14:paraId="593E35A5" w14:textId="18EF38E0" w:rsidR="007B569A" w:rsidRDefault="007B569A">
      <w:pPr>
        <w:rPr>
          <w:lang w:val="pt-PT"/>
        </w:rPr>
      </w:pPr>
      <w:r w:rsidRPr="00666FFA">
        <w:rPr>
          <w:lang w:val="pt-PT"/>
        </w:rPr>
        <w:t>António de Sousa-Uva</w:t>
      </w:r>
      <w:r w:rsidR="00666FFA">
        <w:rPr>
          <w:lang w:val="pt-PT"/>
        </w:rPr>
        <w:t xml:space="preserve">, </w:t>
      </w:r>
      <w:r w:rsidR="00666FFA" w:rsidRPr="00666FFA">
        <w:rPr>
          <w:lang w:val="pt-PT"/>
        </w:rPr>
        <w:t xml:space="preserve">MD, PhD; CISP, </w:t>
      </w:r>
      <w:proofErr w:type="spellStart"/>
      <w:r w:rsidR="00666FFA" w:rsidRPr="00666FFA">
        <w:rPr>
          <w:lang w:val="pt-PT"/>
        </w:rPr>
        <w:t>National</w:t>
      </w:r>
      <w:proofErr w:type="spellEnd"/>
      <w:r w:rsidR="00666FFA" w:rsidRPr="00666FFA">
        <w:rPr>
          <w:lang w:val="pt-PT"/>
        </w:rPr>
        <w:t xml:space="preserve"> </w:t>
      </w:r>
      <w:proofErr w:type="spellStart"/>
      <w:r w:rsidR="00666FFA" w:rsidRPr="00666FFA">
        <w:rPr>
          <w:lang w:val="pt-PT"/>
        </w:rPr>
        <w:t>School</w:t>
      </w:r>
      <w:proofErr w:type="spellEnd"/>
      <w:r w:rsidR="00666FFA" w:rsidRPr="00666FFA">
        <w:rPr>
          <w:lang w:val="pt-PT"/>
        </w:rPr>
        <w:t xml:space="preserve"> </w:t>
      </w:r>
      <w:proofErr w:type="spellStart"/>
      <w:r w:rsidR="00666FFA" w:rsidRPr="00666FFA">
        <w:rPr>
          <w:lang w:val="pt-PT"/>
        </w:rPr>
        <w:t>of</w:t>
      </w:r>
      <w:proofErr w:type="spellEnd"/>
      <w:r w:rsidR="00666FFA" w:rsidRPr="00666FFA">
        <w:rPr>
          <w:lang w:val="pt-PT"/>
        </w:rPr>
        <w:t xml:space="preserve"> </w:t>
      </w:r>
      <w:proofErr w:type="spellStart"/>
      <w:r w:rsidR="00666FFA" w:rsidRPr="00666FFA">
        <w:rPr>
          <w:lang w:val="pt-PT"/>
        </w:rPr>
        <w:t>Public</w:t>
      </w:r>
      <w:proofErr w:type="spellEnd"/>
      <w:r w:rsidR="00666FFA" w:rsidRPr="00666FFA">
        <w:rPr>
          <w:lang w:val="pt-PT"/>
        </w:rPr>
        <w:t xml:space="preserve"> </w:t>
      </w:r>
      <w:proofErr w:type="spellStart"/>
      <w:r w:rsidR="00666FFA" w:rsidRPr="00666FFA">
        <w:rPr>
          <w:lang w:val="pt-PT"/>
        </w:rPr>
        <w:t>Health</w:t>
      </w:r>
      <w:proofErr w:type="spellEnd"/>
      <w:r w:rsidR="00666FFA" w:rsidRPr="00666FFA">
        <w:rPr>
          <w:lang w:val="pt-PT"/>
        </w:rPr>
        <w:t xml:space="preserve">/Universidade NOVA de Lisboa, </w:t>
      </w:r>
      <w:proofErr w:type="spellStart"/>
      <w:r w:rsidR="00666FFA" w:rsidRPr="00666FFA">
        <w:rPr>
          <w:lang w:val="pt-PT"/>
        </w:rPr>
        <w:t>Lisbon</w:t>
      </w:r>
      <w:proofErr w:type="spellEnd"/>
      <w:r w:rsidR="00666FFA" w:rsidRPr="00666FFA">
        <w:rPr>
          <w:lang w:val="pt-PT"/>
        </w:rPr>
        <w:t>, Portugal</w:t>
      </w:r>
    </w:p>
    <w:p w14:paraId="2C65B714" w14:textId="552D3B9A" w:rsidR="00835E36" w:rsidRDefault="00835E36">
      <w:pPr>
        <w:rPr>
          <w:lang w:val="pt-PT"/>
        </w:rPr>
      </w:pPr>
    </w:p>
    <w:p w14:paraId="43546BC5" w14:textId="50022D17" w:rsidR="00835E36" w:rsidRPr="00835E36" w:rsidRDefault="00835E36">
      <w:pPr>
        <w:rPr>
          <w:b/>
          <w:lang w:val="pt-PT"/>
        </w:rPr>
      </w:pPr>
      <w:r w:rsidRPr="00835E36">
        <w:rPr>
          <w:b/>
          <w:lang w:val="pt-PT"/>
        </w:rPr>
        <w:t>Autor correspondente</w:t>
      </w:r>
      <w:r w:rsidR="00E429D6">
        <w:rPr>
          <w:b/>
          <w:lang w:val="pt-PT"/>
        </w:rPr>
        <w:t xml:space="preserve"> </w:t>
      </w:r>
      <w:r w:rsidR="00E429D6" w:rsidRPr="0051358B">
        <w:rPr>
          <w:lang w:val="pt-PT"/>
        </w:rPr>
        <w:t>(</w:t>
      </w:r>
      <w:r w:rsidR="0051358B" w:rsidRPr="0051358B">
        <w:rPr>
          <w:lang w:val="pt-PT"/>
        </w:rPr>
        <w:t>H</w:t>
      </w:r>
      <w:r w:rsidR="00E429D6" w:rsidRPr="0051358B">
        <w:rPr>
          <w:lang w:val="pt-PT"/>
        </w:rPr>
        <w:t>elena Sofia Antão</w:t>
      </w:r>
      <w:r w:rsidR="0051358B" w:rsidRPr="0051358B">
        <w:rPr>
          <w:lang w:val="pt-PT"/>
        </w:rPr>
        <w:t>)</w:t>
      </w:r>
      <w:r w:rsidRPr="00835E36">
        <w:rPr>
          <w:b/>
          <w:lang w:val="pt-PT"/>
        </w:rPr>
        <w:t>:</w:t>
      </w:r>
    </w:p>
    <w:p w14:paraId="7AE1292A" w14:textId="7D255CD5" w:rsidR="00835E36" w:rsidRDefault="00835E36">
      <w:pPr>
        <w:rPr>
          <w:lang w:val="pt-PT"/>
        </w:rPr>
      </w:pPr>
      <w:r>
        <w:rPr>
          <w:lang w:val="pt-PT"/>
        </w:rPr>
        <w:t xml:space="preserve">morada: Escola </w:t>
      </w:r>
      <w:r w:rsidR="00C84EFD">
        <w:rPr>
          <w:lang w:val="pt-PT"/>
        </w:rPr>
        <w:t>N</w:t>
      </w:r>
      <w:r>
        <w:rPr>
          <w:lang w:val="pt-PT"/>
        </w:rPr>
        <w:t xml:space="preserve">acional de Saúde Pública, </w:t>
      </w:r>
      <w:r w:rsidRPr="00835E36">
        <w:rPr>
          <w:lang w:val="pt-PT"/>
        </w:rPr>
        <w:t>Av. Padre Cruz, 1600-560 Lisboa</w:t>
      </w:r>
      <w:r>
        <w:rPr>
          <w:lang w:val="pt-PT"/>
        </w:rPr>
        <w:t>, Portugal</w:t>
      </w:r>
    </w:p>
    <w:p w14:paraId="43B43A3C" w14:textId="0F3C324B" w:rsidR="00C84EFD" w:rsidRPr="008E03D5" w:rsidRDefault="00835E36">
      <w:pPr>
        <w:rPr>
          <w:lang w:val="it-IT"/>
        </w:rPr>
      </w:pPr>
      <w:r w:rsidRPr="008E03D5">
        <w:rPr>
          <w:lang w:val="it-IT"/>
        </w:rPr>
        <w:t>e-mail</w:t>
      </w:r>
      <w:r w:rsidRPr="008E03D5">
        <w:rPr>
          <w:b/>
          <w:lang w:val="it-IT"/>
        </w:rPr>
        <w:t xml:space="preserve">: </w:t>
      </w:r>
      <w:hyperlink r:id="rId8" w:history="1">
        <w:r w:rsidR="00C84EFD" w:rsidRPr="008E03D5">
          <w:rPr>
            <w:rStyle w:val="Hyperlink"/>
            <w:lang w:val="it-IT"/>
          </w:rPr>
          <w:t>sofintao@gmail.com</w:t>
        </w:r>
      </w:hyperlink>
    </w:p>
    <w:p w14:paraId="394B52FA" w14:textId="77777777" w:rsidR="00C84EFD" w:rsidRPr="008E03D5" w:rsidRDefault="00C84EFD">
      <w:pPr>
        <w:rPr>
          <w:b/>
          <w:lang w:val="it-IT"/>
        </w:rPr>
      </w:pPr>
    </w:p>
    <w:p w14:paraId="26CAD99F" w14:textId="77777777" w:rsidR="00C84EFD" w:rsidRPr="008E03D5" w:rsidRDefault="00C84EFD">
      <w:pPr>
        <w:rPr>
          <w:b/>
          <w:lang w:val="it-IT"/>
        </w:rPr>
      </w:pPr>
      <w:proofErr w:type="spellStart"/>
      <w:r w:rsidRPr="008E03D5">
        <w:rPr>
          <w:b/>
          <w:lang w:val="it-IT"/>
        </w:rPr>
        <w:t>Título</w:t>
      </w:r>
      <w:proofErr w:type="spellEnd"/>
      <w:r w:rsidRPr="008E03D5">
        <w:rPr>
          <w:b/>
          <w:lang w:val="it-IT"/>
        </w:rPr>
        <w:t xml:space="preserve"> breve:</w:t>
      </w:r>
    </w:p>
    <w:p w14:paraId="789E7611" w14:textId="39643172" w:rsidR="007B569A" w:rsidRPr="00715CAE" w:rsidRDefault="00C84EFD">
      <w:pPr>
        <w:rPr>
          <w:b/>
        </w:rPr>
      </w:pPr>
      <w:r w:rsidRPr="00666FFA">
        <w:t>Workplace Violence in Healthcare</w:t>
      </w:r>
      <w:r w:rsidR="007B569A" w:rsidRPr="00715CAE">
        <w:rPr>
          <w:b/>
        </w:rPr>
        <w:br w:type="page"/>
      </w:r>
    </w:p>
    <w:p w14:paraId="4C6946C9" w14:textId="77777777" w:rsidR="00CD581B" w:rsidRPr="008E03D5" w:rsidRDefault="00CD581B" w:rsidP="00CD581B">
      <w:pPr>
        <w:spacing w:after="0"/>
        <w:rPr>
          <w:b/>
          <w:sz w:val="20"/>
        </w:rPr>
      </w:pPr>
      <w:proofErr w:type="spellStart"/>
      <w:r w:rsidRPr="008E03D5">
        <w:rPr>
          <w:b/>
          <w:sz w:val="20"/>
        </w:rPr>
        <w:lastRenderedPageBreak/>
        <w:t>Título</w:t>
      </w:r>
      <w:proofErr w:type="spellEnd"/>
      <w:r w:rsidRPr="008E03D5">
        <w:rPr>
          <w:b/>
          <w:sz w:val="20"/>
        </w:rPr>
        <w:t>:</w:t>
      </w:r>
    </w:p>
    <w:p w14:paraId="6260FF96" w14:textId="24B4F009" w:rsidR="00CD581B" w:rsidRPr="00CD581B" w:rsidRDefault="00CD581B" w:rsidP="00CD581B">
      <w:pPr>
        <w:spacing w:after="0"/>
        <w:rPr>
          <w:sz w:val="20"/>
          <w:lang w:val="pt-PT"/>
        </w:rPr>
      </w:pPr>
      <w:r w:rsidRPr="00CD581B">
        <w:rPr>
          <w:sz w:val="20"/>
          <w:lang w:val="pt-PT"/>
        </w:rPr>
        <w:t>A Violência no Local de Trabalho em Instituições de Saúde: um Estudo Monocêntrico sobre Causas, Consequências e Estratégias de Prevenção</w:t>
      </w:r>
    </w:p>
    <w:p w14:paraId="4CAAAF30" w14:textId="45B37A61" w:rsidR="00CD581B" w:rsidRPr="00CD581B" w:rsidRDefault="00CD581B" w:rsidP="00CD581B">
      <w:pPr>
        <w:spacing w:after="0"/>
        <w:rPr>
          <w:b/>
          <w:sz w:val="20"/>
        </w:rPr>
      </w:pPr>
      <w:r w:rsidRPr="00CD581B">
        <w:rPr>
          <w:b/>
          <w:sz w:val="20"/>
        </w:rPr>
        <w:t>Title</w:t>
      </w:r>
      <w:r>
        <w:rPr>
          <w:b/>
          <w:sz w:val="20"/>
        </w:rPr>
        <w:t>:</w:t>
      </w:r>
    </w:p>
    <w:p w14:paraId="3E3A05DE" w14:textId="7DCD6BBA" w:rsidR="00CD581B" w:rsidRPr="00CD581B" w:rsidRDefault="00CD581B" w:rsidP="00CD581B">
      <w:pPr>
        <w:spacing w:after="0"/>
        <w:rPr>
          <w:sz w:val="20"/>
        </w:rPr>
      </w:pPr>
      <w:r w:rsidRPr="00CD581B">
        <w:rPr>
          <w:sz w:val="20"/>
        </w:rPr>
        <w:t>Workplace Violence in Healthcare: A Single-Center Study on Causes, Consequences and Prevention Strategies</w:t>
      </w:r>
    </w:p>
    <w:p w14:paraId="16734635" w14:textId="77777777" w:rsidR="00CD581B" w:rsidRPr="00CD581B" w:rsidRDefault="00CD581B" w:rsidP="00CD581B">
      <w:pPr>
        <w:spacing w:after="40" w:line="240" w:lineRule="auto"/>
        <w:jc w:val="both"/>
        <w:rPr>
          <w:b/>
          <w:sz w:val="20"/>
        </w:rPr>
      </w:pPr>
    </w:p>
    <w:p w14:paraId="6891FB2E" w14:textId="663B9295" w:rsidR="00CD581B" w:rsidRPr="00CD581B" w:rsidRDefault="00CD581B" w:rsidP="00CD581B">
      <w:pPr>
        <w:spacing w:after="40" w:line="240" w:lineRule="auto"/>
        <w:jc w:val="both"/>
        <w:rPr>
          <w:b/>
          <w:sz w:val="20"/>
          <w:lang w:val="pt-PT"/>
        </w:rPr>
      </w:pPr>
      <w:r w:rsidRPr="00CD581B">
        <w:rPr>
          <w:b/>
          <w:sz w:val="20"/>
          <w:lang w:val="pt-PT"/>
        </w:rPr>
        <w:t>RESUMO</w:t>
      </w:r>
    </w:p>
    <w:p w14:paraId="435DF139" w14:textId="77777777" w:rsidR="00CD581B" w:rsidRPr="00CD581B" w:rsidRDefault="00CD581B" w:rsidP="00CD581B">
      <w:pPr>
        <w:spacing w:after="40" w:line="240" w:lineRule="auto"/>
        <w:jc w:val="both"/>
        <w:rPr>
          <w:b/>
          <w:sz w:val="20"/>
          <w:lang w:val="pt-PT"/>
        </w:rPr>
      </w:pPr>
      <w:r w:rsidRPr="00CD581B">
        <w:rPr>
          <w:b/>
          <w:sz w:val="20"/>
          <w:lang w:val="pt-PT"/>
        </w:rPr>
        <w:t xml:space="preserve">Introdução: </w:t>
      </w:r>
      <w:r w:rsidRPr="00CD581B">
        <w:rPr>
          <w:sz w:val="20"/>
          <w:lang w:val="pt-PT"/>
        </w:rPr>
        <w:t>A violência no local de trabalho é um dos principais fatores de risco no mundo do trabalho. Os trabalhadores da saúde apresentam um risco superior. O nosso estudo teve como objetivo caracterizar a violência física e verbal num hospital público e definir estratégias de prevenção e vigilância em saúde ocupacional.</w:t>
      </w:r>
    </w:p>
    <w:p w14:paraId="05FBE590" w14:textId="77777777" w:rsidR="00CD581B" w:rsidRPr="00CD581B" w:rsidRDefault="00CD581B" w:rsidP="00CD581B">
      <w:pPr>
        <w:spacing w:after="40" w:line="240" w:lineRule="auto"/>
        <w:jc w:val="both"/>
        <w:rPr>
          <w:b/>
          <w:sz w:val="20"/>
          <w:lang w:val="pt-PT"/>
        </w:rPr>
      </w:pPr>
      <w:r w:rsidRPr="00CD581B">
        <w:rPr>
          <w:b/>
          <w:sz w:val="20"/>
          <w:lang w:val="pt-PT"/>
        </w:rPr>
        <w:t xml:space="preserve">Material e Métodos: </w:t>
      </w:r>
      <w:r w:rsidRPr="00CD581B">
        <w:rPr>
          <w:sz w:val="20"/>
          <w:lang w:val="pt-PT"/>
        </w:rPr>
        <w:t xml:space="preserve">estudo observacional transversal monocêntrico, conduzido num hospital público em Lisboa com trabalhadores da saúde. Foi </w:t>
      </w:r>
      <w:proofErr w:type="gramStart"/>
      <w:r w:rsidRPr="00CD581B">
        <w:rPr>
          <w:sz w:val="20"/>
          <w:lang w:val="pt-PT"/>
        </w:rPr>
        <w:t>realizado</w:t>
      </w:r>
      <w:proofErr w:type="gramEnd"/>
      <w:r w:rsidRPr="00CD581B">
        <w:rPr>
          <w:sz w:val="20"/>
          <w:lang w:val="pt-PT"/>
        </w:rPr>
        <w:t xml:space="preserve"> um inquérito qualitativo com entrevistas em profundidade a 6 trabalhadores e um inquérito quantitativo com questionários a 32 trabalhadores. Aceitou-se um nível de significância de 5% na avaliação das diferenças estatísticas. Para estudo da associação entre as variáveis categóricas utilizámos o teste exato de Fisher.</w:t>
      </w:r>
    </w:p>
    <w:p w14:paraId="2BA26E3A" w14:textId="77777777" w:rsidR="00CD581B" w:rsidRPr="00CD581B" w:rsidRDefault="00CD581B" w:rsidP="00CD581B">
      <w:pPr>
        <w:spacing w:after="40" w:line="240" w:lineRule="auto"/>
        <w:jc w:val="both"/>
        <w:rPr>
          <w:sz w:val="20"/>
          <w:lang w:val="pt-PT"/>
        </w:rPr>
      </w:pPr>
      <w:r w:rsidRPr="00CD581B">
        <w:rPr>
          <w:b/>
          <w:sz w:val="20"/>
          <w:lang w:val="pt-PT"/>
        </w:rPr>
        <w:t xml:space="preserve">Resultados: </w:t>
      </w:r>
      <w:r w:rsidRPr="00CD581B">
        <w:rPr>
          <w:sz w:val="20"/>
          <w:lang w:val="pt-PT"/>
        </w:rPr>
        <w:t>Os principais resultados são: (1) 41 episódios reportados na fase quantitativa; (2) 5/21 vítimas notificaram o incidente; (3) 18/21 vítimas reportaram estados de hipervigilância permanente; (4) 22/28 participantes não conheciam ou conheciam mal os procedimentos de notificação; (5) 24/28 consideravam possível minimizar o problema.</w:t>
      </w:r>
    </w:p>
    <w:p w14:paraId="116B614B" w14:textId="77777777" w:rsidR="00CD581B" w:rsidRPr="00CD581B" w:rsidRDefault="00CD581B" w:rsidP="00CD581B">
      <w:pPr>
        <w:spacing w:after="40" w:line="240" w:lineRule="auto"/>
        <w:jc w:val="both"/>
        <w:rPr>
          <w:sz w:val="20"/>
          <w:lang w:val="pt-PT"/>
        </w:rPr>
      </w:pPr>
      <w:r w:rsidRPr="00CD581B">
        <w:rPr>
          <w:b/>
          <w:sz w:val="20"/>
          <w:lang w:val="pt-PT"/>
        </w:rPr>
        <w:t xml:space="preserve">Discussão: </w:t>
      </w:r>
      <w:r w:rsidRPr="00CD581B">
        <w:rPr>
          <w:sz w:val="20"/>
          <w:lang w:val="pt-PT"/>
        </w:rPr>
        <w:t>a violência é favorecida pelo acesso livre às zonas de trabalho, ausência de agentes de segurança e polícia ou falta da respetiva intervenção. A baixa notificação contribui para a ausência de medidas organizacionais. O estado de hipervigilância relatado reflete o efeito prejudicial da exposição a fontes de stress e ameaça.</w:t>
      </w:r>
    </w:p>
    <w:p w14:paraId="5F8032E4" w14:textId="77777777" w:rsidR="00CD581B" w:rsidRPr="00CD581B" w:rsidRDefault="00CD581B" w:rsidP="00CD581B">
      <w:pPr>
        <w:spacing w:after="40" w:line="240" w:lineRule="auto"/>
        <w:jc w:val="both"/>
        <w:rPr>
          <w:sz w:val="20"/>
          <w:lang w:val="pt-PT"/>
        </w:rPr>
      </w:pPr>
      <w:r w:rsidRPr="00CD581B">
        <w:rPr>
          <w:b/>
          <w:sz w:val="20"/>
          <w:lang w:val="pt-PT"/>
        </w:rPr>
        <w:t xml:space="preserve">Conclusão: </w:t>
      </w:r>
      <w:r w:rsidRPr="00CD581B">
        <w:rPr>
          <w:sz w:val="20"/>
          <w:lang w:val="pt-PT"/>
        </w:rPr>
        <w:t>A violência no local de trabalho é um fator de risco relevante, com impacto negativo na saúde dos trabalhadores e merece uma abordagem individualizada no âmbito da saúde ocupacional, cujas áreas e estratégias prioritárias foram definidas neste estudo.</w:t>
      </w:r>
    </w:p>
    <w:p w14:paraId="20A12DA6" w14:textId="77777777" w:rsidR="00CD581B" w:rsidRPr="00CD581B" w:rsidRDefault="00CD581B" w:rsidP="000B7F48">
      <w:pPr>
        <w:spacing w:after="60" w:line="240" w:lineRule="auto"/>
        <w:jc w:val="both"/>
        <w:rPr>
          <w:b/>
          <w:sz w:val="20"/>
          <w:lang w:val="pt-PT"/>
        </w:rPr>
      </w:pPr>
    </w:p>
    <w:p w14:paraId="31E274B2" w14:textId="4855DA36" w:rsidR="00D43F30" w:rsidRPr="00715CAE" w:rsidRDefault="00D43F30" w:rsidP="000B7F48">
      <w:pPr>
        <w:spacing w:after="60" w:line="240" w:lineRule="auto"/>
        <w:jc w:val="both"/>
        <w:rPr>
          <w:b/>
          <w:sz w:val="20"/>
        </w:rPr>
      </w:pPr>
      <w:r w:rsidRPr="00715CAE">
        <w:rPr>
          <w:b/>
          <w:sz w:val="20"/>
        </w:rPr>
        <w:t>ABSTRACT</w:t>
      </w:r>
    </w:p>
    <w:p w14:paraId="57A3A688" w14:textId="77777777" w:rsidR="000B002D" w:rsidRPr="00CD581B" w:rsidRDefault="00D43F30" w:rsidP="007A39C7">
      <w:pPr>
        <w:spacing w:after="40" w:line="240" w:lineRule="auto"/>
        <w:jc w:val="both"/>
        <w:rPr>
          <w:sz w:val="20"/>
        </w:rPr>
      </w:pPr>
      <w:r w:rsidRPr="00CD581B">
        <w:rPr>
          <w:b/>
          <w:sz w:val="20"/>
        </w:rPr>
        <w:t xml:space="preserve">Introduction: </w:t>
      </w:r>
      <w:r w:rsidR="00067983" w:rsidRPr="00CD581B">
        <w:rPr>
          <w:sz w:val="20"/>
        </w:rPr>
        <w:t>Workplace violence is one of the major risk factors in the world of work</w:t>
      </w:r>
      <w:r w:rsidR="00817A6D" w:rsidRPr="00CD581B">
        <w:rPr>
          <w:sz w:val="20"/>
        </w:rPr>
        <w:t xml:space="preserve">. Healthcare workers are at a higher risk when compared to other sectors. </w:t>
      </w:r>
      <w:r w:rsidR="0067140A" w:rsidRPr="00CD581B">
        <w:rPr>
          <w:sz w:val="20"/>
        </w:rPr>
        <w:t xml:space="preserve">Our study aimed to characterize physical and verbal violence in a </w:t>
      </w:r>
      <w:r w:rsidR="00546813" w:rsidRPr="00CD581B">
        <w:rPr>
          <w:sz w:val="20"/>
        </w:rPr>
        <w:t>public</w:t>
      </w:r>
      <w:r w:rsidR="000B002D" w:rsidRPr="00CD581B">
        <w:rPr>
          <w:sz w:val="20"/>
        </w:rPr>
        <w:t xml:space="preserve"> </w:t>
      </w:r>
      <w:r w:rsidR="0067140A" w:rsidRPr="00CD581B">
        <w:rPr>
          <w:sz w:val="20"/>
        </w:rPr>
        <w:t xml:space="preserve">hospital </w:t>
      </w:r>
      <w:r w:rsidR="000B002D" w:rsidRPr="00CD581B">
        <w:rPr>
          <w:sz w:val="20"/>
        </w:rPr>
        <w:t>and to</w:t>
      </w:r>
      <w:r w:rsidR="0067140A" w:rsidRPr="00CD581B">
        <w:rPr>
          <w:sz w:val="20"/>
        </w:rPr>
        <w:t xml:space="preserve"> </w:t>
      </w:r>
      <w:r w:rsidR="000B002D" w:rsidRPr="00CD581B">
        <w:rPr>
          <w:sz w:val="20"/>
        </w:rPr>
        <w:t>d</w:t>
      </w:r>
      <w:r w:rsidR="0067140A" w:rsidRPr="00CD581B">
        <w:rPr>
          <w:sz w:val="20"/>
        </w:rPr>
        <w:t xml:space="preserve">efine </w:t>
      </w:r>
      <w:r w:rsidR="000B002D" w:rsidRPr="00CD581B">
        <w:rPr>
          <w:sz w:val="20"/>
        </w:rPr>
        <w:t>occupational health</w:t>
      </w:r>
      <w:r w:rsidR="0067140A" w:rsidRPr="00CD581B">
        <w:rPr>
          <w:sz w:val="20"/>
        </w:rPr>
        <w:t xml:space="preserve"> </w:t>
      </w:r>
      <w:r w:rsidR="000B002D" w:rsidRPr="00CD581B">
        <w:rPr>
          <w:sz w:val="20"/>
        </w:rPr>
        <w:t xml:space="preserve">prevention and surveillance </w:t>
      </w:r>
      <w:r w:rsidR="0067140A" w:rsidRPr="00CD581B">
        <w:rPr>
          <w:sz w:val="20"/>
        </w:rPr>
        <w:t>strategies</w:t>
      </w:r>
      <w:r w:rsidR="000B002D" w:rsidRPr="00CD581B">
        <w:rPr>
          <w:sz w:val="20"/>
        </w:rPr>
        <w:t>.</w:t>
      </w:r>
    </w:p>
    <w:p w14:paraId="3C388F64" w14:textId="5161FCC1" w:rsidR="00476633" w:rsidRPr="00CD581B" w:rsidRDefault="00D43F30" w:rsidP="007A39C7">
      <w:pPr>
        <w:spacing w:after="40" w:line="240" w:lineRule="auto"/>
        <w:jc w:val="both"/>
        <w:rPr>
          <w:sz w:val="20"/>
        </w:rPr>
      </w:pPr>
      <w:r w:rsidRPr="00CD581B">
        <w:rPr>
          <w:b/>
          <w:sz w:val="20"/>
        </w:rPr>
        <w:t xml:space="preserve">Material and Methods: </w:t>
      </w:r>
      <w:r w:rsidR="00224F88" w:rsidRPr="00CD581B">
        <w:rPr>
          <w:sz w:val="20"/>
        </w:rPr>
        <w:t>S</w:t>
      </w:r>
      <w:r w:rsidR="00476633" w:rsidRPr="00CD581B">
        <w:rPr>
          <w:sz w:val="20"/>
        </w:rPr>
        <w:t xml:space="preserve">ingle center observational cross-sectional study, carried </w:t>
      </w:r>
      <w:r w:rsidR="00641C7A" w:rsidRPr="00CD581B">
        <w:rPr>
          <w:sz w:val="20"/>
        </w:rPr>
        <w:t xml:space="preserve">amongst healthcare workers </w:t>
      </w:r>
      <w:r w:rsidR="00476633" w:rsidRPr="00CD581B">
        <w:rPr>
          <w:sz w:val="20"/>
        </w:rPr>
        <w:t>in a public hospital in Lisbon. A</w:t>
      </w:r>
      <w:r w:rsidR="002060AC" w:rsidRPr="00CD581B">
        <w:rPr>
          <w:sz w:val="20"/>
        </w:rPr>
        <w:t xml:space="preserve"> </w:t>
      </w:r>
      <w:r w:rsidR="00476633" w:rsidRPr="00CD581B">
        <w:rPr>
          <w:sz w:val="20"/>
        </w:rPr>
        <w:t xml:space="preserve">qualitative survey was carried through 6 in-depth interviews. A quantitative survey was carried </w:t>
      </w:r>
      <w:r w:rsidR="002060AC" w:rsidRPr="00CD581B">
        <w:rPr>
          <w:sz w:val="20"/>
        </w:rPr>
        <w:t>through</w:t>
      </w:r>
      <w:r w:rsidR="00476633" w:rsidRPr="00CD581B">
        <w:rPr>
          <w:sz w:val="20"/>
        </w:rPr>
        <w:t xml:space="preserve"> questionnaire</w:t>
      </w:r>
      <w:r w:rsidR="002060AC" w:rsidRPr="00CD581B">
        <w:rPr>
          <w:sz w:val="20"/>
        </w:rPr>
        <w:t>s</w:t>
      </w:r>
      <w:r w:rsidR="00476633" w:rsidRPr="00CD581B">
        <w:rPr>
          <w:sz w:val="20"/>
        </w:rPr>
        <w:t xml:space="preserve"> delivered to 32 workers.</w:t>
      </w:r>
      <w:r w:rsidR="0088423F" w:rsidRPr="00CD581B">
        <w:rPr>
          <w:sz w:val="20"/>
        </w:rPr>
        <w:t xml:space="preserve"> </w:t>
      </w:r>
      <w:r w:rsidR="00CA06FE" w:rsidRPr="00CD581B">
        <w:rPr>
          <w:sz w:val="20"/>
        </w:rPr>
        <w:t>We used the Fisher’s exact test to study the association between the categorical variables</w:t>
      </w:r>
      <w:r w:rsidR="000A38EF" w:rsidRPr="00CD581B">
        <w:rPr>
          <w:sz w:val="20"/>
        </w:rPr>
        <w:t xml:space="preserve"> with a </w:t>
      </w:r>
      <w:r w:rsidR="00DB4417" w:rsidRPr="00CD581B">
        <w:rPr>
          <w:sz w:val="20"/>
        </w:rPr>
        <w:t xml:space="preserve">significance </w:t>
      </w:r>
      <w:r w:rsidR="000A38EF" w:rsidRPr="00CD581B">
        <w:rPr>
          <w:sz w:val="20"/>
        </w:rPr>
        <w:t xml:space="preserve">level of </w:t>
      </w:r>
      <w:r w:rsidR="008266CB" w:rsidRPr="00CD581B">
        <w:rPr>
          <w:sz w:val="20"/>
        </w:rPr>
        <w:t>5%</w:t>
      </w:r>
      <w:r w:rsidR="00CA06FE" w:rsidRPr="00CD581B">
        <w:rPr>
          <w:sz w:val="20"/>
        </w:rPr>
        <w:t>.</w:t>
      </w:r>
    </w:p>
    <w:p w14:paraId="60E1BCF4" w14:textId="255E44AE" w:rsidR="00D43F30" w:rsidRPr="00CD581B" w:rsidRDefault="00D43F30" w:rsidP="007A39C7">
      <w:pPr>
        <w:spacing w:after="40" w:line="240" w:lineRule="auto"/>
        <w:jc w:val="both"/>
        <w:rPr>
          <w:sz w:val="20"/>
        </w:rPr>
      </w:pPr>
      <w:r w:rsidRPr="00CD581B">
        <w:rPr>
          <w:b/>
          <w:sz w:val="20"/>
        </w:rPr>
        <w:t xml:space="preserve">Results: </w:t>
      </w:r>
      <w:r w:rsidR="00C614BC" w:rsidRPr="005451A6">
        <w:rPr>
          <w:sz w:val="20"/>
        </w:rPr>
        <w:t xml:space="preserve">The main results </w:t>
      </w:r>
      <w:r w:rsidR="005451A6" w:rsidRPr="005451A6">
        <w:rPr>
          <w:sz w:val="20"/>
        </w:rPr>
        <w:t>are:</w:t>
      </w:r>
      <w:r w:rsidR="005451A6">
        <w:rPr>
          <w:b/>
          <w:sz w:val="20"/>
        </w:rPr>
        <w:t xml:space="preserve"> </w:t>
      </w:r>
      <w:r w:rsidR="005451A6">
        <w:rPr>
          <w:sz w:val="20"/>
        </w:rPr>
        <w:t xml:space="preserve">(1) </w:t>
      </w:r>
      <w:r w:rsidR="00871932" w:rsidRPr="00CD581B">
        <w:rPr>
          <w:sz w:val="20"/>
        </w:rPr>
        <w:t xml:space="preserve">41 violence </w:t>
      </w:r>
      <w:r w:rsidR="001D13E9" w:rsidRPr="00CD581B">
        <w:rPr>
          <w:sz w:val="20"/>
        </w:rPr>
        <w:t>incident</w:t>
      </w:r>
      <w:r w:rsidR="00871932" w:rsidRPr="00CD581B">
        <w:rPr>
          <w:sz w:val="20"/>
        </w:rPr>
        <w:t xml:space="preserve">s </w:t>
      </w:r>
      <w:r w:rsidR="004C7299" w:rsidRPr="00CD581B">
        <w:rPr>
          <w:sz w:val="20"/>
        </w:rPr>
        <w:t>were</w:t>
      </w:r>
      <w:r w:rsidR="00871932" w:rsidRPr="00CD581B">
        <w:rPr>
          <w:sz w:val="20"/>
        </w:rPr>
        <w:t xml:space="preserve"> reported in the quantitative </w:t>
      </w:r>
      <w:r w:rsidR="009E06DD" w:rsidRPr="00CD581B">
        <w:rPr>
          <w:sz w:val="20"/>
        </w:rPr>
        <w:t>phase</w:t>
      </w:r>
      <w:r w:rsidR="005451A6">
        <w:rPr>
          <w:sz w:val="20"/>
        </w:rPr>
        <w:t>; (2)</w:t>
      </w:r>
      <w:r w:rsidR="00075909" w:rsidRPr="00CD581B">
        <w:rPr>
          <w:sz w:val="20"/>
        </w:rPr>
        <w:t xml:space="preserve"> </w:t>
      </w:r>
      <w:r w:rsidR="00FB3276" w:rsidRPr="00CD581B">
        <w:rPr>
          <w:sz w:val="20"/>
        </w:rPr>
        <w:t>5</w:t>
      </w:r>
      <w:r w:rsidR="002B1014" w:rsidRPr="00CD581B">
        <w:rPr>
          <w:sz w:val="20"/>
        </w:rPr>
        <w:t>/21</w:t>
      </w:r>
      <w:r w:rsidR="00075909" w:rsidRPr="00CD581B">
        <w:rPr>
          <w:sz w:val="20"/>
        </w:rPr>
        <w:t xml:space="preserve"> victims notified the incident to the occupational health department</w:t>
      </w:r>
      <w:r w:rsidR="005451A6">
        <w:rPr>
          <w:sz w:val="20"/>
        </w:rPr>
        <w:t>; (3)</w:t>
      </w:r>
      <w:r w:rsidR="00075909" w:rsidRPr="00CD581B">
        <w:rPr>
          <w:sz w:val="20"/>
        </w:rPr>
        <w:t xml:space="preserve"> </w:t>
      </w:r>
      <w:r w:rsidR="00515E87" w:rsidRPr="00CD581B">
        <w:rPr>
          <w:sz w:val="20"/>
        </w:rPr>
        <w:t>1</w:t>
      </w:r>
      <w:r w:rsidR="003731D9" w:rsidRPr="00CD581B">
        <w:rPr>
          <w:sz w:val="20"/>
        </w:rPr>
        <w:t>8</w:t>
      </w:r>
      <w:r w:rsidR="00515E87" w:rsidRPr="00CD581B">
        <w:rPr>
          <w:sz w:val="20"/>
        </w:rPr>
        <w:t>/21 victims</w:t>
      </w:r>
      <w:r w:rsidR="006F25E1" w:rsidRPr="00CD581B">
        <w:rPr>
          <w:sz w:val="20"/>
        </w:rPr>
        <w:t xml:space="preserve"> </w:t>
      </w:r>
      <w:r w:rsidR="003731D9" w:rsidRPr="00CD581B">
        <w:rPr>
          <w:sz w:val="20"/>
        </w:rPr>
        <w:t>reported a permanent state of hypervigilance</w:t>
      </w:r>
      <w:r w:rsidR="005451A6">
        <w:rPr>
          <w:sz w:val="20"/>
        </w:rPr>
        <w:t>; (4)</w:t>
      </w:r>
      <w:r w:rsidR="006F25E1" w:rsidRPr="00CD581B">
        <w:rPr>
          <w:sz w:val="20"/>
        </w:rPr>
        <w:t xml:space="preserve"> </w:t>
      </w:r>
      <w:r w:rsidR="00515E87" w:rsidRPr="00CD581B">
        <w:rPr>
          <w:sz w:val="20"/>
        </w:rPr>
        <w:t>22/28</w:t>
      </w:r>
      <w:r w:rsidR="00E03774" w:rsidRPr="00CD581B">
        <w:rPr>
          <w:sz w:val="20"/>
        </w:rPr>
        <w:t xml:space="preserve"> </w:t>
      </w:r>
      <w:r w:rsidR="004A78A5" w:rsidRPr="00CD581B">
        <w:rPr>
          <w:sz w:val="20"/>
        </w:rPr>
        <w:t>participants</w:t>
      </w:r>
      <w:r w:rsidR="00E03774" w:rsidRPr="00CD581B">
        <w:rPr>
          <w:sz w:val="20"/>
        </w:rPr>
        <w:t xml:space="preserve"> </w:t>
      </w:r>
      <w:r w:rsidR="00454A06" w:rsidRPr="00CD581B">
        <w:rPr>
          <w:sz w:val="20"/>
        </w:rPr>
        <w:t xml:space="preserve">self-reported poor or no familiarity with internal </w:t>
      </w:r>
      <w:r w:rsidR="00795C3A" w:rsidRPr="00CD581B">
        <w:rPr>
          <w:sz w:val="20"/>
        </w:rPr>
        <w:t>reporting</w:t>
      </w:r>
      <w:r w:rsidR="000A38EF" w:rsidRPr="00CD581B">
        <w:rPr>
          <w:sz w:val="20"/>
        </w:rPr>
        <w:t xml:space="preserve"> </w:t>
      </w:r>
      <w:r w:rsidR="00454A06" w:rsidRPr="00CD581B">
        <w:rPr>
          <w:sz w:val="20"/>
        </w:rPr>
        <w:t>procedures</w:t>
      </w:r>
      <w:r w:rsidR="005451A6">
        <w:rPr>
          <w:sz w:val="20"/>
        </w:rPr>
        <w:t>; (5)</w:t>
      </w:r>
      <w:r w:rsidR="00641C7A" w:rsidRPr="00CD581B">
        <w:rPr>
          <w:sz w:val="20"/>
        </w:rPr>
        <w:t xml:space="preserve"> </w:t>
      </w:r>
      <w:r w:rsidR="00515E87" w:rsidRPr="00CD581B">
        <w:rPr>
          <w:sz w:val="20"/>
        </w:rPr>
        <w:t xml:space="preserve">24/28 </w:t>
      </w:r>
      <w:r w:rsidR="004A78A5" w:rsidRPr="00CD581B">
        <w:rPr>
          <w:sz w:val="20"/>
        </w:rPr>
        <w:t>participants</w:t>
      </w:r>
      <w:r w:rsidR="00515E87" w:rsidRPr="00CD581B">
        <w:rPr>
          <w:sz w:val="20"/>
        </w:rPr>
        <w:t xml:space="preserve"> believe it is possible to minimize workplace violence.</w:t>
      </w:r>
      <w:r w:rsidR="00F12487" w:rsidRPr="00CD581B">
        <w:rPr>
          <w:sz w:val="20"/>
        </w:rPr>
        <w:t xml:space="preserve"> </w:t>
      </w:r>
    </w:p>
    <w:p w14:paraId="4F1ABD5F" w14:textId="1864D88D" w:rsidR="00036456" w:rsidRPr="00CD581B" w:rsidRDefault="00D43F30" w:rsidP="007A39C7">
      <w:pPr>
        <w:spacing w:after="40" w:line="240" w:lineRule="auto"/>
        <w:jc w:val="both"/>
        <w:rPr>
          <w:sz w:val="20"/>
        </w:rPr>
      </w:pPr>
      <w:r w:rsidRPr="00CD581B">
        <w:rPr>
          <w:b/>
          <w:sz w:val="20"/>
        </w:rPr>
        <w:t xml:space="preserve">Discussion: </w:t>
      </w:r>
      <w:r w:rsidR="005527A9" w:rsidRPr="00CD581B">
        <w:rPr>
          <w:sz w:val="20"/>
        </w:rPr>
        <w:t xml:space="preserve">Workplace violence is favored by unrestricted access to working areas, absence of safety agents and police officers or </w:t>
      </w:r>
      <w:r w:rsidR="00BE58CE" w:rsidRPr="00CD581B">
        <w:rPr>
          <w:sz w:val="20"/>
        </w:rPr>
        <w:t>scarce</w:t>
      </w:r>
      <w:r w:rsidR="005527A9" w:rsidRPr="00CD581B">
        <w:rPr>
          <w:sz w:val="20"/>
        </w:rPr>
        <w:t xml:space="preserve"> intervention. </w:t>
      </w:r>
      <w:r w:rsidR="0061599C" w:rsidRPr="00CD581B">
        <w:rPr>
          <w:sz w:val="20"/>
        </w:rPr>
        <w:t xml:space="preserve">The low notification </w:t>
      </w:r>
      <w:r w:rsidR="003577BA" w:rsidRPr="00CD581B">
        <w:rPr>
          <w:sz w:val="20"/>
        </w:rPr>
        <w:t xml:space="preserve">rate </w:t>
      </w:r>
      <w:r w:rsidR="00075909" w:rsidRPr="00CD581B">
        <w:rPr>
          <w:sz w:val="20"/>
        </w:rPr>
        <w:t>contributes</w:t>
      </w:r>
      <w:r w:rsidR="0061599C" w:rsidRPr="00CD581B">
        <w:rPr>
          <w:sz w:val="20"/>
        </w:rPr>
        <w:t xml:space="preserve"> </w:t>
      </w:r>
      <w:r w:rsidR="00075909" w:rsidRPr="00CD581B">
        <w:rPr>
          <w:sz w:val="20"/>
        </w:rPr>
        <w:t>to</w:t>
      </w:r>
      <w:r w:rsidR="0061599C" w:rsidRPr="00CD581B">
        <w:rPr>
          <w:sz w:val="20"/>
        </w:rPr>
        <w:t xml:space="preserve"> organizational lack of action. </w:t>
      </w:r>
      <w:r w:rsidR="00036456" w:rsidRPr="00CD581B">
        <w:rPr>
          <w:sz w:val="20"/>
        </w:rPr>
        <w:t xml:space="preserve">The state of hypervigilance </w:t>
      </w:r>
      <w:r w:rsidR="00BE58CE" w:rsidRPr="00CD581B">
        <w:rPr>
          <w:sz w:val="20"/>
        </w:rPr>
        <w:t xml:space="preserve">reported </w:t>
      </w:r>
      <w:r w:rsidR="00036456" w:rsidRPr="00CD581B">
        <w:rPr>
          <w:sz w:val="20"/>
        </w:rPr>
        <w:t xml:space="preserve">in our study reflects the </w:t>
      </w:r>
      <w:r w:rsidR="00D70C77" w:rsidRPr="00CD581B">
        <w:rPr>
          <w:sz w:val="20"/>
        </w:rPr>
        <w:t xml:space="preserve">negative effects on mental health of </w:t>
      </w:r>
      <w:r w:rsidR="00036456" w:rsidRPr="00CD581B">
        <w:rPr>
          <w:sz w:val="20"/>
        </w:rPr>
        <w:t xml:space="preserve">threatening </w:t>
      </w:r>
      <w:r w:rsidR="00795C3A" w:rsidRPr="00CD581B">
        <w:rPr>
          <w:sz w:val="20"/>
        </w:rPr>
        <w:t xml:space="preserve">occupational </w:t>
      </w:r>
      <w:r w:rsidR="00036456" w:rsidRPr="00CD581B">
        <w:rPr>
          <w:sz w:val="20"/>
        </w:rPr>
        <w:t>stressors.</w:t>
      </w:r>
      <w:r w:rsidR="0061790B" w:rsidRPr="00CD581B">
        <w:rPr>
          <w:sz w:val="20"/>
        </w:rPr>
        <w:t xml:space="preserve"> </w:t>
      </w:r>
    </w:p>
    <w:p w14:paraId="4FDFD275" w14:textId="6FB1BA34" w:rsidR="00AD6BC5" w:rsidRPr="00CD581B" w:rsidRDefault="00FC28FB" w:rsidP="007A39C7">
      <w:pPr>
        <w:spacing w:after="40" w:line="240" w:lineRule="auto"/>
        <w:jc w:val="both"/>
        <w:rPr>
          <w:sz w:val="20"/>
        </w:rPr>
      </w:pPr>
      <w:r w:rsidRPr="00CD581B">
        <w:rPr>
          <w:b/>
          <w:sz w:val="20"/>
        </w:rPr>
        <w:t xml:space="preserve">Conclusion: </w:t>
      </w:r>
      <w:r w:rsidR="00AD6BC5" w:rsidRPr="00CD581B">
        <w:rPr>
          <w:sz w:val="20"/>
        </w:rPr>
        <w:t xml:space="preserve">Our results show that workplace violence is </w:t>
      </w:r>
      <w:r w:rsidR="003731D9" w:rsidRPr="00CD581B">
        <w:rPr>
          <w:sz w:val="20"/>
        </w:rPr>
        <w:t>a relevant</w:t>
      </w:r>
      <w:r w:rsidR="00AD6BC5" w:rsidRPr="00CD581B">
        <w:rPr>
          <w:sz w:val="20"/>
        </w:rPr>
        <w:t xml:space="preserve"> risk factor that significantly impacts workers’ health in a noxious manner, deserving a tailored occupational health approach whose priority areas and strategies have been determined.</w:t>
      </w:r>
    </w:p>
    <w:p w14:paraId="440BE716" w14:textId="77777777" w:rsidR="00CD581B" w:rsidRPr="00715CAE" w:rsidRDefault="00CD581B" w:rsidP="007A39C7">
      <w:pPr>
        <w:spacing w:after="40" w:line="240" w:lineRule="auto"/>
        <w:jc w:val="both"/>
        <w:rPr>
          <w:b/>
          <w:sz w:val="20"/>
        </w:rPr>
      </w:pPr>
    </w:p>
    <w:p w14:paraId="6CF035DB" w14:textId="2E6DC42E" w:rsidR="00CD581B" w:rsidRPr="00CD581B" w:rsidRDefault="00CD581B" w:rsidP="007A39C7">
      <w:pPr>
        <w:spacing w:after="40" w:line="240" w:lineRule="auto"/>
        <w:jc w:val="both"/>
        <w:rPr>
          <w:b/>
          <w:sz w:val="20"/>
          <w:lang w:val="pt-PT"/>
        </w:rPr>
      </w:pPr>
      <w:r w:rsidRPr="00CD581B">
        <w:rPr>
          <w:b/>
          <w:sz w:val="20"/>
          <w:lang w:val="pt-PT"/>
        </w:rPr>
        <w:t xml:space="preserve">Palavras-chave: </w:t>
      </w:r>
      <w:r w:rsidRPr="00CD581B">
        <w:rPr>
          <w:sz w:val="20"/>
          <w:lang w:val="pt-PT"/>
        </w:rPr>
        <w:t>violência no local de trabalho, fatores de risco profissionais, trabalhadores da saúde, saúde ocupacional, prevenção</w:t>
      </w:r>
    </w:p>
    <w:p w14:paraId="5899B063" w14:textId="6DD3AF12" w:rsidR="00D43F30" w:rsidRPr="00CD581B" w:rsidRDefault="00AD6BC5" w:rsidP="007A39C7">
      <w:pPr>
        <w:spacing w:after="40" w:line="240" w:lineRule="auto"/>
        <w:jc w:val="both"/>
        <w:rPr>
          <w:sz w:val="20"/>
        </w:rPr>
      </w:pPr>
      <w:r w:rsidRPr="00CD581B">
        <w:rPr>
          <w:b/>
          <w:sz w:val="20"/>
        </w:rPr>
        <w:t xml:space="preserve">Key words: </w:t>
      </w:r>
      <w:r w:rsidRPr="00CD581B">
        <w:rPr>
          <w:sz w:val="20"/>
        </w:rPr>
        <w:t xml:space="preserve">workplace violence, </w:t>
      </w:r>
      <w:r w:rsidR="000A38EF" w:rsidRPr="00CD581B">
        <w:rPr>
          <w:sz w:val="20"/>
        </w:rPr>
        <w:t>occupational</w:t>
      </w:r>
      <w:r w:rsidR="00D3183D" w:rsidRPr="00CD581B">
        <w:rPr>
          <w:sz w:val="20"/>
        </w:rPr>
        <w:t xml:space="preserve"> hazard</w:t>
      </w:r>
      <w:r w:rsidR="00FC28FB" w:rsidRPr="00CD581B">
        <w:rPr>
          <w:sz w:val="20"/>
        </w:rPr>
        <w:t xml:space="preserve">, </w:t>
      </w:r>
      <w:r w:rsidRPr="00CD581B">
        <w:rPr>
          <w:sz w:val="20"/>
        </w:rPr>
        <w:t>healthcare</w:t>
      </w:r>
      <w:r w:rsidR="00611A6A" w:rsidRPr="00CD581B">
        <w:rPr>
          <w:sz w:val="20"/>
        </w:rPr>
        <w:t xml:space="preserve"> workers</w:t>
      </w:r>
      <w:r w:rsidRPr="00CD581B">
        <w:rPr>
          <w:sz w:val="20"/>
        </w:rPr>
        <w:t>, occupational health</w:t>
      </w:r>
      <w:r w:rsidR="00FD3680" w:rsidRPr="00CD581B">
        <w:rPr>
          <w:sz w:val="20"/>
        </w:rPr>
        <w:t>,</w:t>
      </w:r>
      <w:r w:rsidR="00FD3680" w:rsidRPr="00CD581B">
        <w:rPr>
          <w:b/>
          <w:sz w:val="20"/>
        </w:rPr>
        <w:t xml:space="preserve"> </w:t>
      </w:r>
      <w:r w:rsidR="00FC28FB" w:rsidRPr="00CD581B">
        <w:rPr>
          <w:sz w:val="20"/>
        </w:rPr>
        <w:t>prevention</w:t>
      </w:r>
    </w:p>
    <w:p w14:paraId="1B10B6A9" w14:textId="77777777" w:rsidR="00D43F30" w:rsidRPr="000B7F48" w:rsidRDefault="00D43F30" w:rsidP="000B7F48">
      <w:pPr>
        <w:spacing w:line="240" w:lineRule="auto"/>
        <w:jc w:val="both"/>
        <w:rPr>
          <w:b/>
          <w:sz w:val="2"/>
        </w:rPr>
      </w:pPr>
    </w:p>
    <w:p w14:paraId="759B0E47" w14:textId="77777777" w:rsidR="00636813" w:rsidRDefault="00636813" w:rsidP="00172B96">
      <w:pPr>
        <w:spacing w:after="0" w:line="360" w:lineRule="auto"/>
        <w:rPr>
          <w:b/>
        </w:rPr>
      </w:pPr>
      <w:r>
        <w:rPr>
          <w:b/>
        </w:rPr>
        <w:lastRenderedPageBreak/>
        <w:t>INTRODUCTION</w:t>
      </w:r>
    </w:p>
    <w:p w14:paraId="587FACE2" w14:textId="03624503" w:rsidR="00581ADB" w:rsidRDefault="005469B4" w:rsidP="00293ABB">
      <w:pPr>
        <w:spacing w:after="0" w:line="360" w:lineRule="auto"/>
        <w:jc w:val="both"/>
      </w:pPr>
      <w:r>
        <w:t xml:space="preserve">Workplace violence </w:t>
      </w:r>
      <w:r w:rsidR="00957049">
        <w:t>is considered</w:t>
      </w:r>
      <w:r>
        <w:t xml:space="preserve"> one of the major</w:t>
      </w:r>
      <w:r w:rsidR="000A38EF">
        <w:t xml:space="preserve"> occupational</w:t>
      </w:r>
      <w:r>
        <w:t xml:space="preserve"> </w:t>
      </w:r>
      <w:r w:rsidR="00044D4E">
        <w:t>hazards</w:t>
      </w:r>
      <w:r>
        <w:t xml:space="preserve"> </w:t>
      </w:r>
      <w:r w:rsidR="00067983">
        <w:t>in</w:t>
      </w:r>
      <w:r>
        <w:t xml:space="preserve"> the world </w:t>
      </w:r>
      <w:r w:rsidR="00957049">
        <w:t>by</w:t>
      </w:r>
      <w:r>
        <w:t xml:space="preserve"> the </w:t>
      </w:r>
      <w:r w:rsidRPr="00593BED">
        <w:rPr>
          <w:i/>
        </w:rPr>
        <w:t xml:space="preserve">International </w:t>
      </w:r>
      <w:proofErr w:type="spellStart"/>
      <w:r w:rsidRPr="00593BED">
        <w:rPr>
          <w:i/>
        </w:rPr>
        <w:t>Labour</w:t>
      </w:r>
      <w:proofErr w:type="spellEnd"/>
      <w:r w:rsidRPr="00593BED">
        <w:rPr>
          <w:i/>
        </w:rPr>
        <w:t xml:space="preserve"> Office</w:t>
      </w:r>
      <w:bookmarkStart w:id="0" w:name="_Ref524021829"/>
      <w:r w:rsidR="0022713F">
        <w:rPr>
          <w:i/>
        </w:rPr>
        <w:t>.</w:t>
      </w:r>
      <w:r w:rsidR="008E72ED">
        <w:rPr>
          <w:rStyle w:val="EndnoteReference"/>
        </w:rPr>
        <w:endnoteReference w:id="1"/>
      </w:r>
      <w:bookmarkEnd w:id="0"/>
      <w:r>
        <w:t xml:space="preserve"> </w:t>
      </w:r>
      <w:r w:rsidR="009D79E4" w:rsidRPr="00593BED">
        <w:rPr>
          <w:i/>
        </w:rPr>
        <w:t xml:space="preserve">The </w:t>
      </w:r>
      <w:r w:rsidR="00070727" w:rsidRPr="00593BED">
        <w:rPr>
          <w:i/>
        </w:rPr>
        <w:t>Occupational Safety and Health Administration</w:t>
      </w:r>
      <w:r w:rsidR="00070727">
        <w:t xml:space="preserve"> (OSHA</w:t>
      </w:r>
      <w:r w:rsidR="00070727" w:rsidRPr="00FB3276">
        <w:t xml:space="preserve">) </w:t>
      </w:r>
      <w:r w:rsidR="009D79E4" w:rsidRPr="00FB3276">
        <w:t>defines</w:t>
      </w:r>
      <w:r w:rsidR="00070727">
        <w:t xml:space="preserve"> </w:t>
      </w:r>
      <w:r w:rsidR="009D79E4">
        <w:t>w</w:t>
      </w:r>
      <w:r w:rsidR="00070727" w:rsidRPr="00070727">
        <w:t xml:space="preserve">orkplace violence </w:t>
      </w:r>
      <w:r w:rsidR="009D79E4">
        <w:t>a</w:t>
      </w:r>
      <w:r w:rsidR="00070727" w:rsidRPr="00070727">
        <w:t>s any act or threat of physical violence, harassment, intimidation, or other threatening disruptive behavior that occurs at the work</w:t>
      </w:r>
      <w:r w:rsidR="00044D4E">
        <w:t>place</w:t>
      </w:r>
      <w:r w:rsidR="00D32AB5">
        <w:t>,</w:t>
      </w:r>
      <w:r w:rsidR="009D79E4">
        <w:t xml:space="preserve"> </w:t>
      </w:r>
      <w:r w:rsidR="00583E19">
        <w:t>ranging</w:t>
      </w:r>
      <w:r w:rsidR="00070727" w:rsidRPr="00070727">
        <w:t xml:space="preserve"> from threats and verbal abuse to physical assaults and even homicide</w:t>
      </w:r>
      <w:r w:rsidR="0022713F">
        <w:t>.</w:t>
      </w:r>
      <w:r w:rsidR="009D79E4">
        <w:rPr>
          <w:rStyle w:val="EndnoteReference"/>
        </w:rPr>
        <w:endnoteReference w:id="2"/>
      </w:r>
      <w:r w:rsidR="00044D4E">
        <w:t xml:space="preserve"> </w:t>
      </w:r>
      <w:r w:rsidR="001844C9">
        <w:t>M</w:t>
      </w:r>
      <w:r w:rsidR="00293ABB">
        <w:t>otivation to work, qualitative job security and job mobility</w:t>
      </w:r>
      <w:r w:rsidR="00070727" w:rsidRPr="00070727">
        <w:t xml:space="preserve"> </w:t>
      </w:r>
      <w:r w:rsidR="00293ABB">
        <w:t xml:space="preserve">have also been </w:t>
      </w:r>
      <w:r w:rsidR="00CF120C">
        <w:t>reported</w:t>
      </w:r>
      <w:r w:rsidR="00293ABB">
        <w:t xml:space="preserve"> to be negatively impacted</w:t>
      </w:r>
      <w:bookmarkStart w:id="1" w:name="_Ref524020855"/>
      <w:r w:rsidR="0022713F">
        <w:t>.</w:t>
      </w:r>
      <w:r w:rsidR="00293ABB">
        <w:rPr>
          <w:rStyle w:val="EndnoteReference"/>
        </w:rPr>
        <w:endnoteReference w:id="3"/>
      </w:r>
      <w:bookmarkEnd w:id="1"/>
      <w:r w:rsidR="0022713F">
        <w:t xml:space="preserve"> </w:t>
      </w:r>
      <w:r w:rsidR="001C3D53">
        <w:t xml:space="preserve">The exposure </w:t>
      </w:r>
      <w:r w:rsidR="00386036">
        <w:t>to stressful events at work is likely to increase</w:t>
      </w:r>
      <w:r w:rsidR="001C3D53">
        <w:t xml:space="preserve"> </w:t>
      </w:r>
      <w:r w:rsidR="00386036">
        <w:t xml:space="preserve">the </w:t>
      </w:r>
      <w:r w:rsidR="00386036" w:rsidRPr="00607B9F">
        <w:rPr>
          <w:strike/>
        </w:rPr>
        <w:t>target’s level of</w:t>
      </w:r>
      <w:r w:rsidR="00386036">
        <w:t xml:space="preserve"> cognitive activation</w:t>
      </w:r>
      <w:r w:rsidR="001C3D53">
        <w:t xml:space="preserve"> that</w:t>
      </w:r>
      <w:r w:rsidR="00386036">
        <w:t xml:space="preserve"> can be described as worrying or </w:t>
      </w:r>
      <w:r w:rsidR="001C3D53">
        <w:t xml:space="preserve">having </w:t>
      </w:r>
      <w:r w:rsidR="00386036">
        <w:t>repetitive</w:t>
      </w:r>
      <w:r w:rsidR="001C3D53">
        <w:t xml:space="preserve"> </w:t>
      </w:r>
      <w:r w:rsidR="00386036">
        <w:t>thoughts, triggering autonomic arousal and emotional stress</w:t>
      </w:r>
      <w:bookmarkStart w:id="2" w:name="_Ref524020428"/>
      <w:r w:rsidR="00400001">
        <w:t>.</w:t>
      </w:r>
      <w:r w:rsidR="001C3D53">
        <w:rPr>
          <w:rStyle w:val="EndnoteReference"/>
        </w:rPr>
        <w:endnoteReference w:id="4"/>
      </w:r>
      <w:bookmarkEnd w:id="2"/>
      <w:r w:rsidR="00400001">
        <w:t xml:space="preserve"> </w:t>
      </w:r>
      <w:r w:rsidR="00CF120C">
        <w:t xml:space="preserve">Length of exposure has been referred as </w:t>
      </w:r>
      <w:r w:rsidR="00CF120C" w:rsidRPr="00043A5D">
        <w:rPr>
          <w:strike/>
        </w:rPr>
        <w:t>a</w:t>
      </w:r>
      <w:r w:rsidR="00CF120C">
        <w:t xml:space="preserve"> determinant </w:t>
      </w:r>
      <w:r w:rsidR="00CF120C" w:rsidRPr="00043A5D">
        <w:rPr>
          <w:strike/>
        </w:rPr>
        <w:t>factor</w:t>
      </w:r>
      <w:r w:rsidR="00CF120C">
        <w:t xml:space="preserve"> to the </w:t>
      </w:r>
      <w:r w:rsidR="00BC1DC5">
        <w:t xml:space="preserve">severity of these </w:t>
      </w:r>
      <w:r w:rsidR="00CF120C">
        <w:t>effects</w:t>
      </w:r>
      <w:r w:rsidR="00400001">
        <w:t>.</w:t>
      </w:r>
      <w:r w:rsidR="00F345FD" w:rsidRPr="00FB3276">
        <w:rPr>
          <w:vertAlign w:val="superscript"/>
        </w:rPr>
        <w:t>4,</w:t>
      </w:r>
      <w:r w:rsidR="00BC1DC5" w:rsidRPr="00FB3276">
        <w:rPr>
          <w:rStyle w:val="EndnoteReference"/>
        </w:rPr>
        <w:endnoteReference w:id="5"/>
      </w:r>
      <w:r w:rsidR="00400001">
        <w:rPr>
          <w:vertAlign w:val="superscript"/>
        </w:rPr>
        <w:t xml:space="preserve"> </w:t>
      </w:r>
      <w:r w:rsidR="00044D4E">
        <w:t>W</w:t>
      </w:r>
      <w:r w:rsidR="005C4F5A">
        <w:t xml:space="preserve">orkplace violence impact on health is </w:t>
      </w:r>
      <w:r w:rsidR="00083A2B">
        <w:t>of higher concern</w:t>
      </w:r>
      <w:r w:rsidR="00043A5D">
        <w:t xml:space="preserve"> </w:t>
      </w:r>
      <w:r w:rsidR="00043A5D" w:rsidRPr="00182C44">
        <w:rPr>
          <w:highlight w:val="yellow"/>
        </w:rPr>
        <w:t>when</w:t>
      </w:r>
      <w:r w:rsidR="005C4F5A">
        <w:t xml:space="preserve"> </w:t>
      </w:r>
      <w:r w:rsidR="005C4F5A" w:rsidRPr="00043A5D">
        <w:rPr>
          <w:strike/>
        </w:rPr>
        <w:t>in settings where</w:t>
      </w:r>
      <w:r w:rsidR="005C4F5A">
        <w:t xml:space="preserve"> workers are permanently involved with other citizens which is the case of healthcare</w:t>
      </w:r>
      <w:r w:rsidR="00400001">
        <w:t>,</w:t>
      </w:r>
      <w:r w:rsidR="0042514F" w:rsidRPr="005C4F5A">
        <w:rPr>
          <w:vertAlign w:val="superscript"/>
        </w:rPr>
        <w:fldChar w:fldCharType="begin"/>
      </w:r>
      <w:r w:rsidR="005C4F5A" w:rsidRPr="005C4F5A">
        <w:rPr>
          <w:vertAlign w:val="superscript"/>
        </w:rPr>
        <w:instrText xml:space="preserve"> NOTEREF _Ref524020855 \h </w:instrText>
      </w:r>
      <w:r w:rsidR="005C4F5A">
        <w:rPr>
          <w:vertAlign w:val="superscript"/>
        </w:rPr>
        <w:instrText xml:space="preserve"> \* MERGEFORMAT </w:instrText>
      </w:r>
      <w:r w:rsidR="0042514F" w:rsidRPr="005C4F5A">
        <w:rPr>
          <w:vertAlign w:val="superscript"/>
        </w:rPr>
      </w:r>
      <w:r w:rsidR="0042514F" w:rsidRPr="005C4F5A">
        <w:rPr>
          <w:vertAlign w:val="superscript"/>
        </w:rPr>
        <w:fldChar w:fldCharType="separate"/>
      </w:r>
      <w:r w:rsidR="008C6F64">
        <w:rPr>
          <w:vertAlign w:val="superscript"/>
        </w:rPr>
        <w:t>3</w:t>
      </w:r>
      <w:r w:rsidR="0042514F" w:rsidRPr="005C4F5A">
        <w:rPr>
          <w:vertAlign w:val="superscript"/>
        </w:rPr>
        <w:fldChar w:fldCharType="end"/>
      </w:r>
      <w:r w:rsidR="00044D4E">
        <w:t xml:space="preserve"> w</w:t>
      </w:r>
      <w:r w:rsidR="005C4F5A">
        <w:t xml:space="preserve">here the risk of aggression is </w:t>
      </w:r>
      <w:r w:rsidR="005C4F5A" w:rsidRPr="00043A5D">
        <w:rPr>
          <w:strike/>
        </w:rPr>
        <w:t>estimated to be</w:t>
      </w:r>
      <w:r w:rsidR="005C4F5A">
        <w:t xml:space="preserve"> </w:t>
      </w:r>
      <w:r w:rsidR="00F345FD" w:rsidRPr="00FB3276">
        <w:t>four</w:t>
      </w:r>
      <w:r w:rsidR="005C4F5A">
        <w:t xml:space="preserve"> times higher than in the general private sector</w:t>
      </w:r>
      <w:bookmarkStart w:id="3" w:name="_Ref524021274"/>
      <w:r w:rsidR="00400001">
        <w:t>.</w:t>
      </w:r>
      <w:r w:rsidR="00083A2B">
        <w:rPr>
          <w:rStyle w:val="EndnoteReference"/>
        </w:rPr>
        <w:endnoteReference w:id="6"/>
      </w:r>
      <w:bookmarkEnd w:id="3"/>
      <w:r w:rsidR="00400001">
        <w:t xml:space="preserve"> </w:t>
      </w:r>
      <w:r w:rsidR="005C4F5A">
        <w:t xml:space="preserve">Additionally, </w:t>
      </w:r>
      <w:r w:rsidR="0002373B">
        <w:t>it threatens the quality of the care provided to patients</w:t>
      </w:r>
      <w:bookmarkStart w:id="4" w:name="_Ref524451025"/>
      <w:r w:rsidR="00400001">
        <w:t>.</w:t>
      </w:r>
      <w:r w:rsidR="00F345FD" w:rsidRPr="00FB3276">
        <w:rPr>
          <w:vertAlign w:val="superscript"/>
        </w:rPr>
        <w:t>1,</w:t>
      </w:r>
      <w:r w:rsidR="00245423" w:rsidRPr="00FB3276">
        <w:rPr>
          <w:rStyle w:val="EndnoteReference"/>
        </w:rPr>
        <w:endnoteReference w:id="7"/>
      </w:r>
      <w:bookmarkEnd w:id="4"/>
      <w:r w:rsidR="00400001">
        <w:rPr>
          <w:vertAlign w:val="superscript"/>
        </w:rPr>
        <w:t xml:space="preserve"> </w:t>
      </w:r>
      <w:r w:rsidR="00044D4E" w:rsidRPr="00D36691">
        <w:rPr>
          <w:strike/>
        </w:rPr>
        <w:t>T</w:t>
      </w:r>
      <w:r w:rsidR="00351EA6" w:rsidRPr="00D36691">
        <w:rPr>
          <w:strike/>
        </w:rPr>
        <w:t xml:space="preserve">he </w:t>
      </w:r>
      <w:r w:rsidR="00351EA6" w:rsidRPr="00D36691">
        <w:rPr>
          <w:i/>
          <w:strike/>
        </w:rPr>
        <w:t>World Health Organization</w:t>
      </w:r>
      <w:r w:rsidR="00351EA6" w:rsidRPr="00D36691">
        <w:rPr>
          <w:strike/>
        </w:rPr>
        <w:t xml:space="preserve"> (WHO) classifies workplace violence according </w:t>
      </w:r>
      <w:r w:rsidR="00957049" w:rsidRPr="00D36691">
        <w:rPr>
          <w:strike/>
        </w:rPr>
        <w:t xml:space="preserve">to two axes: the way </w:t>
      </w:r>
      <w:r w:rsidR="00EE3B63" w:rsidRPr="00D36691">
        <w:rPr>
          <w:strike/>
        </w:rPr>
        <w:t>how it emerges</w:t>
      </w:r>
      <w:r w:rsidR="00957049" w:rsidRPr="00D36691">
        <w:rPr>
          <w:strike/>
        </w:rPr>
        <w:t xml:space="preserve"> and the aggressor’s relationship with the victim’s workplace</w:t>
      </w:r>
      <w:r w:rsidR="00886BAD" w:rsidRPr="00D36691">
        <w:rPr>
          <w:strike/>
        </w:rPr>
        <w:t>.</w:t>
      </w:r>
      <w:r w:rsidR="00957049" w:rsidRPr="00D36691">
        <w:rPr>
          <w:rStyle w:val="EndnoteReference"/>
          <w:strike/>
        </w:rPr>
        <w:endnoteReference w:id="8"/>
      </w:r>
      <w:r w:rsidR="00044D4E" w:rsidRPr="00D36691">
        <w:rPr>
          <w:strike/>
        </w:rPr>
        <w:t xml:space="preserve"> </w:t>
      </w:r>
      <w:r w:rsidR="00AD41F8" w:rsidRPr="00D36691">
        <w:rPr>
          <w:strike/>
        </w:rPr>
        <w:t>According to the first axe, violence can be classified as physical</w:t>
      </w:r>
      <w:r w:rsidR="00AD41F8" w:rsidRPr="00043A5D">
        <w:rPr>
          <w:strike/>
        </w:rPr>
        <w:t xml:space="preserve"> or psychological, </w:t>
      </w:r>
      <w:r w:rsidR="001844C9" w:rsidRPr="00043A5D">
        <w:rPr>
          <w:strike/>
        </w:rPr>
        <w:t>with</w:t>
      </w:r>
      <w:r w:rsidR="00AD41F8" w:rsidRPr="00043A5D">
        <w:rPr>
          <w:strike/>
        </w:rPr>
        <w:t xml:space="preserve"> verbal violence included</w:t>
      </w:r>
      <w:r w:rsidR="001844C9" w:rsidRPr="00043A5D">
        <w:rPr>
          <w:strike/>
        </w:rPr>
        <w:t xml:space="preserve"> in the </w:t>
      </w:r>
      <w:r w:rsidR="00340479" w:rsidRPr="00043A5D">
        <w:rPr>
          <w:strike/>
        </w:rPr>
        <w:t>latest</w:t>
      </w:r>
      <w:r w:rsidR="00AD41F8" w:rsidRPr="00043A5D">
        <w:rPr>
          <w:strike/>
        </w:rPr>
        <w:t xml:space="preserve">. The second axe </w:t>
      </w:r>
      <w:r w:rsidR="00581ADB" w:rsidRPr="00043A5D">
        <w:rPr>
          <w:strike/>
        </w:rPr>
        <w:t>classifies violence as type 1 or external when the aggressor has no relationship with the victim’s workplace (e.g. robbery), as type 2 or customer initiated when the aggressor is a patient or patient’ next of kin and as type 3</w:t>
      </w:r>
      <w:r w:rsidR="001844C9" w:rsidRPr="00043A5D">
        <w:rPr>
          <w:strike/>
        </w:rPr>
        <w:t>, horizontal</w:t>
      </w:r>
      <w:r w:rsidR="00581ADB" w:rsidRPr="00043A5D">
        <w:rPr>
          <w:strike/>
        </w:rPr>
        <w:t xml:space="preserve"> or internal when the aggressor is a co-worker or the victim’s supervisor.</w:t>
      </w:r>
      <w:r w:rsidR="001844C9" w:rsidRPr="00043A5D">
        <w:rPr>
          <w:strike/>
        </w:rPr>
        <w:t xml:space="preserve"> </w:t>
      </w:r>
      <w:r w:rsidR="00581ADB">
        <w:t xml:space="preserve">According to the </w:t>
      </w:r>
      <w:r w:rsidR="00581ADB" w:rsidRPr="00581ADB">
        <w:rPr>
          <w:i/>
        </w:rPr>
        <w:t>European Foundation for the Improvement of Living and Working Conditions</w:t>
      </w:r>
      <w:r w:rsidR="00581ADB">
        <w:t xml:space="preserve"> (</w:t>
      </w:r>
      <w:proofErr w:type="spellStart"/>
      <w:r w:rsidR="00581ADB">
        <w:t>Eurofound</w:t>
      </w:r>
      <w:proofErr w:type="spellEnd"/>
      <w:r w:rsidR="00581ADB">
        <w:t>) 14.9% of workers in the European Union suffer</w:t>
      </w:r>
      <w:r w:rsidR="00340479">
        <w:t xml:space="preserve"> </w:t>
      </w:r>
      <w:proofErr w:type="gramStart"/>
      <w:r w:rsidR="00340479">
        <w:t>some kind of</w:t>
      </w:r>
      <w:r w:rsidR="00581ADB">
        <w:t xml:space="preserve"> </w:t>
      </w:r>
      <w:r w:rsidR="001844C9">
        <w:t>workplace</w:t>
      </w:r>
      <w:proofErr w:type="gramEnd"/>
      <w:r w:rsidR="00581ADB">
        <w:t xml:space="preserve"> </w:t>
      </w:r>
      <w:r w:rsidR="00581ADB" w:rsidRPr="00FB3276">
        <w:t>violence</w:t>
      </w:r>
      <w:r w:rsidR="00886BAD">
        <w:t>.</w:t>
      </w:r>
      <w:r w:rsidR="00F23750" w:rsidRPr="00FB3276">
        <w:rPr>
          <w:vertAlign w:val="superscript"/>
        </w:rPr>
        <w:t>3</w:t>
      </w:r>
      <w:r w:rsidR="00793837" w:rsidRPr="00FB3276">
        <w:rPr>
          <w:vertAlign w:val="superscript"/>
        </w:rPr>
        <w:t xml:space="preserve"> </w:t>
      </w:r>
      <w:r w:rsidR="00581ADB">
        <w:t xml:space="preserve"> </w:t>
      </w:r>
    </w:p>
    <w:p w14:paraId="351833F1" w14:textId="37A256D7" w:rsidR="006354E4" w:rsidRDefault="00C8272B" w:rsidP="00293ABB">
      <w:pPr>
        <w:spacing w:after="0" w:line="360" w:lineRule="auto"/>
        <w:jc w:val="both"/>
        <w:rPr>
          <w:vertAlign w:val="superscript"/>
        </w:rPr>
      </w:pPr>
      <w:r>
        <w:t xml:space="preserve">Notification </w:t>
      </w:r>
      <w:r w:rsidRPr="00FB3276">
        <w:t xml:space="preserve">is </w:t>
      </w:r>
      <w:r w:rsidR="00F23750" w:rsidRPr="00B636A2">
        <w:t>the</w:t>
      </w:r>
      <w:r w:rsidR="00F23750" w:rsidRPr="00FB3276">
        <w:t xml:space="preserve"> </w:t>
      </w:r>
      <w:r w:rsidRPr="00FB3276">
        <w:t>key</w:t>
      </w:r>
      <w:r>
        <w:t xml:space="preserve"> to identify </w:t>
      </w:r>
      <w:r w:rsidR="009E6B91">
        <w:t xml:space="preserve">and prevent </w:t>
      </w:r>
      <w:r w:rsidR="00340479" w:rsidRPr="00FB3276">
        <w:t xml:space="preserve">this </w:t>
      </w:r>
      <w:r w:rsidR="00F23750" w:rsidRPr="00FB3276">
        <w:t>hazard</w:t>
      </w:r>
      <w:r w:rsidR="009E6B91" w:rsidRPr="00FB3276">
        <w:t>.</w:t>
      </w:r>
      <w:r w:rsidR="009E6B91">
        <w:t xml:space="preserve"> In the past, aggressions have </w:t>
      </w:r>
      <w:r w:rsidR="009E6B91" w:rsidRPr="00607B9F">
        <w:rPr>
          <w:strike/>
        </w:rPr>
        <w:t>somehow</w:t>
      </w:r>
      <w:r w:rsidR="009E6B91">
        <w:t xml:space="preserve"> been considered confidential by healthcare workers and their importance has been minimized by hospital administrations</w:t>
      </w:r>
      <w:bookmarkStart w:id="5" w:name="_Ref524097225"/>
      <w:r w:rsidR="00886BAD">
        <w:t>.</w:t>
      </w:r>
      <w:r w:rsidR="009E6B91">
        <w:rPr>
          <w:rStyle w:val="EndnoteReference"/>
        </w:rPr>
        <w:endnoteReference w:id="9"/>
      </w:r>
      <w:bookmarkEnd w:id="5"/>
      <w:r w:rsidR="00793837">
        <w:t xml:space="preserve"> </w:t>
      </w:r>
      <w:r w:rsidR="009E6B91" w:rsidRPr="00607B9F">
        <w:rPr>
          <w:strike/>
        </w:rPr>
        <w:t xml:space="preserve">Healthcare workers </w:t>
      </w:r>
      <w:r w:rsidR="006726B9" w:rsidRPr="00607B9F">
        <w:rPr>
          <w:strike/>
        </w:rPr>
        <w:t>used to feel</w:t>
      </w:r>
      <w:r w:rsidR="009E6B91" w:rsidRPr="00607B9F">
        <w:rPr>
          <w:strike/>
        </w:rPr>
        <w:t xml:space="preserve"> these</w:t>
      </w:r>
      <w:r w:rsidR="009E6B91">
        <w:t xml:space="preserve"> </w:t>
      </w:r>
      <w:r w:rsidR="00607B9F">
        <w:t>A</w:t>
      </w:r>
      <w:r w:rsidR="009E6B91">
        <w:t xml:space="preserve">ggressions </w:t>
      </w:r>
      <w:r w:rsidR="00F23750" w:rsidRPr="00607B9F">
        <w:rPr>
          <w:strike/>
        </w:rPr>
        <w:t>as</w:t>
      </w:r>
      <w:r w:rsidR="00F23750" w:rsidRPr="00FB3276">
        <w:t xml:space="preserve"> </w:t>
      </w:r>
      <w:r w:rsidR="00607B9F" w:rsidRPr="00607B9F">
        <w:rPr>
          <w:highlight w:val="yellow"/>
        </w:rPr>
        <w:t xml:space="preserve">were felt </w:t>
      </w:r>
      <w:r w:rsidR="00F23750" w:rsidRPr="00607B9F">
        <w:rPr>
          <w:highlight w:val="yellow"/>
        </w:rPr>
        <w:t>a</w:t>
      </w:r>
      <w:r w:rsidR="00607B9F" w:rsidRPr="00607B9F">
        <w:rPr>
          <w:highlight w:val="yellow"/>
        </w:rPr>
        <w:t>s</w:t>
      </w:r>
      <w:r w:rsidR="009E6B91" w:rsidRPr="00FB3276">
        <w:t xml:space="preserve"> part of the</w:t>
      </w:r>
      <w:r w:rsidR="00F23750" w:rsidRPr="00FB3276">
        <w:t>ir</w:t>
      </w:r>
      <w:r w:rsidR="009E6B91">
        <w:t xml:space="preserve"> job and notifying </w:t>
      </w:r>
      <w:r w:rsidR="00340479">
        <w:t xml:space="preserve">was </w:t>
      </w:r>
      <w:r w:rsidR="00043A5D" w:rsidRPr="00043A5D">
        <w:rPr>
          <w:highlight w:val="yellow"/>
        </w:rPr>
        <w:t>found</w:t>
      </w:r>
      <w:r w:rsidR="00043A5D">
        <w:t xml:space="preserve"> </w:t>
      </w:r>
      <w:r w:rsidR="00340479" w:rsidRPr="00043A5D">
        <w:rPr>
          <w:strike/>
        </w:rPr>
        <w:t>thought to</w:t>
      </w:r>
      <w:r w:rsidR="009E6B91" w:rsidRPr="00043A5D">
        <w:rPr>
          <w:strike/>
        </w:rPr>
        <w:t xml:space="preserve"> be</w:t>
      </w:r>
      <w:r w:rsidR="009E6B91">
        <w:t xml:space="preserve"> useless </w:t>
      </w:r>
      <w:r w:rsidR="009E6B91" w:rsidRPr="00043A5D">
        <w:rPr>
          <w:strike/>
        </w:rPr>
        <w:t xml:space="preserve">because nothing would be done </w:t>
      </w:r>
      <w:r w:rsidR="0035222B" w:rsidRPr="00043A5D">
        <w:rPr>
          <w:strike/>
        </w:rPr>
        <w:t>to prevent them</w:t>
      </w:r>
      <w:r w:rsidR="00886BAD">
        <w:t>.</w:t>
      </w:r>
      <w:r w:rsidR="0035222B">
        <w:rPr>
          <w:rStyle w:val="EndnoteReference"/>
        </w:rPr>
        <w:endnoteReference w:id="10"/>
      </w:r>
      <w:r w:rsidR="00793837">
        <w:t xml:space="preserve"> </w:t>
      </w:r>
      <w:r w:rsidR="00BB5020">
        <w:t>Some workers limit their notifications to verbal reports to their supervisors</w:t>
      </w:r>
      <w:r w:rsidR="00886BAD">
        <w:t>.</w:t>
      </w:r>
      <w:r w:rsidR="009D07A5">
        <w:fldChar w:fldCharType="begin"/>
      </w:r>
      <w:r w:rsidR="009D07A5">
        <w:instrText xml:space="preserve"> NOTEREF _Ref524432989 \h  \* MERGEFORMAT </w:instrText>
      </w:r>
      <w:r w:rsidR="009D07A5">
        <w:fldChar w:fldCharType="separate"/>
      </w:r>
      <w:r w:rsidR="008C6F64" w:rsidRPr="008C6F64">
        <w:rPr>
          <w:vertAlign w:val="superscript"/>
        </w:rPr>
        <w:t>11</w:t>
      </w:r>
      <w:r w:rsidR="009D07A5">
        <w:fldChar w:fldCharType="end"/>
      </w:r>
      <w:r w:rsidR="00886BAD">
        <w:t xml:space="preserve"> </w:t>
      </w:r>
      <w:r w:rsidR="00BB5020" w:rsidRPr="00043A5D">
        <w:rPr>
          <w:strike/>
        </w:rPr>
        <w:t xml:space="preserve">The probability of </w:t>
      </w:r>
      <w:r w:rsidR="00340479" w:rsidRPr="00043A5D">
        <w:rPr>
          <w:strike/>
        </w:rPr>
        <w:t>a formal</w:t>
      </w:r>
      <w:r w:rsidR="00BB5020" w:rsidRPr="00043A5D">
        <w:rPr>
          <w:strike/>
        </w:rPr>
        <w:t xml:space="preserve"> notification is higher when the aggressor proceeds with the aggression after being asked to stop, if lost working days </w:t>
      </w:r>
      <w:r w:rsidR="00340479" w:rsidRPr="00043A5D">
        <w:rPr>
          <w:strike/>
        </w:rPr>
        <w:t>are a consequence of the</w:t>
      </w:r>
      <w:r w:rsidR="00BB5020" w:rsidRPr="00043A5D">
        <w:rPr>
          <w:strike/>
        </w:rPr>
        <w:t xml:space="preserve"> aggression and in the cases where the victims receive local care for treatment of physical or psychological sequelae</w:t>
      </w:r>
      <w:bookmarkStart w:id="6" w:name="_Ref524432989"/>
      <w:r w:rsidR="00886BAD">
        <w:rPr>
          <w:sz w:val="18"/>
        </w:rPr>
        <w:t>.</w:t>
      </w:r>
      <w:r w:rsidR="006726B9">
        <w:rPr>
          <w:rStyle w:val="EndnoteReference"/>
        </w:rPr>
        <w:endnoteReference w:id="11"/>
      </w:r>
      <w:bookmarkEnd w:id="6"/>
      <w:r w:rsidR="00793837">
        <w:t xml:space="preserve"> </w:t>
      </w:r>
      <w:r w:rsidR="00FF54A3">
        <w:t>Some authors explain t</w:t>
      </w:r>
      <w:r w:rsidR="006B700D">
        <w:t xml:space="preserve">he rising trend </w:t>
      </w:r>
      <w:r w:rsidR="00356199">
        <w:t xml:space="preserve">of workplace violence in healthcare </w:t>
      </w:r>
      <w:r w:rsidR="00A44DA4">
        <w:t>based on</w:t>
      </w:r>
      <w:r w:rsidR="00006817">
        <w:t xml:space="preserve"> an increase in illicit drugs consumption, ignorance, intolerance and lack of respect</w:t>
      </w:r>
      <w:r w:rsidR="00E25FBD">
        <w:t xml:space="preserve"> that became widespread</w:t>
      </w:r>
      <w:r w:rsidR="00006817">
        <w:t xml:space="preserve"> in some </w:t>
      </w:r>
      <w:r w:rsidR="00006817" w:rsidRPr="00FB3276">
        <w:t>societies</w:t>
      </w:r>
      <w:r w:rsidR="00886BAD">
        <w:t>.</w:t>
      </w:r>
      <w:r w:rsidR="00F23750" w:rsidRPr="00FB3276">
        <w:rPr>
          <w:vertAlign w:val="superscript"/>
        </w:rPr>
        <w:t>9</w:t>
      </w:r>
      <w:r w:rsidR="00006817" w:rsidRPr="00FB3276">
        <w:rPr>
          <w:vertAlign w:val="superscript"/>
        </w:rPr>
        <w:t>,</w:t>
      </w:r>
      <w:r w:rsidR="0042514F" w:rsidRPr="00FB3276">
        <w:rPr>
          <w:vertAlign w:val="superscript"/>
        </w:rPr>
        <w:fldChar w:fldCharType="begin"/>
      </w:r>
      <w:r w:rsidR="00006817" w:rsidRPr="00FB3276">
        <w:rPr>
          <w:vertAlign w:val="superscript"/>
        </w:rPr>
        <w:instrText xml:space="preserve"> NOTEREF _Ref524097249 \h  \* MERGEFORMAT </w:instrText>
      </w:r>
      <w:r w:rsidR="0042514F" w:rsidRPr="00FB3276">
        <w:rPr>
          <w:vertAlign w:val="superscript"/>
        </w:rPr>
      </w:r>
      <w:r w:rsidR="0042514F" w:rsidRPr="00FB3276">
        <w:rPr>
          <w:vertAlign w:val="superscript"/>
        </w:rPr>
        <w:fldChar w:fldCharType="separate"/>
      </w:r>
      <w:r w:rsidR="008C6F64">
        <w:rPr>
          <w:vertAlign w:val="superscript"/>
        </w:rPr>
        <w:t>20</w:t>
      </w:r>
      <w:r w:rsidR="0042514F" w:rsidRPr="00FB3276">
        <w:rPr>
          <w:vertAlign w:val="superscript"/>
        </w:rPr>
        <w:fldChar w:fldCharType="end"/>
      </w:r>
    </w:p>
    <w:p w14:paraId="7C8D7638" w14:textId="5D4D28C7" w:rsidR="000B4CAB" w:rsidRDefault="006354E4" w:rsidP="00293ABB">
      <w:pPr>
        <w:spacing w:after="0" w:line="360" w:lineRule="auto"/>
        <w:jc w:val="both"/>
      </w:pPr>
      <w:r w:rsidRPr="00043A5D">
        <w:rPr>
          <w:strike/>
        </w:rPr>
        <w:lastRenderedPageBreak/>
        <w:t>Most</w:t>
      </w:r>
      <w:r>
        <w:t xml:space="preserve"> </w:t>
      </w:r>
      <w:r w:rsidR="00043A5D">
        <w:t>H</w:t>
      </w:r>
      <w:r w:rsidR="000B4CAB" w:rsidRPr="000B4CAB">
        <w:t xml:space="preserve">ospitals are </w:t>
      </w:r>
      <w:r w:rsidR="00043A5D" w:rsidRPr="00043A5D">
        <w:rPr>
          <w:highlight w:val="yellow"/>
        </w:rPr>
        <w:t>especially</w:t>
      </w:r>
      <w:r w:rsidR="00043A5D">
        <w:t xml:space="preserve"> </w:t>
      </w:r>
      <w:r w:rsidR="000B4CAB" w:rsidRPr="000B4CAB">
        <w:t xml:space="preserve">concerned about the rising incidence of violent events </w:t>
      </w:r>
      <w:r w:rsidR="000B4CAB" w:rsidRPr="00043A5D">
        <w:rPr>
          <w:strike/>
        </w:rPr>
        <w:t xml:space="preserve">and try to deploy techniques and interventions designed to </w:t>
      </w:r>
      <w:r w:rsidR="000A58F8" w:rsidRPr="00043A5D">
        <w:rPr>
          <w:strike/>
        </w:rPr>
        <w:t>control</w:t>
      </w:r>
      <w:r w:rsidR="000B4CAB" w:rsidRPr="00043A5D">
        <w:rPr>
          <w:strike/>
        </w:rPr>
        <w:t xml:space="preserve"> them and protect staff and patients from injury</w:t>
      </w:r>
      <w:r w:rsidR="00886BAD" w:rsidRPr="00043A5D">
        <w:rPr>
          <w:strike/>
        </w:rPr>
        <w:t>.</w:t>
      </w:r>
      <w:r w:rsidR="00604DE2">
        <w:rPr>
          <w:rStyle w:val="EndnoteReference"/>
        </w:rPr>
        <w:endnoteReference w:id="12"/>
      </w:r>
    </w:p>
    <w:p w14:paraId="59FD4218" w14:textId="17F7AB16" w:rsidR="00025801" w:rsidRDefault="00085A07" w:rsidP="00D17A06">
      <w:pPr>
        <w:spacing w:after="0" w:line="360" w:lineRule="auto"/>
        <w:jc w:val="both"/>
      </w:pPr>
      <w:r>
        <w:t>W</w:t>
      </w:r>
      <w:r w:rsidR="00D17A06">
        <w:t>orkplace violence prevention strategies</w:t>
      </w:r>
      <w:r>
        <w:t xml:space="preserve"> can be included into two broad categories</w:t>
      </w:r>
      <w:r w:rsidR="00D17A06">
        <w:t xml:space="preserve">: pre-incident strategies, which </w:t>
      </w:r>
      <w:r w:rsidR="00E12388">
        <w:t>encompass</w:t>
      </w:r>
      <w:r w:rsidR="00D17A06">
        <w:t xml:space="preserve"> legislation</w:t>
      </w:r>
      <w:r w:rsidR="00C728A1">
        <w:t xml:space="preserve"> and </w:t>
      </w:r>
      <w:r w:rsidR="00D17A06">
        <w:t>management (e.g</w:t>
      </w:r>
      <w:r>
        <w:t>.</w:t>
      </w:r>
      <w:r w:rsidR="001947E8">
        <w:t xml:space="preserve"> </w:t>
      </w:r>
      <w:r w:rsidR="00D17A06">
        <w:t>organizational policies, work design), design of the work environment,</w:t>
      </w:r>
      <w:r w:rsidR="001947E8">
        <w:t xml:space="preserve"> </w:t>
      </w:r>
      <w:r w:rsidR="00D17A06">
        <w:t>education and training; and</w:t>
      </w:r>
      <w:r w:rsidR="001947E8">
        <w:t xml:space="preserve"> </w:t>
      </w:r>
      <w:r w:rsidR="00D17A06">
        <w:t>post-incident strategies, which include incident reporting</w:t>
      </w:r>
      <w:r>
        <w:t xml:space="preserve"> </w:t>
      </w:r>
      <w:r w:rsidR="00D17A06">
        <w:t xml:space="preserve">and psychological intervention for affected </w:t>
      </w:r>
      <w:r w:rsidR="00EA2188">
        <w:t>workers</w:t>
      </w:r>
      <w:bookmarkStart w:id="7" w:name="_Ref524430818"/>
      <w:r w:rsidR="00886BAD">
        <w:t>.</w:t>
      </w:r>
      <w:r>
        <w:rPr>
          <w:rStyle w:val="EndnoteReference"/>
        </w:rPr>
        <w:endnoteReference w:id="13"/>
      </w:r>
      <w:bookmarkEnd w:id="7"/>
      <w:r w:rsidR="00DB42A8">
        <w:t xml:space="preserve"> </w:t>
      </w:r>
    </w:p>
    <w:p w14:paraId="63DD8761" w14:textId="3E8472A1" w:rsidR="004E415D" w:rsidRPr="00D36691" w:rsidRDefault="00B268E9" w:rsidP="00D17A06">
      <w:pPr>
        <w:spacing w:after="0" w:line="360" w:lineRule="auto"/>
        <w:jc w:val="both"/>
        <w:rPr>
          <w:strike/>
        </w:rPr>
      </w:pPr>
      <w:r>
        <w:t>Some of the</w:t>
      </w:r>
      <w:r w:rsidR="009D56DC">
        <w:t xml:space="preserve"> actions </w:t>
      </w:r>
      <w:r w:rsidRPr="00607B9F">
        <w:rPr>
          <w:strike/>
        </w:rPr>
        <w:t xml:space="preserve">that </w:t>
      </w:r>
      <w:r w:rsidR="009D56DC" w:rsidRPr="00607B9F">
        <w:rPr>
          <w:strike/>
        </w:rPr>
        <w:t>have been</w:t>
      </w:r>
      <w:r w:rsidR="009D56DC">
        <w:t xml:space="preserve"> proposed to control this </w:t>
      </w:r>
      <w:r w:rsidR="00F23750" w:rsidRPr="00FB3276">
        <w:t>hazard</w:t>
      </w:r>
      <w:r w:rsidR="009D56DC" w:rsidRPr="00FB3276">
        <w:t xml:space="preserve"> in</w:t>
      </w:r>
      <w:r w:rsidR="009D56DC">
        <w:t>clud</w:t>
      </w:r>
      <w:r>
        <w:t>e</w:t>
      </w:r>
      <w:r w:rsidR="009D56DC">
        <w:t xml:space="preserve"> </w:t>
      </w:r>
      <w:r w:rsidR="00EA24A6">
        <w:t>administrative measures such as flagging</w:t>
      </w:r>
      <w:r w:rsidR="00C728A1">
        <w:t xml:space="preserve"> </w:t>
      </w:r>
      <w:r w:rsidR="00EA24A6">
        <w:t>the files of patients with a</w:t>
      </w:r>
      <w:r w:rsidR="00FB59D3">
        <w:t xml:space="preserve"> </w:t>
      </w:r>
      <w:r w:rsidR="00EA24A6">
        <w:t>history of violence agains</w:t>
      </w:r>
      <w:r w:rsidR="009D56DC">
        <w:t>t healthcare workers</w:t>
      </w:r>
      <w:r w:rsidR="00886BAD">
        <w:t>,</w:t>
      </w:r>
      <w:r w:rsidR="00CA63DE">
        <w:rPr>
          <w:rStyle w:val="EndnoteReference"/>
        </w:rPr>
        <w:endnoteReference w:id="14"/>
      </w:r>
      <w:r w:rsidR="00886BAD">
        <w:t xml:space="preserve"> </w:t>
      </w:r>
      <w:r w:rsidR="009D56DC">
        <w:t xml:space="preserve">penalties to perpetrators of </w:t>
      </w:r>
      <w:r w:rsidR="009D56DC" w:rsidRPr="009D56DC">
        <w:t>violent acts against medical worke</w:t>
      </w:r>
      <w:r w:rsidR="009D56DC" w:rsidRPr="00FB3276">
        <w:t>rs</w:t>
      </w:r>
      <w:r w:rsidR="009D07A5" w:rsidRPr="00FB3276">
        <w:rPr>
          <w:vertAlign w:val="superscript"/>
        </w:rPr>
        <w:fldChar w:fldCharType="begin"/>
      </w:r>
      <w:r w:rsidR="009D07A5" w:rsidRPr="00FB3276">
        <w:rPr>
          <w:vertAlign w:val="superscript"/>
        </w:rPr>
        <w:instrText xml:space="preserve"> NOTEREF _Ref524097225 \h  \* MERGEFORMAT </w:instrText>
      </w:r>
      <w:r w:rsidR="009D07A5" w:rsidRPr="00FB3276">
        <w:rPr>
          <w:vertAlign w:val="superscript"/>
        </w:rPr>
      </w:r>
      <w:r w:rsidR="009D07A5" w:rsidRPr="00FB3276">
        <w:rPr>
          <w:vertAlign w:val="superscript"/>
        </w:rPr>
        <w:fldChar w:fldCharType="separate"/>
      </w:r>
      <w:r w:rsidR="008C6F64">
        <w:rPr>
          <w:vertAlign w:val="superscript"/>
        </w:rPr>
        <w:t>9</w:t>
      </w:r>
      <w:r w:rsidR="009D07A5" w:rsidRPr="00FB3276">
        <w:rPr>
          <w:vertAlign w:val="superscript"/>
        </w:rPr>
        <w:fldChar w:fldCharType="end"/>
      </w:r>
      <w:r w:rsidR="009D56DC">
        <w:t xml:space="preserve"> and</w:t>
      </w:r>
      <w:r>
        <w:t>, o</w:t>
      </w:r>
      <w:r w:rsidR="001E5FF8">
        <w:t xml:space="preserve">n a broader scale, </w:t>
      </w:r>
      <w:r>
        <w:t xml:space="preserve">teaching </w:t>
      </w:r>
      <w:r w:rsidR="001E5FF8">
        <w:t>the youngest members of the</w:t>
      </w:r>
      <w:r w:rsidR="004F45C3">
        <w:t xml:space="preserve"> </w:t>
      </w:r>
      <w:r w:rsidR="001E5FF8">
        <w:t>population to respect and assist medical</w:t>
      </w:r>
      <w:r w:rsidR="004F45C3">
        <w:t xml:space="preserve"> personnel</w:t>
      </w:r>
      <w:r w:rsidR="00886BAD">
        <w:t>.</w:t>
      </w:r>
      <w:r w:rsidR="009D07A5" w:rsidRPr="00FB3276">
        <w:rPr>
          <w:vertAlign w:val="superscript"/>
        </w:rPr>
        <w:fldChar w:fldCharType="begin"/>
      </w:r>
      <w:r w:rsidR="009D07A5" w:rsidRPr="00FB3276">
        <w:rPr>
          <w:vertAlign w:val="superscript"/>
        </w:rPr>
        <w:instrText xml:space="preserve"> NOTEREF _Ref524097225 \h  \* MERGEFORMAT </w:instrText>
      </w:r>
      <w:r w:rsidR="009D07A5" w:rsidRPr="00FB3276">
        <w:rPr>
          <w:vertAlign w:val="superscript"/>
        </w:rPr>
      </w:r>
      <w:r w:rsidR="009D07A5" w:rsidRPr="00FB3276">
        <w:rPr>
          <w:vertAlign w:val="superscript"/>
        </w:rPr>
        <w:fldChar w:fldCharType="separate"/>
      </w:r>
      <w:r w:rsidR="008C6F64">
        <w:rPr>
          <w:vertAlign w:val="superscript"/>
        </w:rPr>
        <w:t>9</w:t>
      </w:r>
      <w:r w:rsidR="009D07A5" w:rsidRPr="00FB3276">
        <w:rPr>
          <w:vertAlign w:val="superscript"/>
        </w:rPr>
        <w:fldChar w:fldCharType="end"/>
      </w:r>
      <w:r w:rsidR="004866EB">
        <w:t xml:space="preserve"> </w:t>
      </w:r>
      <w:r w:rsidR="006052DD" w:rsidRPr="00D36691">
        <w:rPr>
          <w:strike/>
        </w:rPr>
        <w:t xml:space="preserve">Some authors proposed “feedback discussions” as post-incident interventions, where victims are encouraged to verbalize their thoughts and feelings towards the violence </w:t>
      </w:r>
      <w:r w:rsidR="001D13E9" w:rsidRPr="00D36691">
        <w:rPr>
          <w:strike/>
        </w:rPr>
        <w:t>incident</w:t>
      </w:r>
      <w:r w:rsidR="006052DD" w:rsidRPr="00D36691">
        <w:rPr>
          <w:strike/>
        </w:rPr>
        <w:t xml:space="preserve"> and instructed on how to effectively deal with threatening situations</w:t>
      </w:r>
      <w:r w:rsidR="00886BAD" w:rsidRPr="00D36691">
        <w:rPr>
          <w:strike/>
        </w:rPr>
        <w:t>.</w:t>
      </w:r>
      <w:r w:rsidR="006052DD" w:rsidRPr="00D36691">
        <w:rPr>
          <w:rStyle w:val="EndnoteReference"/>
          <w:strike/>
        </w:rPr>
        <w:endnoteReference w:id="15"/>
      </w:r>
    </w:p>
    <w:p w14:paraId="449F8D53" w14:textId="6252AA99" w:rsidR="00B268E9" w:rsidRPr="00FB3276" w:rsidRDefault="00B268E9" w:rsidP="00B268E9">
      <w:pPr>
        <w:spacing w:after="0" w:line="360" w:lineRule="auto"/>
        <w:jc w:val="both"/>
        <w:rPr>
          <w:vertAlign w:val="superscript"/>
        </w:rPr>
      </w:pPr>
      <w:r>
        <w:t>Fleming and Harv</w:t>
      </w:r>
      <w:bookmarkStart w:id="8" w:name="_Ref524104452"/>
      <w:r w:rsidR="000A58F8">
        <w:t>ey</w:t>
      </w:r>
      <w:r>
        <w:rPr>
          <w:rStyle w:val="EndnoteReference"/>
        </w:rPr>
        <w:endnoteReference w:id="16"/>
      </w:r>
      <w:bookmarkEnd w:id="8"/>
      <w:r>
        <w:t xml:space="preserve"> </w:t>
      </w:r>
      <w:r w:rsidRPr="00FB3276">
        <w:t>proposed a structural approach to the problem where risk assessment (including worksite audit</w:t>
      </w:r>
      <w:r w:rsidR="00125E35" w:rsidRPr="00FB3276">
        <w:t>s</w:t>
      </w:r>
      <w:r w:rsidRPr="00FB3276">
        <w:t>, training assessment</w:t>
      </w:r>
      <w:r w:rsidR="00125E35" w:rsidRPr="00FB3276">
        <w:t>s</w:t>
      </w:r>
      <w:r w:rsidRPr="00FB3276">
        <w:t xml:space="preserve"> and past violence incident review</w:t>
      </w:r>
      <w:r w:rsidR="00125E35" w:rsidRPr="00FB3276">
        <w:t>s</w:t>
      </w:r>
      <w:r w:rsidRPr="00FB3276">
        <w:t>) plays a major role. These authors also highlighted the need of an adequate number of healthcare workers (as long waiting times increase the odds of patient hostility) and safety personnel. Gatekeeping working areas should ensure minimal public access to rooms where patients receive medical care</w:t>
      </w:r>
      <w:r w:rsidR="00886BAD">
        <w:t>.</w:t>
      </w:r>
      <w:r w:rsidR="009D07A5" w:rsidRPr="00FB3276">
        <w:fldChar w:fldCharType="begin"/>
      </w:r>
      <w:r w:rsidR="009D07A5" w:rsidRPr="00FB3276">
        <w:instrText xml:space="preserve"> NOTEREF _Ref524104452 \h  \* MERGEFORMAT </w:instrText>
      </w:r>
      <w:r w:rsidR="009D07A5" w:rsidRPr="00FB3276">
        <w:fldChar w:fldCharType="separate"/>
      </w:r>
      <w:r w:rsidR="008C6F64" w:rsidRPr="008C6F64">
        <w:rPr>
          <w:vertAlign w:val="superscript"/>
        </w:rPr>
        <w:t>16</w:t>
      </w:r>
      <w:r w:rsidR="009D07A5" w:rsidRPr="00FB3276">
        <w:fldChar w:fldCharType="end"/>
      </w:r>
    </w:p>
    <w:p w14:paraId="37FD7102" w14:textId="59432C8F" w:rsidR="006B31C4" w:rsidRPr="00D36691" w:rsidRDefault="00DE3F06" w:rsidP="00D17A06">
      <w:pPr>
        <w:spacing w:after="0" w:line="360" w:lineRule="auto"/>
        <w:jc w:val="both"/>
        <w:rPr>
          <w:strike/>
        </w:rPr>
      </w:pPr>
      <w:r w:rsidRPr="00FB3276">
        <w:t>Hamblin et al</w:t>
      </w:r>
      <w:r w:rsidR="009D07A5" w:rsidRPr="00FB3276">
        <w:rPr>
          <w:vertAlign w:val="superscript"/>
        </w:rPr>
        <w:fldChar w:fldCharType="begin"/>
      </w:r>
      <w:r w:rsidR="009D07A5" w:rsidRPr="00FB3276">
        <w:rPr>
          <w:vertAlign w:val="superscript"/>
        </w:rPr>
        <w:instrText xml:space="preserve"> NOTEREF _Ref524451025 \h  \* MERGEFORMAT </w:instrText>
      </w:r>
      <w:r w:rsidR="009D07A5" w:rsidRPr="00FB3276">
        <w:rPr>
          <w:vertAlign w:val="superscript"/>
        </w:rPr>
      </w:r>
      <w:r w:rsidR="009D07A5" w:rsidRPr="00FB3276">
        <w:rPr>
          <w:vertAlign w:val="superscript"/>
        </w:rPr>
        <w:fldChar w:fldCharType="separate"/>
      </w:r>
      <w:r w:rsidR="008C6F64">
        <w:rPr>
          <w:vertAlign w:val="superscript"/>
        </w:rPr>
        <w:t>7</w:t>
      </w:r>
      <w:r w:rsidR="009D07A5" w:rsidRPr="00FB3276">
        <w:rPr>
          <w:vertAlign w:val="superscript"/>
        </w:rPr>
        <w:fldChar w:fldCharType="end"/>
      </w:r>
      <w:r w:rsidR="005958A9" w:rsidRPr="00FB3276">
        <w:rPr>
          <w:vertAlign w:val="superscript"/>
        </w:rPr>
        <w:t xml:space="preserve"> </w:t>
      </w:r>
      <w:r w:rsidR="005958A9" w:rsidRPr="00FB3276">
        <w:t>de</w:t>
      </w:r>
      <w:r w:rsidR="00B268E9" w:rsidRPr="00FB3276">
        <w:t>scribed</w:t>
      </w:r>
      <w:r w:rsidRPr="00FB3276">
        <w:t xml:space="preserve"> a systematic approach to violence prevention supported by a “Checklist of Suggested Prevention Strategies for Workplace Violence on Hospital Units”</w:t>
      </w:r>
      <w:r w:rsidR="006B31C4" w:rsidRPr="00FB3276">
        <w:t xml:space="preserve"> </w:t>
      </w:r>
      <w:r w:rsidR="006B31C4" w:rsidRPr="00043A5D">
        <w:rPr>
          <w:strike/>
        </w:rPr>
        <w:t>that makes verifications and audits more accurate and effective</w:t>
      </w:r>
      <w:r w:rsidR="006B31C4" w:rsidRPr="00D36691">
        <w:rPr>
          <w:strike/>
        </w:rPr>
        <w:t>. It is beneficial to have workers at risk and their supervisors directly involved and accountable for workplace prevention projects</w:t>
      </w:r>
      <w:bookmarkStart w:id="9" w:name="_Ref524167554"/>
      <w:r w:rsidR="00886BAD" w:rsidRPr="00D36691">
        <w:rPr>
          <w:strike/>
        </w:rPr>
        <w:t>.</w:t>
      </w:r>
      <w:r w:rsidR="006B31C4" w:rsidRPr="00D36691">
        <w:rPr>
          <w:rStyle w:val="EndnoteReference"/>
          <w:strike/>
        </w:rPr>
        <w:endnoteReference w:id="17"/>
      </w:r>
      <w:bookmarkEnd w:id="9"/>
    </w:p>
    <w:p w14:paraId="10E53AFD" w14:textId="31DA905E" w:rsidR="00742096" w:rsidRDefault="00D36691" w:rsidP="00D17A06">
      <w:pPr>
        <w:spacing w:after="0" w:line="360" w:lineRule="auto"/>
        <w:jc w:val="both"/>
      </w:pPr>
      <w:r w:rsidRPr="00D36691">
        <w:rPr>
          <w:strike/>
        </w:rPr>
        <w:t>S</w:t>
      </w:r>
      <w:r w:rsidR="00556AC3" w:rsidRPr="00D36691">
        <w:rPr>
          <w:strike/>
        </w:rPr>
        <w:t xml:space="preserve">tudies on workplace violence prevention </w:t>
      </w:r>
      <w:r w:rsidRPr="00D36691">
        <w:rPr>
          <w:strike/>
        </w:rPr>
        <w:t xml:space="preserve">that </w:t>
      </w:r>
      <w:r w:rsidR="00556AC3" w:rsidRPr="00D36691">
        <w:rPr>
          <w:strike/>
        </w:rPr>
        <w:t xml:space="preserve">however failed to </w:t>
      </w:r>
      <w:r w:rsidR="00F55490" w:rsidRPr="00D36691">
        <w:rPr>
          <w:strike/>
        </w:rPr>
        <w:t>show</w:t>
      </w:r>
      <w:r w:rsidR="00556AC3" w:rsidRPr="00D36691">
        <w:rPr>
          <w:strike/>
        </w:rPr>
        <w:t xml:space="preserve"> practical effectiveness and</w:t>
      </w:r>
      <w:r w:rsidR="00556AC3" w:rsidRPr="00043A5D">
        <w:rPr>
          <w:strike/>
        </w:rPr>
        <w:t xml:space="preserve"> sustainable reductions of violence </w:t>
      </w:r>
      <w:r w:rsidR="001D13E9" w:rsidRPr="00043A5D">
        <w:rPr>
          <w:strike/>
        </w:rPr>
        <w:t>incident</w:t>
      </w:r>
      <w:r w:rsidR="00556AC3" w:rsidRPr="00043A5D">
        <w:rPr>
          <w:strike/>
        </w:rPr>
        <w:t>s</w:t>
      </w:r>
      <w:r w:rsidR="00886BAD">
        <w:t>.</w:t>
      </w:r>
      <w:r w:rsidR="009D07A5" w:rsidRPr="00FB3276">
        <w:fldChar w:fldCharType="begin"/>
      </w:r>
      <w:r w:rsidR="009D07A5" w:rsidRPr="00FB3276">
        <w:instrText xml:space="preserve"> NOTEREF _Ref524167554 \h  \* MERGEFORMAT </w:instrText>
      </w:r>
      <w:r w:rsidR="009D07A5" w:rsidRPr="00FB3276">
        <w:fldChar w:fldCharType="separate"/>
      </w:r>
      <w:r w:rsidR="008C6F64" w:rsidRPr="008C6F64">
        <w:rPr>
          <w:vertAlign w:val="superscript"/>
        </w:rPr>
        <w:t>17</w:t>
      </w:r>
      <w:r w:rsidR="009D07A5" w:rsidRPr="00FB3276">
        <w:fldChar w:fldCharType="end"/>
      </w:r>
      <w:r w:rsidR="00556AC3" w:rsidRPr="00FB3276">
        <w:t xml:space="preserve"> </w:t>
      </w:r>
      <w:r w:rsidR="00C125A4" w:rsidRPr="00043A5D">
        <w:rPr>
          <w:strike/>
        </w:rPr>
        <w:t>Nevertheless</w:t>
      </w:r>
      <w:r w:rsidR="00886BAD" w:rsidRPr="00043A5D">
        <w:rPr>
          <w:strike/>
        </w:rPr>
        <w:t>,</w:t>
      </w:r>
      <w:r w:rsidR="00C125A4" w:rsidRPr="00FB3276">
        <w:t xml:space="preserve"> </w:t>
      </w:r>
      <w:proofErr w:type="spellStart"/>
      <w:r w:rsidR="00EE0152" w:rsidRPr="00FB3276">
        <w:t>Arnetz</w:t>
      </w:r>
      <w:proofErr w:type="spellEnd"/>
      <w:r w:rsidR="00EE0152" w:rsidRPr="00FB3276">
        <w:t xml:space="preserve"> et al</w:t>
      </w:r>
      <w:r w:rsidR="000A58F8">
        <w:t>.</w:t>
      </w:r>
      <w:r w:rsidR="00EE0152" w:rsidRPr="00FB3276">
        <w:t xml:space="preserve"> succeeded </w:t>
      </w:r>
      <w:r w:rsidR="004412B7" w:rsidRPr="00FB3276">
        <w:t>to</w:t>
      </w:r>
      <w:r w:rsidR="004412B7">
        <w:t xml:space="preserve"> demonstrate</w:t>
      </w:r>
      <w:r w:rsidR="00EE0152">
        <w:t xml:space="preserve"> </w:t>
      </w:r>
      <w:r w:rsidR="00F55490">
        <w:t xml:space="preserve">significant differences </w:t>
      </w:r>
      <w:r w:rsidR="008C29A2">
        <w:t xml:space="preserve">in the progression of violence indexes in a </w:t>
      </w:r>
      <w:r w:rsidR="004412B7">
        <w:t xml:space="preserve">2-year follow-up </w:t>
      </w:r>
      <w:r w:rsidR="008C29A2">
        <w:t xml:space="preserve">randomized control trial where workplace interventions </w:t>
      </w:r>
      <w:r w:rsidR="009F4288">
        <w:t xml:space="preserve">were supported by checklists and implemented by interdisciplinary teams </w:t>
      </w:r>
      <w:r w:rsidR="004412B7">
        <w:t xml:space="preserve">while </w:t>
      </w:r>
      <w:r w:rsidR="004412B7" w:rsidRPr="009F6FE8">
        <w:rPr>
          <w:strike/>
        </w:rPr>
        <w:t>working and</w:t>
      </w:r>
      <w:r w:rsidR="004412B7">
        <w:t xml:space="preserve"> performing their usual daily activities</w:t>
      </w:r>
      <w:r w:rsidR="00886BAD">
        <w:t>.</w:t>
      </w:r>
      <w:r w:rsidR="009D07A5">
        <w:fldChar w:fldCharType="begin"/>
      </w:r>
      <w:r w:rsidR="009D07A5">
        <w:instrText xml:space="preserve"> NOTEREF _Ref524167554 \h  \* MERGEFORMAT </w:instrText>
      </w:r>
      <w:r w:rsidR="009D07A5">
        <w:fldChar w:fldCharType="separate"/>
      </w:r>
      <w:r w:rsidR="008C6F64" w:rsidRPr="008C6F64">
        <w:rPr>
          <w:vertAlign w:val="superscript"/>
        </w:rPr>
        <w:t>17</w:t>
      </w:r>
      <w:r w:rsidR="009D07A5">
        <w:fldChar w:fldCharType="end"/>
      </w:r>
      <w:r w:rsidR="00742096" w:rsidRPr="00742096">
        <w:t xml:space="preserve"> </w:t>
      </w:r>
    </w:p>
    <w:p w14:paraId="4514A68B" w14:textId="42FC16A1" w:rsidR="00091EB8" w:rsidRPr="00182C44" w:rsidRDefault="00A60243" w:rsidP="007478E8">
      <w:pPr>
        <w:spacing w:after="0" w:line="360" w:lineRule="auto"/>
        <w:jc w:val="both"/>
        <w:rPr>
          <w:strike/>
        </w:rPr>
      </w:pPr>
      <w:r w:rsidRPr="00043A5D">
        <w:rPr>
          <w:strike/>
        </w:rPr>
        <w:t>Wang</w:t>
      </w:r>
      <w:r w:rsidR="004060CF" w:rsidRPr="00043A5D">
        <w:rPr>
          <w:strike/>
        </w:rPr>
        <w:t xml:space="preserve"> et al</w:t>
      </w:r>
      <w:r w:rsidR="000A58F8" w:rsidRPr="00043A5D">
        <w:rPr>
          <w:strike/>
        </w:rPr>
        <w:t>.</w:t>
      </w:r>
      <w:r w:rsidR="009D07A5" w:rsidRPr="00043A5D">
        <w:rPr>
          <w:strike/>
        </w:rPr>
        <w:fldChar w:fldCharType="begin"/>
      </w:r>
      <w:r w:rsidR="009D07A5" w:rsidRPr="00043A5D">
        <w:rPr>
          <w:strike/>
        </w:rPr>
        <w:instrText xml:space="preserve"> NOTEREF _Ref524430818 \h  \* MERGEFORMAT </w:instrText>
      </w:r>
      <w:r w:rsidR="009D07A5" w:rsidRPr="00043A5D">
        <w:rPr>
          <w:strike/>
        </w:rPr>
      </w:r>
      <w:r w:rsidR="009D07A5" w:rsidRPr="00043A5D">
        <w:rPr>
          <w:strike/>
        </w:rPr>
        <w:fldChar w:fldCharType="separate"/>
      </w:r>
      <w:r w:rsidR="008C6F64" w:rsidRPr="00043A5D">
        <w:rPr>
          <w:strike/>
          <w:vertAlign w:val="superscript"/>
        </w:rPr>
        <w:t>13</w:t>
      </w:r>
      <w:r w:rsidR="009D07A5" w:rsidRPr="00043A5D">
        <w:rPr>
          <w:strike/>
        </w:rPr>
        <w:fldChar w:fldCharType="end"/>
      </w:r>
      <w:r w:rsidR="004060CF" w:rsidRPr="00043A5D">
        <w:rPr>
          <w:strike/>
        </w:rPr>
        <w:t xml:space="preserve"> identified favoring conditions for the occurrence of </w:t>
      </w:r>
      <w:r w:rsidR="00FC55A3" w:rsidRPr="00043A5D">
        <w:rPr>
          <w:strike/>
        </w:rPr>
        <w:t>horizontal</w:t>
      </w:r>
      <w:r w:rsidR="004060CF" w:rsidRPr="00043A5D">
        <w:rPr>
          <w:strike/>
        </w:rPr>
        <w:t xml:space="preserve"> violence</w:t>
      </w:r>
      <w:r w:rsidR="00FC55A3" w:rsidRPr="00043A5D">
        <w:rPr>
          <w:strike/>
        </w:rPr>
        <w:t xml:space="preserve"> such as l</w:t>
      </w:r>
      <w:r w:rsidRPr="00043A5D">
        <w:rPr>
          <w:strike/>
        </w:rPr>
        <w:t>ack of role clarity</w:t>
      </w:r>
      <w:r w:rsidR="00FC55A3" w:rsidRPr="00043A5D">
        <w:rPr>
          <w:strike/>
        </w:rPr>
        <w:t>, l</w:t>
      </w:r>
      <w:r w:rsidRPr="00043A5D">
        <w:rPr>
          <w:strike/>
        </w:rPr>
        <w:t>ow job control or autonomy</w:t>
      </w:r>
      <w:r w:rsidR="00FC55A3" w:rsidRPr="00043A5D">
        <w:rPr>
          <w:strike/>
        </w:rPr>
        <w:t>, p</w:t>
      </w:r>
      <w:r w:rsidRPr="00043A5D">
        <w:rPr>
          <w:strike/>
        </w:rPr>
        <w:t>oor communication</w:t>
      </w:r>
      <w:r w:rsidR="00FC55A3" w:rsidRPr="00043A5D">
        <w:rPr>
          <w:strike/>
        </w:rPr>
        <w:t>, i</w:t>
      </w:r>
      <w:r w:rsidRPr="00043A5D">
        <w:rPr>
          <w:strike/>
        </w:rPr>
        <w:t>neffective leadership</w:t>
      </w:r>
      <w:r w:rsidR="00FC55A3" w:rsidRPr="00043A5D">
        <w:rPr>
          <w:strike/>
        </w:rPr>
        <w:t xml:space="preserve"> and s</w:t>
      </w:r>
      <w:r w:rsidRPr="00043A5D">
        <w:rPr>
          <w:strike/>
        </w:rPr>
        <w:t>trained or competitive work environments</w:t>
      </w:r>
      <w:r w:rsidR="00EB7EED" w:rsidRPr="00043A5D">
        <w:rPr>
          <w:strike/>
        </w:rPr>
        <w:t>.</w:t>
      </w:r>
      <w:r w:rsidR="00091EB8">
        <w:rPr>
          <w:vertAlign w:val="superscript"/>
        </w:rPr>
        <w:t xml:space="preserve"> </w:t>
      </w:r>
      <w:r w:rsidR="00091EB8" w:rsidRPr="00182C44">
        <w:rPr>
          <w:strike/>
        </w:rPr>
        <w:t xml:space="preserve">Zero-tolerance policy, judged by some authors and policy-makers as inappropriate for external violence, may be effective in the case of horizontal violence </w:t>
      </w:r>
      <w:r w:rsidR="007478E8" w:rsidRPr="00182C44">
        <w:rPr>
          <w:strike/>
        </w:rPr>
        <w:t>such as assault, emotional abuse or sexual harassment</w:t>
      </w:r>
      <w:r w:rsidR="00886BAD" w:rsidRPr="00182C44">
        <w:rPr>
          <w:strike/>
        </w:rPr>
        <w:t>.</w:t>
      </w:r>
      <w:r w:rsidR="009D07A5" w:rsidRPr="00182C44">
        <w:rPr>
          <w:strike/>
        </w:rPr>
        <w:fldChar w:fldCharType="begin"/>
      </w:r>
      <w:r w:rsidR="009D07A5" w:rsidRPr="00182C44">
        <w:rPr>
          <w:strike/>
        </w:rPr>
        <w:instrText xml:space="preserve"> NOTEREF _Ref524430818 \h  \* MERGEFORMAT </w:instrText>
      </w:r>
      <w:r w:rsidR="009D07A5" w:rsidRPr="00182C44">
        <w:rPr>
          <w:strike/>
        </w:rPr>
      </w:r>
      <w:r w:rsidR="009D07A5" w:rsidRPr="00182C44">
        <w:rPr>
          <w:strike/>
        </w:rPr>
        <w:fldChar w:fldCharType="separate"/>
      </w:r>
      <w:r w:rsidR="008C6F64" w:rsidRPr="00182C44">
        <w:rPr>
          <w:strike/>
          <w:vertAlign w:val="superscript"/>
        </w:rPr>
        <w:t>13</w:t>
      </w:r>
      <w:r w:rsidR="009D07A5" w:rsidRPr="00182C44">
        <w:rPr>
          <w:strike/>
        </w:rPr>
        <w:fldChar w:fldCharType="end"/>
      </w:r>
    </w:p>
    <w:p w14:paraId="444609E6" w14:textId="264DA7BA" w:rsidR="00055527" w:rsidRDefault="00E26986" w:rsidP="00D17A06">
      <w:pPr>
        <w:spacing w:after="0" w:line="360" w:lineRule="auto"/>
        <w:jc w:val="both"/>
      </w:pPr>
      <w:r w:rsidRPr="00444CC3">
        <w:rPr>
          <w:strike/>
        </w:rPr>
        <w:lastRenderedPageBreak/>
        <w:t>During 2017 a</w:t>
      </w:r>
      <w:r w:rsidR="004553C0" w:rsidRPr="00444CC3">
        <w:rPr>
          <w:strike/>
        </w:rPr>
        <w:t xml:space="preserve"> high number of workplace violence </w:t>
      </w:r>
      <w:r w:rsidR="001D13E9" w:rsidRPr="00444CC3">
        <w:rPr>
          <w:strike/>
        </w:rPr>
        <w:t>incident</w:t>
      </w:r>
      <w:r w:rsidR="004553C0" w:rsidRPr="00444CC3">
        <w:rPr>
          <w:strike/>
        </w:rPr>
        <w:t xml:space="preserve">s </w:t>
      </w:r>
      <w:r w:rsidR="005374E5" w:rsidRPr="00444CC3">
        <w:rPr>
          <w:strike/>
        </w:rPr>
        <w:t>were</w:t>
      </w:r>
      <w:r w:rsidRPr="00444CC3">
        <w:rPr>
          <w:strike/>
        </w:rPr>
        <w:t xml:space="preserve"> </w:t>
      </w:r>
      <w:r w:rsidR="004553C0" w:rsidRPr="00444CC3">
        <w:rPr>
          <w:strike/>
        </w:rPr>
        <w:t xml:space="preserve">reported in </w:t>
      </w:r>
      <w:r w:rsidR="00055527" w:rsidRPr="00444CC3">
        <w:rPr>
          <w:strike/>
        </w:rPr>
        <w:t>a</w:t>
      </w:r>
      <w:r w:rsidR="004553C0" w:rsidRPr="00444CC3">
        <w:rPr>
          <w:strike/>
        </w:rPr>
        <w:t xml:space="preserve"> hospital </w:t>
      </w:r>
      <w:r w:rsidR="00055527" w:rsidRPr="00444CC3">
        <w:rPr>
          <w:strike/>
        </w:rPr>
        <w:t>located in Lisbon, Portugal. This high level of violence reports</w:t>
      </w:r>
      <w:r w:rsidRPr="00444CC3">
        <w:rPr>
          <w:strike/>
        </w:rPr>
        <w:t xml:space="preserve"> together with</w:t>
      </w:r>
      <w:r w:rsidR="00F45677" w:rsidRPr="00444CC3">
        <w:rPr>
          <w:strike/>
        </w:rPr>
        <w:t xml:space="preserve"> the suspicion of a low notification rate</w:t>
      </w:r>
      <w:r w:rsidR="00556AC3" w:rsidRPr="00444CC3">
        <w:rPr>
          <w:strike/>
        </w:rPr>
        <w:t>,</w:t>
      </w:r>
      <w:r w:rsidR="00F45677" w:rsidRPr="00444CC3">
        <w:rPr>
          <w:strike/>
        </w:rPr>
        <w:t xml:space="preserve"> </w:t>
      </w:r>
      <w:r w:rsidR="00055527" w:rsidRPr="00444CC3">
        <w:rPr>
          <w:strike/>
        </w:rPr>
        <w:t>had driven</w:t>
      </w:r>
      <w:r w:rsidR="00F45677" w:rsidRPr="00444CC3">
        <w:rPr>
          <w:strike/>
        </w:rPr>
        <w:t xml:space="preserve"> the attention and concern of </w:t>
      </w:r>
      <w:r w:rsidR="00055527" w:rsidRPr="00444CC3">
        <w:rPr>
          <w:strike/>
        </w:rPr>
        <w:t>the hospital</w:t>
      </w:r>
      <w:r w:rsidR="00F45677" w:rsidRPr="00444CC3">
        <w:rPr>
          <w:strike/>
        </w:rPr>
        <w:t xml:space="preserve"> </w:t>
      </w:r>
      <w:r w:rsidR="000A58F8" w:rsidRPr="00444CC3">
        <w:rPr>
          <w:strike/>
        </w:rPr>
        <w:t>O</w:t>
      </w:r>
      <w:r w:rsidR="00F45677" w:rsidRPr="00444CC3">
        <w:rPr>
          <w:strike/>
        </w:rPr>
        <w:t xml:space="preserve">ccupational </w:t>
      </w:r>
      <w:r w:rsidR="000A58F8" w:rsidRPr="00444CC3">
        <w:rPr>
          <w:strike/>
        </w:rPr>
        <w:t>H</w:t>
      </w:r>
      <w:r w:rsidR="00F45677" w:rsidRPr="00444CC3">
        <w:rPr>
          <w:strike/>
        </w:rPr>
        <w:t xml:space="preserve">ealth </w:t>
      </w:r>
      <w:r w:rsidR="000A58F8" w:rsidRPr="00444CC3">
        <w:rPr>
          <w:strike/>
        </w:rPr>
        <w:t>D</w:t>
      </w:r>
      <w:r w:rsidR="00F45677" w:rsidRPr="00444CC3">
        <w:rPr>
          <w:strike/>
        </w:rPr>
        <w:t>epartment</w:t>
      </w:r>
      <w:r w:rsidR="004553C0" w:rsidRPr="00444CC3">
        <w:rPr>
          <w:strike/>
        </w:rPr>
        <w:t xml:space="preserve"> </w:t>
      </w:r>
      <w:r w:rsidR="00F45677" w:rsidRPr="00444CC3">
        <w:rPr>
          <w:strike/>
        </w:rPr>
        <w:t>to the problem</w:t>
      </w:r>
      <w:r w:rsidR="00F45677">
        <w:t>.</w:t>
      </w:r>
      <w:r w:rsidR="009D547B">
        <w:t xml:space="preserve"> </w:t>
      </w:r>
      <w:r w:rsidR="009D547B" w:rsidRPr="002F59F4">
        <w:rPr>
          <w:highlight w:val="yellow"/>
        </w:rPr>
        <w:t xml:space="preserve">Fully understanding the phenomenon </w:t>
      </w:r>
      <w:r w:rsidR="00444CC3" w:rsidRPr="002F59F4">
        <w:rPr>
          <w:highlight w:val="yellow"/>
        </w:rPr>
        <w:t xml:space="preserve">of workplace violence </w:t>
      </w:r>
      <w:r w:rsidR="009D547B" w:rsidRPr="002F59F4">
        <w:rPr>
          <w:highlight w:val="yellow"/>
        </w:rPr>
        <w:t xml:space="preserve">and setting up an effective occupational health plan </w:t>
      </w:r>
      <w:r w:rsidR="00E12388" w:rsidRPr="002F59F4">
        <w:rPr>
          <w:highlight w:val="yellow"/>
        </w:rPr>
        <w:t xml:space="preserve">had been defined as </w:t>
      </w:r>
      <w:r w:rsidR="00444CC3" w:rsidRPr="002F59F4">
        <w:rPr>
          <w:highlight w:val="yellow"/>
        </w:rPr>
        <w:t>one of the Occupational Health D</w:t>
      </w:r>
      <w:r w:rsidR="009D547B" w:rsidRPr="002F59F4">
        <w:rPr>
          <w:highlight w:val="yellow"/>
        </w:rPr>
        <w:t xml:space="preserve">epartment </w:t>
      </w:r>
      <w:r w:rsidR="00182C44">
        <w:rPr>
          <w:highlight w:val="yellow"/>
        </w:rPr>
        <w:t>needs</w:t>
      </w:r>
      <w:r w:rsidR="00444CC3" w:rsidRPr="002F59F4">
        <w:rPr>
          <w:highlight w:val="yellow"/>
        </w:rPr>
        <w:t xml:space="preserve"> for the year of 2018</w:t>
      </w:r>
      <w:r w:rsidR="002F59F4" w:rsidRPr="002F59F4">
        <w:rPr>
          <w:highlight w:val="yellow"/>
        </w:rPr>
        <w:t xml:space="preserve"> in a hospital located in Lisbon, Portugal</w:t>
      </w:r>
      <w:r w:rsidR="00444CC3" w:rsidRPr="002F59F4">
        <w:rPr>
          <w:highlight w:val="yellow"/>
        </w:rPr>
        <w:t>.</w:t>
      </w:r>
      <w:r w:rsidR="009D547B">
        <w:t xml:space="preserve"> </w:t>
      </w:r>
      <w:r w:rsidR="009D547B" w:rsidRPr="00444CC3">
        <w:rPr>
          <w:strike/>
        </w:rPr>
        <w:t xml:space="preserve">and </w:t>
      </w:r>
      <w:r w:rsidR="00444CC3">
        <w:t>O</w:t>
      </w:r>
      <w:r w:rsidR="009D547B">
        <w:t xml:space="preserve">ur research was designed to meet these needs. </w:t>
      </w:r>
    </w:p>
    <w:p w14:paraId="4DF68981" w14:textId="5E5DEB65" w:rsidR="00E07ACE" w:rsidRPr="00FB3276" w:rsidRDefault="00DB42A8" w:rsidP="00D17A06">
      <w:pPr>
        <w:spacing w:after="0" w:line="360" w:lineRule="auto"/>
        <w:jc w:val="both"/>
        <w:rPr>
          <w:vertAlign w:val="superscript"/>
        </w:rPr>
      </w:pPr>
      <w:r>
        <w:t>T</w:t>
      </w:r>
      <w:r w:rsidR="00361D65" w:rsidRPr="008B7378">
        <w:t xml:space="preserve">he </w:t>
      </w:r>
      <w:r w:rsidR="008B7378" w:rsidRPr="008B7378">
        <w:t>present study</w:t>
      </w:r>
      <w:r w:rsidR="00055527">
        <w:t xml:space="preserve"> </w:t>
      </w:r>
      <w:r>
        <w:t xml:space="preserve">therefore </w:t>
      </w:r>
      <w:r w:rsidR="008B7378" w:rsidRPr="008B7378">
        <w:t>aimed to</w:t>
      </w:r>
      <w:r w:rsidR="008B7378">
        <w:t>:</w:t>
      </w:r>
      <w:r w:rsidR="00927D46">
        <w:t xml:space="preserve"> (1) </w:t>
      </w:r>
      <w:r w:rsidR="000A58F8">
        <w:t>C</w:t>
      </w:r>
      <w:r w:rsidR="002130B9" w:rsidRPr="008B7378">
        <w:t>haracterize</w:t>
      </w:r>
      <w:r w:rsidR="002130B9">
        <w:t xml:space="preserve"> </w:t>
      </w:r>
      <w:r w:rsidR="008B7378">
        <w:t>physical and verbal violence in what concerns the circumstances of the occurrence, impact and consequences on workers</w:t>
      </w:r>
      <w:r w:rsidR="000A38EF">
        <w:t>;</w:t>
      </w:r>
      <w:r w:rsidR="00927D46">
        <w:t xml:space="preserve"> (2) </w:t>
      </w:r>
      <w:r w:rsidR="000A58F8">
        <w:t>A</w:t>
      </w:r>
      <w:r w:rsidR="002130B9">
        <w:t xml:space="preserve">ssess </w:t>
      </w:r>
      <w:r w:rsidR="008B7378">
        <w:t xml:space="preserve">the workers level of </w:t>
      </w:r>
      <w:r w:rsidR="00537D8B">
        <w:t>familiarity</w:t>
      </w:r>
      <w:r w:rsidR="008B7378">
        <w:t xml:space="preserve"> on internal </w:t>
      </w:r>
      <w:r w:rsidR="000A38EF">
        <w:t xml:space="preserve">notifications </w:t>
      </w:r>
      <w:r w:rsidR="008B7378">
        <w:t>procedures and the extent of their application</w:t>
      </w:r>
      <w:r w:rsidR="000A38EF">
        <w:t>;</w:t>
      </w:r>
      <w:r w:rsidR="00927D46">
        <w:t xml:space="preserve"> (3) </w:t>
      </w:r>
      <w:r w:rsidR="000A58F8">
        <w:t>C</w:t>
      </w:r>
      <w:r w:rsidR="002130B9" w:rsidRPr="00FB3276">
        <w:t xml:space="preserve">ollect </w:t>
      </w:r>
      <w:r w:rsidR="00E07ACE" w:rsidRPr="00FB3276">
        <w:t>risk workers</w:t>
      </w:r>
      <w:r w:rsidR="00927D46" w:rsidRPr="00FB3276">
        <w:t>’</w:t>
      </w:r>
      <w:r w:rsidR="00927D46">
        <w:t xml:space="preserve"> </w:t>
      </w:r>
      <w:r w:rsidR="00172B96">
        <w:t>suggestions</w:t>
      </w:r>
      <w:r w:rsidR="00E07ACE">
        <w:t xml:space="preserve"> on how to avoid or minimize workplace violence </w:t>
      </w:r>
      <w:r w:rsidR="001D13E9">
        <w:t>incident</w:t>
      </w:r>
      <w:r w:rsidR="00E07ACE">
        <w:t>s</w:t>
      </w:r>
      <w:r w:rsidR="000A58F8">
        <w:t xml:space="preserve"> and</w:t>
      </w:r>
      <w:r w:rsidR="00927D46">
        <w:t xml:space="preserve"> (4) </w:t>
      </w:r>
      <w:r w:rsidR="000A58F8">
        <w:t>D</w:t>
      </w:r>
      <w:r w:rsidR="002130B9">
        <w:t xml:space="preserve">efine </w:t>
      </w:r>
      <w:r w:rsidR="00E07ACE">
        <w:t xml:space="preserve">interventional strategies directed to </w:t>
      </w:r>
      <w:r w:rsidR="00A54B85">
        <w:t>the improvement of</w:t>
      </w:r>
      <w:r w:rsidR="00E07ACE">
        <w:t xml:space="preserve"> working environment safety</w:t>
      </w:r>
      <w:r w:rsidR="00FB3276">
        <w:t>.</w:t>
      </w:r>
    </w:p>
    <w:p w14:paraId="0606089C" w14:textId="77777777" w:rsidR="00064476" w:rsidRPr="00FB3276" w:rsidRDefault="00064476">
      <w:pPr>
        <w:rPr>
          <w:b/>
        </w:rPr>
      </w:pPr>
      <w:r w:rsidRPr="00FB3276">
        <w:rPr>
          <w:b/>
        </w:rPr>
        <w:br w:type="page"/>
      </w:r>
    </w:p>
    <w:p w14:paraId="30850DFB" w14:textId="77777777" w:rsidR="00361D65" w:rsidRPr="00172B96" w:rsidRDefault="00361D65" w:rsidP="00172B96">
      <w:pPr>
        <w:spacing w:after="0" w:line="360" w:lineRule="auto"/>
        <w:rPr>
          <w:b/>
        </w:rPr>
      </w:pPr>
      <w:r w:rsidRPr="00172B96">
        <w:rPr>
          <w:b/>
        </w:rPr>
        <w:lastRenderedPageBreak/>
        <w:t xml:space="preserve">MATERIAL </w:t>
      </w:r>
      <w:r w:rsidR="00A54B85" w:rsidRPr="00172B96">
        <w:rPr>
          <w:b/>
        </w:rPr>
        <w:t>AND METHODS</w:t>
      </w:r>
    </w:p>
    <w:p w14:paraId="7B7630B2" w14:textId="77777777" w:rsidR="000508CD" w:rsidRPr="000508CD" w:rsidRDefault="000508CD" w:rsidP="00172B96">
      <w:pPr>
        <w:spacing w:after="0" w:line="360" w:lineRule="auto"/>
        <w:rPr>
          <w:b/>
        </w:rPr>
      </w:pPr>
      <w:r w:rsidRPr="000508CD">
        <w:rPr>
          <w:b/>
        </w:rPr>
        <w:t>Study design</w:t>
      </w:r>
      <w:r>
        <w:rPr>
          <w:b/>
        </w:rPr>
        <w:t xml:space="preserve">, </w:t>
      </w:r>
      <w:r w:rsidR="00A416CB">
        <w:rPr>
          <w:b/>
        </w:rPr>
        <w:t>population</w:t>
      </w:r>
      <w:r>
        <w:rPr>
          <w:b/>
        </w:rPr>
        <w:t xml:space="preserve"> and procedures</w:t>
      </w:r>
    </w:p>
    <w:p w14:paraId="003706B1" w14:textId="31BA5468" w:rsidR="00361D65" w:rsidRDefault="00A54B85" w:rsidP="00172B96">
      <w:pPr>
        <w:spacing w:after="0" w:line="360" w:lineRule="auto"/>
        <w:jc w:val="both"/>
      </w:pPr>
      <w:r w:rsidRPr="00A54B85">
        <w:t>This w</w:t>
      </w:r>
      <w:r>
        <w:t xml:space="preserve">as a single center observational </w:t>
      </w:r>
      <w:r w:rsidR="00DC7A1B">
        <w:t>cross-sectional study</w:t>
      </w:r>
      <w:r w:rsidR="00EA1D9C">
        <w:t>, carried in a public hospital located in Lisbon</w:t>
      </w:r>
      <w:r w:rsidR="00715CAE">
        <w:t xml:space="preserve"> </w:t>
      </w:r>
      <w:r w:rsidR="00715CAE" w:rsidRPr="00715CAE">
        <w:rPr>
          <w:highlight w:val="yellow"/>
        </w:rPr>
        <w:t>from April to May 2018</w:t>
      </w:r>
      <w:r w:rsidR="00EA1D9C">
        <w:t xml:space="preserve">. </w:t>
      </w:r>
    </w:p>
    <w:p w14:paraId="5A0868AD" w14:textId="2431E7E6" w:rsidR="000A36D6" w:rsidRDefault="000A36D6" w:rsidP="00172B96">
      <w:pPr>
        <w:spacing w:after="0" w:line="360" w:lineRule="auto"/>
        <w:jc w:val="both"/>
      </w:pPr>
      <w:r>
        <w:t xml:space="preserve">To be enrolled, individuals had to have experienced </w:t>
      </w:r>
      <w:r w:rsidR="002F2AA4">
        <w:t xml:space="preserve">or witnessed </w:t>
      </w:r>
      <w:r>
        <w:t xml:space="preserve">physical or verbal violence within the previous 24 months period and </w:t>
      </w:r>
      <w:r w:rsidRPr="005A180C">
        <w:rPr>
          <w:strike/>
        </w:rPr>
        <w:t>had to</w:t>
      </w:r>
      <w:r>
        <w:t xml:space="preserve"> belong to one of the following professional groups: medical </w:t>
      </w:r>
      <w:r w:rsidRPr="00FB3276">
        <w:t xml:space="preserve">doctors, nurses, </w:t>
      </w:r>
      <w:r w:rsidR="00C125A4" w:rsidRPr="00FB3276">
        <w:t>nurse</w:t>
      </w:r>
      <w:r w:rsidRPr="00FB3276">
        <w:t xml:space="preserve"> assistants and technical assistants.</w:t>
      </w:r>
    </w:p>
    <w:p w14:paraId="74B116E1" w14:textId="77777777" w:rsidR="00EE4D57" w:rsidRDefault="00EA1D9C" w:rsidP="00EE4D57">
      <w:pPr>
        <w:spacing w:after="0" w:line="360" w:lineRule="auto"/>
        <w:jc w:val="both"/>
      </w:pPr>
      <w:r w:rsidRPr="00FB3276">
        <w:t xml:space="preserve">An exploratory qualitative survey was </w:t>
      </w:r>
      <w:r w:rsidR="009879FE" w:rsidRPr="00FB3276">
        <w:t xml:space="preserve">carried </w:t>
      </w:r>
      <w:r w:rsidR="000A36D6" w:rsidRPr="00FB3276">
        <w:t xml:space="preserve">out </w:t>
      </w:r>
      <w:r w:rsidRPr="00FB3276">
        <w:t xml:space="preserve">through </w:t>
      </w:r>
      <w:r w:rsidR="00250DD7" w:rsidRPr="00250DD7">
        <w:rPr>
          <w:highlight w:val="yellow"/>
        </w:rPr>
        <w:t>semi-structured</w:t>
      </w:r>
      <w:r w:rsidR="00250DD7">
        <w:t xml:space="preserve"> </w:t>
      </w:r>
      <w:r w:rsidRPr="00FB3276">
        <w:t xml:space="preserve">in-depth interviews </w:t>
      </w:r>
      <w:r w:rsidR="000A36D6" w:rsidRPr="00FB3276">
        <w:t>to</w:t>
      </w:r>
      <w:r w:rsidRPr="00FB3276">
        <w:t xml:space="preserve"> </w:t>
      </w:r>
      <w:r w:rsidR="00EE238F" w:rsidRPr="00FB3276">
        <w:t>six</w:t>
      </w:r>
      <w:r w:rsidRPr="00FB3276">
        <w:t xml:space="preserve"> workers</w:t>
      </w:r>
      <w:r w:rsidR="007F39FF">
        <w:t xml:space="preserve"> </w:t>
      </w:r>
      <w:r w:rsidRPr="00E115EB">
        <w:rPr>
          <w:strike/>
          <w:highlight w:val="yellow"/>
        </w:rPr>
        <w:t xml:space="preserve">who </w:t>
      </w:r>
      <w:r w:rsidR="000A36D6" w:rsidRPr="00E115EB">
        <w:rPr>
          <w:strike/>
          <w:highlight w:val="yellow"/>
        </w:rPr>
        <w:t>were</w:t>
      </w:r>
      <w:r w:rsidR="00882E83" w:rsidRPr="00FB3276">
        <w:t xml:space="preserve"> </w:t>
      </w:r>
      <w:r w:rsidR="00882E83" w:rsidRPr="007245D5">
        <w:rPr>
          <w:strike/>
          <w:highlight w:val="yellow"/>
        </w:rPr>
        <w:t>opportunistically</w:t>
      </w:r>
      <w:r w:rsidR="00882E83" w:rsidRPr="007245D5">
        <w:rPr>
          <w:highlight w:val="yellow"/>
        </w:rPr>
        <w:t xml:space="preserve"> </w:t>
      </w:r>
      <w:r w:rsidR="007245D5" w:rsidRPr="007245D5">
        <w:rPr>
          <w:highlight w:val="yellow"/>
        </w:rPr>
        <w:t xml:space="preserve">selected by the occupational health psychologist from the violence incidents notification registry </w:t>
      </w:r>
      <w:r w:rsidR="00947784" w:rsidRPr="007245D5">
        <w:rPr>
          <w:highlight w:val="yellow"/>
        </w:rPr>
        <w:t xml:space="preserve">on a </w:t>
      </w:r>
      <w:r w:rsidR="00EE4D57" w:rsidRPr="00EE4D57">
        <w:rPr>
          <w:highlight w:val="yellow"/>
        </w:rPr>
        <w:t>most recent entrance basis. The registry is drawn from notifications made by workers through an interface available at their working terminals, the Health Event &amp; Incident Management, HER+. Oral agreement was obtained prior to the interview scheduling.</w:t>
      </w:r>
    </w:p>
    <w:p w14:paraId="13F0D0D4" w14:textId="021997C8" w:rsidR="00D7615D" w:rsidRPr="00EE4D57" w:rsidRDefault="00C7462A" w:rsidP="00D7615D">
      <w:pPr>
        <w:spacing w:after="0" w:line="360" w:lineRule="auto"/>
        <w:jc w:val="both"/>
        <w:rPr>
          <w:highlight w:val="yellow"/>
        </w:rPr>
      </w:pPr>
      <w:bookmarkStart w:id="10" w:name="_Hlk10721237"/>
      <w:r w:rsidRPr="00FB3276">
        <w:t>A</w:t>
      </w:r>
      <w:r w:rsidR="00EA1D9C" w:rsidRPr="00FB3276">
        <w:t xml:space="preserve"> quantitative </w:t>
      </w:r>
      <w:r w:rsidR="00310B68" w:rsidRPr="00FB3276">
        <w:t>survey</w:t>
      </w:r>
      <w:r w:rsidR="00EA1D9C" w:rsidRPr="00FB3276">
        <w:t xml:space="preserve"> was carried </w:t>
      </w:r>
      <w:r w:rsidR="00055527" w:rsidRPr="00FB3276">
        <w:t xml:space="preserve">out </w:t>
      </w:r>
      <w:r w:rsidR="00EA1D9C" w:rsidRPr="00FB3276">
        <w:t xml:space="preserve">in the emergency department </w:t>
      </w:r>
      <w:r w:rsidR="00A92F0F" w:rsidRPr="00FB3276">
        <w:t xml:space="preserve">based on </w:t>
      </w:r>
      <w:r w:rsidR="00DC495A" w:rsidRPr="00FB3276">
        <w:t>a</w:t>
      </w:r>
      <w:r w:rsidR="00A92F0F" w:rsidRPr="00FB3276">
        <w:t xml:space="preserve"> </w:t>
      </w:r>
      <w:r w:rsidR="00A43971" w:rsidRPr="00FB3276">
        <w:t>mixed open and closed-</w:t>
      </w:r>
      <w:r w:rsidR="00A43971">
        <w:t xml:space="preserve">ended </w:t>
      </w:r>
      <w:r w:rsidR="00A92F0F">
        <w:t xml:space="preserve">questionnaire </w:t>
      </w:r>
      <w:r w:rsidR="00DC495A">
        <w:t>delivered to workers</w:t>
      </w:r>
      <w:r w:rsidR="00882E83">
        <w:t xml:space="preserve"> who agreed to participate</w:t>
      </w:r>
      <w:r w:rsidR="00D7615D">
        <w:t xml:space="preserve"> after being opportunistically selected at their workplace (</w:t>
      </w:r>
      <w:r w:rsidR="00D7615D">
        <w:rPr>
          <w:highlight w:val="yellow"/>
        </w:rPr>
        <w:t>w</w:t>
      </w:r>
      <w:r w:rsidR="00D7615D" w:rsidRPr="00EE4D57">
        <w:rPr>
          <w:highlight w:val="yellow"/>
        </w:rPr>
        <w:t>orkers circulating in the emergency room areas in the period booked to carry the survey were approached and invited to participate</w:t>
      </w:r>
      <w:r w:rsidR="00D7615D">
        <w:rPr>
          <w:highlight w:val="yellow"/>
        </w:rPr>
        <w:t>).</w:t>
      </w:r>
      <w:r w:rsidR="00D7615D" w:rsidRPr="00EE4D57">
        <w:rPr>
          <w:highlight w:val="yellow"/>
        </w:rPr>
        <w:t xml:space="preserve"> </w:t>
      </w:r>
    </w:p>
    <w:p w14:paraId="330B38AD" w14:textId="136B9BAB" w:rsidR="00EE4D57" w:rsidRPr="00EE4D57" w:rsidRDefault="001A3FCB" w:rsidP="00EE4D57">
      <w:pPr>
        <w:spacing w:after="0" w:line="360" w:lineRule="auto"/>
        <w:jc w:val="both"/>
        <w:rPr>
          <w:highlight w:val="yellow"/>
        </w:rPr>
      </w:pPr>
      <w:r>
        <w:t>The</w:t>
      </w:r>
      <w:r w:rsidRPr="00FF66E4">
        <w:t xml:space="preserve"> questionnaires </w:t>
      </w:r>
      <w:r>
        <w:t xml:space="preserve">were </w:t>
      </w:r>
      <w:r w:rsidR="00D7615D">
        <w:t>delivered</w:t>
      </w:r>
      <w:r>
        <w:t xml:space="preserve"> </w:t>
      </w:r>
      <w:r w:rsidRPr="00FF66E4">
        <w:t>to a sample of 32 workers</w:t>
      </w:r>
      <w:r>
        <w:t xml:space="preserve">. </w:t>
      </w:r>
      <w:bookmarkStart w:id="11" w:name="_Hlk10720545"/>
      <w:r w:rsidR="00EE4D57" w:rsidRPr="00EE4D57">
        <w:rPr>
          <w:highlight w:val="yellow"/>
        </w:rPr>
        <w:t xml:space="preserve">The authors considered this sample size an acceptable trade-off between the </w:t>
      </w:r>
      <w:r w:rsidR="00D7615D" w:rsidRPr="00EE4D57">
        <w:rPr>
          <w:highlight w:val="yellow"/>
        </w:rPr>
        <w:t xml:space="preserve">size of the population (272 workers) </w:t>
      </w:r>
      <w:r w:rsidR="00D7615D">
        <w:rPr>
          <w:highlight w:val="yellow"/>
        </w:rPr>
        <w:t xml:space="preserve">and the </w:t>
      </w:r>
      <w:r w:rsidR="00EE4D57" w:rsidRPr="00EE4D57">
        <w:rPr>
          <w:highlight w:val="yellow"/>
        </w:rPr>
        <w:t>available human and time resources</w:t>
      </w:r>
      <w:r w:rsidR="00D7615D">
        <w:rPr>
          <w:highlight w:val="yellow"/>
        </w:rPr>
        <w:t>.</w:t>
      </w:r>
      <w:r w:rsidR="00EE4D57" w:rsidRPr="00EE4D57">
        <w:rPr>
          <w:highlight w:val="yellow"/>
        </w:rPr>
        <w:t xml:space="preserve"> </w:t>
      </w:r>
    </w:p>
    <w:p w14:paraId="508A061C" w14:textId="5D08C29B" w:rsidR="00EE4D57" w:rsidRPr="00B07C0C" w:rsidRDefault="00EE4D57" w:rsidP="00EE4D57">
      <w:pPr>
        <w:spacing w:after="0" w:line="360" w:lineRule="auto"/>
        <w:jc w:val="both"/>
        <w:rPr>
          <w:i/>
        </w:rPr>
      </w:pPr>
      <w:r w:rsidRPr="00EE4D57">
        <w:rPr>
          <w:highlight w:val="yellow"/>
        </w:rPr>
        <w:t xml:space="preserve">Both surveys were performed by </w:t>
      </w:r>
      <w:r w:rsidR="008E03D5">
        <w:rPr>
          <w:highlight w:val="yellow"/>
        </w:rPr>
        <w:t>one of the</w:t>
      </w:r>
      <w:r w:rsidRPr="00EE4D57">
        <w:rPr>
          <w:highlight w:val="yellow"/>
        </w:rPr>
        <w:t xml:space="preserve"> author</w:t>
      </w:r>
      <w:r w:rsidR="008E03D5">
        <w:rPr>
          <w:highlight w:val="yellow"/>
        </w:rPr>
        <w:t>s</w:t>
      </w:r>
      <w:bookmarkStart w:id="12" w:name="_GoBack"/>
      <w:bookmarkEnd w:id="12"/>
      <w:r w:rsidRPr="00EE4D57">
        <w:rPr>
          <w:highlight w:val="yellow"/>
        </w:rPr>
        <w:t>.</w:t>
      </w:r>
    </w:p>
    <w:bookmarkEnd w:id="10"/>
    <w:bookmarkEnd w:id="11"/>
    <w:p w14:paraId="0BAB9C9A" w14:textId="7CA1F3F5" w:rsidR="00B07C0C" w:rsidRDefault="00B07C0C" w:rsidP="00EE4D57">
      <w:pPr>
        <w:spacing w:after="0" w:line="360" w:lineRule="auto"/>
        <w:jc w:val="both"/>
      </w:pPr>
    </w:p>
    <w:p w14:paraId="51A3760B" w14:textId="13AF5C8E" w:rsidR="00882E83" w:rsidRPr="000C5AB3" w:rsidRDefault="004475AD" w:rsidP="00C40D35">
      <w:pPr>
        <w:spacing w:after="0" w:line="360" w:lineRule="auto"/>
        <w:jc w:val="both"/>
        <w:rPr>
          <w:b/>
        </w:rPr>
      </w:pPr>
      <w:r w:rsidRPr="004475AD">
        <w:rPr>
          <w:b/>
          <w:highlight w:val="yellow"/>
        </w:rPr>
        <w:t>Script</w:t>
      </w:r>
      <w:r>
        <w:rPr>
          <w:b/>
        </w:rPr>
        <w:t xml:space="preserve"> and </w:t>
      </w:r>
      <w:r w:rsidR="005D0D99" w:rsidRPr="000C5AB3">
        <w:rPr>
          <w:b/>
        </w:rPr>
        <w:t>Questionnaires</w:t>
      </w:r>
    </w:p>
    <w:p w14:paraId="71DBEF1B" w14:textId="6F2E2830" w:rsidR="007A084C" w:rsidRDefault="000C5AB3" w:rsidP="00C40D35">
      <w:pPr>
        <w:spacing w:after="0" w:line="360" w:lineRule="auto"/>
        <w:jc w:val="both"/>
      </w:pPr>
      <w:r w:rsidRPr="000C5AB3">
        <w:t xml:space="preserve">The </w:t>
      </w:r>
      <w:r w:rsidR="00BD18FC" w:rsidRPr="00BD18FC">
        <w:rPr>
          <w:highlight w:val="yellow"/>
        </w:rPr>
        <w:t>script</w:t>
      </w:r>
      <w:r w:rsidR="00BD18FC">
        <w:t xml:space="preserve"> and the </w:t>
      </w:r>
      <w:r w:rsidRPr="000C5AB3">
        <w:t>questionnaire</w:t>
      </w:r>
      <w:r w:rsidR="00EE06F8">
        <w:t>s</w:t>
      </w:r>
      <w:r w:rsidRPr="000C5AB3">
        <w:t xml:space="preserve"> administered </w:t>
      </w:r>
      <w:r w:rsidR="00EE06F8">
        <w:t xml:space="preserve">were specifically built to the present study. </w:t>
      </w:r>
    </w:p>
    <w:p w14:paraId="06F46362" w14:textId="63E61F7C" w:rsidR="00172B96" w:rsidRDefault="00EE06F8" w:rsidP="00C40D35">
      <w:pPr>
        <w:spacing w:after="0" w:line="360" w:lineRule="auto"/>
        <w:jc w:val="both"/>
        <w:rPr>
          <w:vertAlign w:val="superscript"/>
        </w:rPr>
      </w:pPr>
      <w:r>
        <w:t>Th</w:t>
      </w:r>
      <w:r w:rsidR="000C5AB3">
        <w:t xml:space="preserve">e exploratory qualitative phase </w:t>
      </w:r>
      <w:r w:rsidRPr="009F4842">
        <w:rPr>
          <w:strike/>
        </w:rPr>
        <w:t>questionnaire</w:t>
      </w:r>
      <w:r>
        <w:t xml:space="preserve"> </w:t>
      </w:r>
      <w:r w:rsidR="009F4842" w:rsidRPr="009F4842">
        <w:rPr>
          <w:highlight w:val="yellow"/>
        </w:rPr>
        <w:t>script</w:t>
      </w:r>
      <w:r w:rsidR="009F4842">
        <w:t xml:space="preserve"> </w:t>
      </w:r>
      <w:r w:rsidR="000C5AB3">
        <w:t xml:space="preserve">was </w:t>
      </w:r>
      <w:r>
        <w:t xml:space="preserve">based </w:t>
      </w:r>
      <w:r w:rsidR="000C5AB3">
        <w:t xml:space="preserve">on the </w:t>
      </w:r>
      <w:r w:rsidR="00F620CF">
        <w:t>available literature</w:t>
      </w:r>
      <w:r>
        <w:t>.</w:t>
      </w:r>
      <w:r w:rsidR="00F620CF">
        <w:rPr>
          <w:rStyle w:val="EndnoteReference"/>
        </w:rPr>
        <w:endnoteReference w:id="18"/>
      </w:r>
      <w:r w:rsidR="00DF2D20" w:rsidRPr="00DF2D20">
        <w:rPr>
          <w:vertAlign w:val="superscript"/>
        </w:rPr>
        <w:t>,</w:t>
      </w:r>
      <w:bookmarkStart w:id="13" w:name="_Ref523475255"/>
      <w:r w:rsidR="00DF2D20">
        <w:rPr>
          <w:rStyle w:val="EndnoteReference"/>
        </w:rPr>
        <w:endnoteReference w:id="19"/>
      </w:r>
      <w:bookmarkEnd w:id="13"/>
      <w:r w:rsidR="00DF2D20" w:rsidRPr="00DF2D20">
        <w:rPr>
          <w:vertAlign w:val="superscript"/>
        </w:rPr>
        <w:t>,</w:t>
      </w:r>
      <w:bookmarkStart w:id="14" w:name="_Ref524097249"/>
      <w:r w:rsidR="00DF2D20">
        <w:rPr>
          <w:rStyle w:val="EndnoteReference"/>
        </w:rPr>
        <w:endnoteReference w:id="20"/>
      </w:r>
      <w:bookmarkEnd w:id="14"/>
      <w:r w:rsidR="00DF2D20">
        <w:rPr>
          <w:vertAlign w:val="superscript"/>
        </w:rPr>
        <w:t xml:space="preserve"> </w:t>
      </w:r>
      <w:r w:rsidR="007A084C" w:rsidRPr="007A084C">
        <w:rPr>
          <w:highlight w:val="yellow"/>
        </w:rPr>
        <w:t xml:space="preserve">It </w:t>
      </w:r>
      <w:r w:rsidR="005A180C">
        <w:rPr>
          <w:highlight w:val="yellow"/>
        </w:rPr>
        <w:t>included</w:t>
      </w:r>
      <w:r w:rsidR="007A084C" w:rsidRPr="007A084C">
        <w:rPr>
          <w:highlight w:val="yellow"/>
        </w:rPr>
        <w:t xml:space="preserve"> three sections: section A was directed to the violence experience itself (</w:t>
      </w:r>
      <w:r w:rsidR="007A084C">
        <w:rPr>
          <w:highlight w:val="yellow"/>
        </w:rPr>
        <w:t>description</w:t>
      </w:r>
      <w:r w:rsidR="007A084C" w:rsidRPr="007A084C">
        <w:rPr>
          <w:highlight w:val="yellow"/>
        </w:rPr>
        <w:t xml:space="preserve"> of the violence episode, circumstances, consequences and actions), section B was directed to perceptions </w:t>
      </w:r>
      <w:r w:rsidR="007A084C">
        <w:rPr>
          <w:highlight w:val="yellow"/>
        </w:rPr>
        <w:t xml:space="preserve">on workplace safety </w:t>
      </w:r>
      <w:r w:rsidR="007A084C" w:rsidRPr="007A084C">
        <w:rPr>
          <w:highlight w:val="yellow"/>
        </w:rPr>
        <w:t xml:space="preserve">and section C aimed to sense the </w:t>
      </w:r>
      <w:r w:rsidR="007A084C">
        <w:rPr>
          <w:highlight w:val="yellow"/>
        </w:rPr>
        <w:t xml:space="preserve">interviewee insight on workplace </w:t>
      </w:r>
      <w:r w:rsidR="007A084C" w:rsidRPr="007A084C">
        <w:rPr>
          <w:highlight w:val="yellow"/>
        </w:rPr>
        <w:t>violence importance and prevention</w:t>
      </w:r>
      <w:r w:rsidR="007A084C">
        <w:t>.</w:t>
      </w:r>
    </w:p>
    <w:p w14:paraId="689562D7" w14:textId="36DEE25F" w:rsidR="00361D65" w:rsidRDefault="00EE06F8" w:rsidP="00C40D35">
      <w:pPr>
        <w:spacing w:after="0" w:line="360" w:lineRule="auto"/>
        <w:jc w:val="both"/>
      </w:pPr>
      <w:r>
        <w:t xml:space="preserve">The quantitative phase questionnaire was based </w:t>
      </w:r>
      <w:r w:rsidR="00CB3985">
        <w:t>o</w:t>
      </w:r>
      <w:r>
        <w:t xml:space="preserve">n the </w:t>
      </w:r>
      <w:r w:rsidR="00172B96">
        <w:t xml:space="preserve">hospital formulary for workplace violence analysis and </w:t>
      </w:r>
      <w:bookmarkStart w:id="15" w:name="_Hlk10208766"/>
      <w:r w:rsidR="00172B96">
        <w:t>on the qualitative phase outcomes</w:t>
      </w:r>
      <w:bookmarkEnd w:id="15"/>
      <w:r w:rsidR="00172B96">
        <w:t xml:space="preserve">. </w:t>
      </w:r>
      <w:r w:rsidR="00172B96" w:rsidRPr="00A76853">
        <w:t xml:space="preserve">It </w:t>
      </w:r>
      <w:r w:rsidR="005A180C" w:rsidRPr="005A180C">
        <w:rPr>
          <w:highlight w:val="yellow"/>
        </w:rPr>
        <w:t>included</w:t>
      </w:r>
      <w:r w:rsidR="005A180C">
        <w:t xml:space="preserve"> </w:t>
      </w:r>
      <w:r w:rsidR="00172B96" w:rsidRPr="005A180C">
        <w:rPr>
          <w:strike/>
        </w:rPr>
        <w:t>was composed of</w:t>
      </w:r>
      <w:r w:rsidR="00172B96" w:rsidRPr="00A76853">
        <w:t xml:space="preserve"> two sections</w:t>
      </w:r>
      <w:r w:rsidR="003816D6" w:rsidRPr="00A76853">
        <w:t xml:space="preserve">: </w:t>
      </w:r>
      <w:r w:rsidR="00A76853" w:rsidRPr="00A76853">
        <w:t>section A was d</w:t>
      </w:r>
      <w:r w:rsidR="00A76853">
        <w:t xml:space="preserve">irected to victims of violence and section B was direct to witnesses of violence </w:t>
      </w:r>
      <w:r w:rsidR="001D13E9">
        <w:t>incident</w:t>
      </w:r>
      <w:r w:rsidR="00A76853">
        <w:t xml:space="preserve">s. </w:t>
      </w:r>
      <w:r w:rsidR="004A78A5">
        <w:t>Participants</w:t>
      </w:r>
      <w:r w:rsidR="00A76853" w:rsidRPr="00FB07EF">
        <w:t xml:space="preserve"> could fill in both sections. </w:t>
      </w:r>
      <w:r w:rsidR="00EE142E">
        <w:t>The two</w:t>
      </w:r>
      <w:r w:rsidR="00FB07EF" w:rsidRPr="00FB07EF">
        <w:t xml:space="preserve"> sections included o</w:t>
      </w:r>
      <w:r w:rsidR="00FB07EF">
        <w:t>pen and closed-ended</w:t>
      </w:r>
      <w:r w:rsidR="00EE142E">
        <w:t xml:space="preserve"> questions concerning</w:t>
      </w:r>
      <w:r w:rsidR="007A39C7">
        <w:t xml:space="preserve">: </w:t>
      </w:r>
      <w:r w:rsidR="008C1C90">
        <w:t xml:space="preserve">(1) </w:t>
      </w:r>
      <w:r w:rsidR="008C1C90" w:rsidRPr="005A180C">
        <w:rPr>
          <w:strike/>
        </w:rPr>
        <w:t>the</w:t>
      </w:r>
      <w:r w:rsidR="008C1C90">
        <w:t xml:space="preserve"> </w:t>
      </w:r>
      <w:r w:rsidR="00EE142E">
        <w:t xml:space="preserve">type of </w:t>
      </w:r>
      <w:r w:rsidR="00EE142E">
        <w:lastRenderedPageBreak/>
        <w:t>violence (physical or verbal)</w:t>
      </w:r>
      <w:r w:rsidR="008C1C90">
        <w:t>; (2)</w:t>
      </w:r>
      <w:r w:rsidR="00EE142E">
        <w:t xml:space="preserve"> whether the aggressor was a patient, a patient next of kin or a co-worker</w:t>
      </w:r>
      <w:r w:rsidR="008C1C90">
        <w:t>; (3)</w:t>
      </w:r>
      <w:r w:rsidR="00EE142E">
        <w:t xml:space="preserve"> </w:t>
      </w:r>
      <w:r w:rsidR="00EE142E" w:rsidRPr="005A180C">
        <w:rPr>
          <w:strike/>
        </w:rPr>
        <w:t>the</w:t>
      </w:r>
      <w:r w:rsidR="00EE142E">
        <w:t xml:space="preserve"> circumstances of the occurrence</w:t>
      </w:r>
      <w:r w:rsidR="008C1C90">
        <w:t>; (4)</w:t>
      </w:r>
      <w:r w:rsidR="00EE142E">
        <w:t xml:space="preserve"> </w:t>
      </w:r>
      <w:r w:rsidR="00EE142E" w:rsidRPr="005A180C">
        <w:rPr>
          <w:strike/>
        </w:rPr>
        <w:t>the</w:t>
      </w:r>
      <w:r w:rsidR="00EE142E">
        <w:t xml:space="preserve"> </w:t>
      </w:r>
      <w:r w:rsidR="001D13E9">
        <w:t>incident</w:t>
      </w:r>
      <w:r w:rsidR="00EE142E">
        <w:t xml:space="preserve"> description</w:t>
      </w:r>
      <w:r w:rsidR="008C1C90">
        <w:t>; (5)</w:t>
      </w:r>
      <w:r w:rsidR="00EE142E">
        <w:t xml:space="preserve"> </w:t>
      </w:r>
      <w:r w:rsidR="00EE142E" w:rsidRPr="005A180C">
        <w:rPr>
          <w:strike/>
        </w:rPr>
        <w:t>the</w:t>
      </w:r>
      <w:r w:rsidR="00EE142E">
        <w:t xml:space="preserve"> presumed </w:t>
      </w:r>
      <w:r w:rsidR="0013016B">
        <w:t>motives</w:t>
      </w:r>
      <w:r w:rsidR="00EE142E">
        <w:t xml:space="preserve"> for the aggression</w:t>
      </w:r>
      <w:r w:rsidR="008C1C90">
        <w:t>; (6)</w:t>
      </w:r>
      <w:r w:rsidR="00BF2AF4">
        <w:t xml:space="preserve"> </w:t>
      </w:r>
      <w:r w:rsidR="005A180C" w:rsidRPr="005A180C">
        <w:rPr>
          <w:highlight w:val="yellow"/>
        </w:rPr>
        <w:t>victim’s</w:t>
      </w:r>
      <w:r w:rsidR="005A180C">
        <w:t xml:space="preserve"> </w:t>
      </w:r>
      <w:r w:rsidR="00BF2AF4">
        <w:t xml:space="preserve">reactions and attitudes assumed </w:t>
      </w:r>
      <w:r w:rsidR="00BF2AF4" w:rsidRPr="005A180C">
        <w:rPr>
          <w:strike/>
        </w:rPr>
        <w:t>by the victim</w:t>
      </w:r>
      <w:r w:rsidR="008C1C90">
        <w:t>; (7)</w:t>
      </w:r>
      <w:r w:rsidR="00BF2AF4">
        <w:t xml:space="preserve"> </w:t>
      </w:r>
      <w:r w:rsidR="003E2FE5" w:rsidRPr="005A180C">
        <w:rPr>
          <w:strike/>
        </w:rPr>
        <w:t>the</w:t>
      </w:r>
      <w:r w:rsidR="003E2FE5">
        <w:t xml:space="preserve"> </w:t>
      </w:r>
      <w:r w:rsidR="00BF2AF4">
        <w:t xml:space="preserve">level of satisfaction towards the way the institution coped with the </w:t>
      </w:r>
      <w:r w:rsidR="001D13E9">
        <w:t>incident</w:t>
      </w:r>
      <w:r w:rsidR="008C1C90">
        <w:t>; (8)</w:t>
      </w:r>
      <w:r w:rsidR="00BF2AF4">
        <w:t xml:space="preserve"> </w:t>
      </w:r>
      <w:r w:rsidR="00C40D35" w:rsidRPr="005A180C">
        <w:rPr>
          <w:strike/>
        </w:rPr>
        <w:t>the</w:t>
      </w:r>
      <w:r w:rsidR="003E2FE5">
        <w:t xml:space="preserve"> personal</w:t>
      </w:r>
      <w:r w:rsidR="00C40D35">
        <w:t xml:space="preserve"> </w:t>
      </w:r>
      <w:r w:rsidR="003E2FE5">
        <w:t>impact suffered by the victim</w:t>
      </w:r>
      <w:r w:rsidR="008C1C90">
        <w:t>; (9)</w:t>
      </w:r>
      <w:r w:rsidR="003E2FE5">
        <w:t xml:space="preserve"> </w:t>
      </w:r>
      <w:r w:rsidR="003E2FE5" w:rsidRPr="005A180C">
        <w:rPr>
          <w:strike/>
        </w:rPr>
        <w:t>the</w:t>
      </w:r>
      <w:r w:rsidR="003E2FE5">
        <w:t xml:space="preserve"> possibility and ways of avoiding workplace violence</w:t>
      </w:r>
      <w:r w:rsidR="008C1C90">
        <w:t>; (10)</w:t>
      </w:r>
      <w:r w:rsidR="003E2FE5">
        <w:t xml:space="preserve"> </w:t>
      </w:r>
      <w:r w:rsidR="003E2FE5" w:rsidRPr="005A180C">
        <w:rPr>
          <w:strike/>
        </w:rPr>
        <w:t>the</w:t>
      </w:r>
      <w:r w:rsidR="003E2FE5">
        <w:t xml:space="preserve"> level of </w:t>
      </w:r>
      <w:r w:rsidR="00537D8B">
        <w:t>familiarity</w:t>
      </w:r>
      <w:r w:rsidR="003E2FE5">
        <w:t xml:space="preserve"> about internal procedures on workplace violence and </w:t>
      </w:r>
      <w:r w:rsidR="008C1C90">
        <w:t xml:space="preserve">(11) </w:t>
      </w:r>
      <w:r w:rsidR="003E2FE5">
        <w:t xml:space="preserve">whether the strategies recommended in those procedures </w:t>
      </w:r>
      <w:r w:rsidR="00DC24B9" w:rsidRPr="00FB3276">
        <w:t>were</w:t>
      </w:r>
      <w:r w:rsidR="003E2FE5" w:rsidRPr="00FB3276">
        <w:t xml:space="preserve"> implemented</w:t>
      </w:r>
      <w:r w:rsidR="003E2FE5">
        <w:t>.</w:t>
      </w:r>
    </w:p>
    <w:p w14:paraId="35B36FC9" w14:textId="77777777" w:rsidR="003E2FE5" w:rsidRPr="003E2FE5" w:rsidRDefault="003E2FE5" w:rsidP="00C40D35">
      <w:pPr>
        <w:spacing w:after="0" w:line="360" w:lineRule="auto"/>
        <w:jc w:val="both"/>
        <w:rPr>
          <w:b/>
        </w:rPr>
      </w:pPr>
      <w:r w:rsidRPr="003E2FE5">
        <w:rPr>
          <w:b/>
        </w:rPr>
        <w:t>Data analysis</w:t>
      </w:r>
    </w:p>
    <w:p w14:paraId="3FD445B7" w14:textId="77777777" w:rsidR="003E2FE5" w:rsidRDefault="0083546E" w:rsidP="00C40D35">
      <w:pPr>
        <w:spacing w:after="0" w:line="360" w:lineRule="auto"/>
        <w:jc w:val="both"/>
      </w:pPr>
      <w:r>
        <w:t>In the qualitative phase, h</w:t>
      </w:r>
      <w:r w:rsidR="003E2FE5">
        <w:t xml:space="preserve">andwritten notes were taken during the in-depth interviews. </w:t>
      </w:r>
      <w:r>
        <w:t>Each</w:t>
      </w:r>
      <w:r w:rsidR="003E2FE5">
        <w:t xml:space="preserve"> interview’</w:t>
      </w:r>
      <w:r>
        <w:t>s</w:t>
      </w:r>
      <w:r w:rsidR="003E2FE5">
        <w:t xml:space="preserve"> content was summarized in</w:t>
      </w:r>
      <w:r>
        <w:t xml:space="preserve"> sections covering the main qualitative outcomes: description of the </w:t>
      </w:r>
      <w:r w:rsidR="001D13E9">
        <w:t>incident</w:t>
      </w:r>
      <w:r>
        <w:t>, sequelae and consequences, attitudes, safety perceptions, organizational level of concern, problem dimension and suggestions.</w:t>
      </w:r>
    </w:p>
    <w:p w14:paraId="4D835333" w14:textId="77777777" w:rsidR="00E4626F" w:rsidRDefault="0083546E" w:rsidP="00E4626F">
      <w:pPr>
        <w:spacing w:after="0" w:line="360" w:lineRule="auto"/>
        <w:jc w:val="both"/>
      </w:pPr>
      <w:r>
        <w:t xml:space="preserve">Upon completion and collection of the quantitative phase questionnaires, </w:t>
      </w:r>
      <w:r w:rsidR="00155C21">
        <w:t>demo</w:t>
      </w:r>
      <w:r w:rsidR="006A0861">
        <w:t>graphi</w:t>
      </w:r>
      <w:r w:rsidR="00155C21">
        <w:t xml:space="preserve">cs and answers to close-ended questions were </w:t>
      </w:r>
      <w:r w:rsidR="004306ED">
        <w:t>recorded in spreadsheets</w:t>
      </w:r>
      <w:r w:rsidR="00E70E5B">
        <w:t xml:space="preserve">. Answers to open-ended questions were </w:t>
      </w:r>
      <w:r w:rsidR="00E4626F">
        <w:t>coded</w:t>
      </w:r>
      <w:r w:rsidR="00E70E5B">
        <w:t xml:space="preserve"> and classified into categories. </w:t>
      </w:r>
      <w:r w:rsidR="00CC42A9">
        <w:t xml:space="preserve"> </w:t>
      </w:r>
      <w:r w:rsidR="00E4626F">
        <w:t xml:space="preserve">Answers were screened for consistency, namely, comparison between answers to questions common to sections A and B, personal impact scorings and comparison between answers provided to level of </w:t>
      </w:r>
      <w:r w:rsidR="00537D8B">
        <w:t>familiarity</w:t>
      </w:r>
      <w:r w:rsidR="00E4626F">
        <w:t xml:space="preserve"> about internal procedures and implementation of recommended strategies.</w:t>
      </w:r>
    </w:p>
    <w:p w14:paraId="421B9D93" w14:textId="4BAD5FE8" w:rsidR="0083546E" w:rsidRDefault="00E4626F" w:rsidP="00C40D35">
      <w:pPr>
        <w:spacing w:after="0" w:line="360" w:lineRule="auto"/>
        <w:jc w:val="both"/>
      </w:pPr>
      <w:r>
        <w:t xml:space="preserve">Statistical </w:t>
      </w:r>
      <w:r w:rsidR="008C1C90">
        <w:t>analysis</w:t>
      </w:r>
      <w:r>
        <w:t xml:space="preserve"> </w:t>
      </w:r>
      <w:r w:rsidR="00886BAD">
        <w:t>was</w:t>
      </w:r>
      <w:r>
        <w:t xml:space="preserve"> performed using Microsoft Excel 2016 MSO. Descri</w:t>
      </w:r>
      <w:r w:rsidR="007F76B1">
        <w:t>p</w:t>
      </w:r>
      <w:r>
        <w:t>tive statistics were provided for all items</w:t>
      </w:r>
      <w:r w:rsidR="007F76B1">
        <w:t xml:space="preserve">. </w:t>
      </w:r>
      <w:r w:rsidR="007B6DCE">
        <w:t xml:space="preserve">In </w:t>
      </w:r>
      <w:r w:rsidR="00537D8B">
        <w:t>evaluations of the statistical difference between means and proportions</w:t>
      </w:r>
      <w:r w:rsidR="004F4B4B">
        <w:t>,</w:t>
      </w:r>
      <w:r w:rsidR="00537D8B">
        <w:t xml:space="preserve"> the level of </w:t>
      </w:r>
      <w:r w:rsidR="00537D8B" w:rsidRPr="00FB3276">
        <w:t xml:space="preserve">significance accepted was of </w:t>
      </w:r>
      <w:r w:rsidR="00886BAD">
        <w:t>5%</w:t>
      </w:r>
      <w:r w:rsidR="00537D8B" w:rsidRPr="00FB3276">
        <w:t xml:space="preserve">. </w:t>
      </w:r>
      <w:r w:rsidR="00CA06FE" w:rsidRPr="00FB3276">
        <w:t>We used the Fisher’s exact test to study the association</w:t>
      </w:r>
      <w:r w:rsidR="00537D8B" w:rsidRPr="00FB3276">
        <w:t xml:space="preserve"> between the categorical variables “unfamiliarity/low familiarity with internal procedures”</w:t>
      </w:r>
      <w:r w:rsidR="00366B72">
        <w:t xml:space="preserve"> and </w:t>
      </w:r>
      <w:r w:rsidR="00366B72" w:rsidRPr="00FB3276">
        <w:t>“implementation of recommended strategies”</w:t>
      </w:r>
      <w:r w:rsidR="00CA06FE" w:rsidRPr="00FB3276">
        <w:t>.</w:t>
      </w:r>
      <w:r w:rsidR="00537D8B">
        <w:t xml:space="preserve"> </w:t>
      </w:r>
    </w:p>
    <w:p w14:paraId="3878E645" w14:textId="77777777" w:rsidR="00064476" w:rsidRDefault="00064476">
      <w:pPr>
        <w:rPr>
          <w:b/>
        </w:rPr>
      </w:pPr>
      <w:r>
        <w:rPr>
          <w:b/>
        </w:rPr>
        <w:br w:type="page"/>
      </w:r>
    </w:p>
    <w:p w14:paraId="1126C50D" w14:textId="02701806" w:rsidR="00416FEB" w:rsidRDefault="00416FEB" w:rsidP="00C40D35">
      <w:pPr>
        <w:spacing w:after="0" w:line="360" w:lineRule="auto"/>
        <w:jc w:val="both"/>
        <w:rPr>
          <w:b/>
        </w:rPr>
      </w:pPr>
      <w:r w:rsidRPr="007529A2">
        <w:rPr>
          <w:b/>
        </w:rPr>
        <w:lastRenderedPageBreak/>
        <w:t>RESULTS</w:t>
      </w:r>
    </w:p>
    <w:p w14:paraId="21565781" w14:textId="2F4A3452" w:rsidR="00FF66E4" w:rsidRDefault="00FF66E4" w:rsidP="00C40D35">
      <w:pPr>
        <w:spacing w:after="0" w:line="360" w:lineRule="auto"/>
        <w:jc w:val="both"/>
        <w:rPr>
          <w:b/>
        </w:rPr>
      </w:pPr>
      <w:r>
        <w:rPr>
          <w:b/>
        </w:rPr>
        <w:t>Demographics</w:t>
      </w:r>
    </w:p>
    <w:p w14:paraId="4CC5ECA7" w14:textId="1261FAFD" w:rsidR="00FF66E4" w:rsidRPr="00FF66E4" w:rsidRDefault="00FF66E4" w:rsidP="00C40D35">
      <w:pPr>
        <w:spacing w:after="0" w:line="360" w:lineRule="auto"/>
        <w:jc w:val="both"/>
      </w:pPr>
      <w:bookmarkStart w:id="16" w:name="_Hlk10727109"/>
      <w:r w:rsidRPr="00FF66E4">
        <w:t xml:space="preserve">In the quantitative phase </w:t>
      </w:r>
      <w:r w:rsidRPr="001A3FCB">
        <w:rPr>
          <w:strike/>
        </w:rPr>
        <w:t>we delivered questionnaires to a sample of 32 workers</w:t>
      </w:r>
      <w:r w:rsidR="00D52461" w:rsidRPr="001A3FCB">
        <w:rPr>
          <w:strike/>
        </w:rPr>
        <w:t xml:space="preserve">. </w:t>
      </w:r>
      <w:r w:rsidRPr="001A3FCB">
        <w:rPr>
          <w:strike/>
        </w:rPr>
        <w:t>Of these</w:t>
      </w:r>
      <w:r w:rsidR="00D474EC" w:rsidRPr="001A3FCB">
        <w:rPr>
          <w:strike/>
        </w:rPr>
        <w:t xml:space="preserve"> 32</w:t>
      </w:r>
      <w:r w:rsidRPr="001A3FCB">
        <w:rPr>
          <w:strike/>
        </w:rPr>
        <w:t>,</w:t>
      </w:r>
      <w:r w:rsidRPr="00FF66E4">
        <w:t xml:space="preserve"> 28 workers returned valid filled in questionnaires</w:t>
      </w:r>
      <w:bookmarkStart w:id="17" w:name="_Hlk10716162"/>
      <w:r w:rsidR="001A3FCB" w:rsidRPr="001A3FCB">
        <w:rPr>
          <w:highlight w:val="yellow"/>
        </w:rPr>
        <w:t>, which corresponds to 10.3% of the emergency department staff</w:t>
      </w:r>
      <w:r w:rsidR="001A3FCB">
        <w:t>.</w:t>
      </w:r>
    </w:p>
    <w:bookmarkEnd w:id="17"/>
    <w:p w14:paraId="345FF604" w14:textId="0225F5E0" w:rsidR="007A39C7" w:rsidRDefault="007A39C7" w:rsidP="007A39C7">
      <w:pPr>
        <w:spacing w:after="0" w:line="360" w:lineRule="auto"/>
        <w:jc w:val="both"/>
      </w:pPr>
      <w:r>
        <w:t xml:space="preserve">The demographic characteristics of the </w:t>
      </w:r>
      <w:r w:rsidRPr="00E115EB">
        <w:rPr>
          <w:strike/>
          <w:highlight w:val="yellow"/>
        </w:rPr>
        <w:t>quantitative</w:t>
      </w:r>
      <w:r>
        <w:t xml:space="preserve"> survey population are depicted in </w:t>
      </w:r>
      <w:r w:rsidRPr="005F4940">
        <w:rPr>
          <w:highlight w:val="yellow"/>
        </w:rPr>
        <w:t>Table</w:t>
      </w:r>
      <w:r w:rsidR="005F4940" w:rsidRPr="005F4940">
        <w:rPr>
          <w:highlight w:val="yellow"/>
        </w:rPr>
        <w:t>s</w:t>
      </w:r>
      <w:r w:rsidRPr="005F4940">
        <w:rPr>
          <w:highlight w:val="yellow"/>
        </w:rPr>
        <w:t xml:space="preserve"> 1</w:t>
      </w:r>
      <w:r w:rsidR="005F4940" w:rsidRPr="005F4940">
        <w:rPr>
          <w:highlight w:val="yellow"/>
        </w:rPr>
        <w:t xml:space="preserve"> and 2.</w:t>
      </w:r>
    </w:p>
    <w:bookmarkEnd w:id="16"/>
    <w:p w14:paraId="606DB558" w14:textId="77777777" w:rsidR="007A39C7" w:rsidRPr="00FF66E4" w:rsidRDefault="007A39C7" w:rsidP="007A39C7">
      <w:pPr>
        <w:spacing w:after="0" w:line="360" w:lineRule="auto"/>
        <w:jc w:val="both"/>
        <w:rPr>
          <w:sz w:val="10"/>
        </w:rPr>
      </w:pPr>
    </w:p>
    <w:p w14:paraId="6BD2CC27" w14:textId="4907A96D" w:rsidR="007A39C7" w:rsidRDefault="007A39C7" w:rsidP="007A39C7">
      <w:pPr>
        <w:spacing w:after="0" w:line="360" w:lineRule="auto"/>
        <w:jc w:val="both"/>
        <w:rPr>
          <w:i/>
        </w:rPr>
      </w:pPr>
      <w:r w:rsidRPr="00B07C0C">
        <w:rPr>
          <w:i/>
        </w:rPr>
        <w:t>[</w:t>
      </w:r>
      <w:proofErr w:type="spellStart"/>
      <w:r w:rsidRPr="00B07C0C">
        <w:rPr>
          <w:i/>
        </w:rPr>
        <w:t>inserir</w:t>
      </w:r>
      <w:proofErr w:type="spellEnd"/>
      <w:r w:rsidRPr="00B07C0C">
        <w:rPr>
          <w:i/>
        </w:rPr>
        <w:t xml:space="preserve"> Table 1]</w:t>
      </w:r>
    </w:p>
    <w:p w14:paraId="6AC80952" w14:textId="431FCEC9" w:rsidR="001205D4" w:rsidRDefault="001205D4" w:rsidP="001205D4">
      <w:pPr>
        <w:spacing w:after="0" w:line="360" w:lineRule="auto"/>
        <w:jc w:val="both"/>
        <w:rPr>
          <w:i/>
        </w:rPr>
      </w:pPr>
      <w:r w:rsidRPr="00B07C0C">
        <w:rPr>
          <w:i/>
        </w:rPr>
        <w:t>[</w:t>
      </w:r>
      <w:proofErr w:type="spellStart"/>
      <w:r w:rsidRPr="00B07C0C">
        <w:rPr>
          <w:i/>
        </w:rPr>
        <w:t>inserir</w:t>
      </w:r>
      <w:proofErr w:type="spellEnd"/>
      <w:r w:rsidRPr="00B07C0C">
        <w:rPr>
          <w:i/>
        </w:rPr>
        <w:t xml:space="preserve"> Table </w:t>
      </w:r>
      <w:r w:rsidR="003E7C5B">
        <w:rPr>
          <w:i/>
        </w:rPr>
        <w:t>2</w:t>
      </w:r>
      <w:r w:rsidRPr="00B07C0C">
        <w:rPr>
          <w:i/>
        </w:rPr>
        <w:t>]</w:t>
      </w:r>
    </w:p>
    <w:p w14:paraId="1329599F" w14:textId="77777777" w:rsidR="007A39C7" w:rsidRPr="00FF66E4" w:rsidRDefault="007A39C7" w:rsidP="00C40D35">
      <w:pPr>
        <w:spacing w:after="0" w:line="360" w:lineRule="auto"/>
        <w:jc w:val="both"/>
        <w:rPr>
          <w:b/>
          <w:sz w:val="6"/>
        </w:rPr>
      </w:pPr>
    </w:p>
    <w:p w14:paraId="259B973C" w14:textId="1CD7A56D" w:rsidR="00DF18F2" w:rsidRPr="007529A2" w:rsidRDefault="00DF18F2" w:rsidP="00C40D35">
      <w:pPr>
        <w:spacing w:after="0" w:line="360" w:lineRule="auto"/>
        <w:jc w:val="both"/>
        <w:rPr>
          <w:b/>
        </w:rPr>
      </w:pPr>
      <w:r w:rsidRPr="00DF18F2">
        <w:rPr>
          <w:b/>
          <w:highlight w:val="yellow"/>
        </w:rPr>
        <w:t>Qualitative Phase</w:t>
      </w:r>
    </w:p>
    <w:p w14:paraId="4AD89303" w14:textId="54F89B95" w:rsidR="00A90D4E" w:rsidRPr="00A90D4E" w:rsidRDefault="00416FEB" w:rsidP="00C40D35">
      <w:pPr>
        <w:spacing w:after="0" w:line="360" w:lineRule="auto"/>
        <w:jc w:val="both"/>
      </w:pPr>
      <w:r w:rsidRPr="00FB3276">
        <w:t xml:space="preserve">In the qualitative phase, </w:t>
      </w:r>
      <w:r w:rsidR="00D75191" w:rsidRPr="00DF18F2">
        <w:rPr>
          <w:strike/>
        </w:rPr>
        <w:t>five</w:t>
      </w:r>
      <w:r w:rsidRPr="00DF18F2">
        <w:rPr>
          <w:strike/>
        </w:rPr>
        <w:t xml:space="preserve"> out of the </w:t>
      </w:r>
      <w:r w:rsidR="00D75191" w:rsidRPr="00DF18F2">
        <w:rPr>
          <w:strike/>
        </w:rPr>
        <w:t>six</w:t>
      </w:r>
      <w:r w:rsidRPr="00FB3276">
        <w:t xml:space="preserve"> interviewees reported </w:t>
      </w:r>
      <w:r w:rsidR="00DF18F2" w:rsidRPr="00DF18F2">
        <w:rPr>
          <w:highlight w:val="yellow"/>
        </w:rPr>
        <w:t>mostly</w:t>
      </w:r>
      <w:r w:rsidR="00DF18F2">
        <w:t xml:space="preserve"> </w:t>
      </w:r>
      <w:r w:rsidR="001D13E9" w:rsidRPr="00FB3276">
        <w:t>incident</w:t>
      </w:r>
      <w:r w:rsidRPr="00FB3276">
        <w:t>s of physical violence where the aggressor was either a patient, a patient next of kin or a co-worker</w:t>
      </w:r>
      <w:r w:rsidR="00DF18F2">
        <w:t>.</w:t>
      </w:r>
      <w:r w:rsidRPr="00DF18F2">
        <w:rPr>
          <w:strike/>
        </w:rPr>
        <w:t xml:space="preserve">; </w:t>
      </w:r>
      <w:r w:rsidR="00802C55" w:rsidRPr="00DF18F2">
        <w:rPr>
          <w:strike/>
        </w:rPr>
        <w:t>one</w:t>
      </w:r>
      <w:r w:rsidRPr="00DF18F2">
        <w:rPr>
          <w:strike/>
        </w:rPr>
        <w:t xml:space="preserve"> interviewee reported an </w:t>
      </w:r>
      <w:r w:rsidR="001D13E9" w:rsidRPr="00DF18F2">
        <w:rPr>
          <w:strike/>
        </w:rPr>
        <w:t>incident</w:t>
      </w:r>
      <w:r w:rsidRPr="00DF18F2">
        <w:rPr>
          <w:strike/>
        </w:rPr>
        <w:t xml:space="preserve"> of verbal violence </w:t>
      </w:r>
      <w:r w:rsidR="00D75191" w:rsidRPr="00DF18F2">
        <w:rPr>
          <w:strike/>
        </w:rPr>
        <w:t>by a</w:t>
      </w:r>
      <w:r w:rsidRPr="00DF18F2">
        <w:rPr>
          <w:strike/>
        </w:rPr>
        <w:t xml:space="preserve"> patient next of kin</w:t>
      </w:r>
      <w:r w:rsidR="00E67690" w:rsidRPr="00DF18F2">
        <w:t>.</w:t>
      </w:r>
      <w:r w:rsidR="002039C9" w:rsidRPr="00DF18F2">
        <w:t xml:space="preserve"> </w:t>
      </w:r>
      <w:r w:rsidR="00DF18F2" w:rsidRPr="00DF18F2">
        <w:rPr>
          <w:highlight w:val="yellow"/>
        </w:rPr>
        <w:t>Some</w:t>
      </w:r>
      <w:r w:rsidR="00DF18F2">
        <w:rPr>
          <w:strike/>
        </w:rPr>
        <w:t xml:space="preserve"> </w:t>
      </w:r>
      <w:r w:rsidR="00D75191" w:rsidRPr="00DF18F2">
        <w:rPr>
          <w:strike/>
        </w:rPr>
        <w:t>Four</w:t>
      </w:r>
      <w:r w:rsidR="002039C9" w:rsidRPr="00DF18F2">
        <w:rPr>
          <w:strike/>
        </w:rPr>
        <w:t xml:space="preserve"> out of </w:t>
      </w:r>
      <w:r w:rsidR="00D75191" w:rsidRPr="00DF18F2">
        <w:rPr>
          <w:strike/>
        </w:rPr>
        <w:t>six</w:t>
      </w:r>
      <w:r w:rsidR="002039C9" w:rsidRPr="00FB3276">
        <w:t xml:space="preserve"> </w:t>
      </w:r>
      <w:r w:rsidR="001D13E9" w:rsidRPr="00FB3276">
        <w:t>incident</w:t>
      </w:r>
      <w:r w:rsidR="002039C9" w:rsidRPr="00FB3276">
        <w:t xml:space="preserve">s occurred in circumstances where the victim was in charge either of deciding the admission of a patient to a clinical </w:t>
      </w:r>
      <w:r w:rsidR="008C1C90">
        <w:t>meeting</w:t>
      </w:r>
      <w:r w:rsidR="002039C9" w:rsidRPr="00FB3276">
        <w:t xml:space="preserve"> or of gatekeeping the patient next of kin entrance</w:t>
      </w:r>
      <w:r w:rsidR="006B134F" w:rsidRPr="00FB3276">
        <w:t xml:space="preserve"> in the </w:t>
      </w:r>
      <w:r w:rsidR="00F42A6F" w:rsidRPr="00FB3276">
        <w:t>care providing area</w:t>
      </w:r>
      <w:r w:rsidR="00B37446" w:rsidRPr="00DF18F2">
        <w:rPr>
          <w:strike/>
        </w:rPr>
        <w:t xml:space="preserve">; </w:t>
      </w:r>
      <w:r w:rsidR="00D75191" w:rsidRPr="00DF18F2">
        <w:rPr>
          <w:strike/>
        </w:rPr>
        <w:t>one</w:t>
      </w:r>
      <w:r w:rsidR="00B37446" w:rsidRPr="00FB3276">
        <w:t xml:space="preserve"> </w:t>
      </w:r>
      <w:r w:rsidR="00DF18F2" w:rsidRPr="00DF18F2">
        <w:rPr>
          <w:highlight w:val="yellow"/>
        </w:rPr>
        <w:t xml:space="preserve">There were also reports of </w:t>
      </w:r>
      <w:r w:rsidR="001D13E9" w:rsidRPr="00DF18F2">
        <w:rPr>
          <w:highlight w:val="yellow"/>
        </w:rPr>
        <w:t>incident</w:t>
      </w:r>
      <w:r w:rsidR="00DF18F2" w:rsidRPr="00DF18F2">
        <w:rPr>
          <w:highlight w:val="yellow"/>
        </w:rPr>
        <w:t>s</w:t>
      </w:r>
      <w:r w:rsidR="00B37446" w:rsidRPr="00FB3276">
        <w:t xml:space="preserve"> involv</w:t>
      </w:r>
      <w:r w:rsidR="00DF18F2">
        <w:t>ing</w:t>
      </w:r>
      <w:r w:rsidR="00B37446" w:rsidRPr="00FB3276">
        <w:t xml:space="preserve"> </w:t>
      </w:r>
      <w:r w:rsidR="00B37446" w:rsidRPr="00DF18F2">
        <w:rPr>
          <w:strike/>
        </w:rPr>
        <w:t>an</w:t>
      </w:r>
      <w:r w:rsidR="00B37446" w:rsidRPr="00FB3276">
        <w:t xml:space="preserve"> aggression</w:t>
      </w:r>
      <w:r w:rsidR="00DF18F2">
        <w:t>s</w:t>
      </w:r>
      <w:r w:rsidR="00B37446" w:rsidRPr="00FB3276">
        <w:t xml:space="preserve"> by an elderly </w:t>
      </w:r>
      <w:r w:rsidR="008C1C90">
        <w:t>disturbed</w:t>
      </w:r>
      <w:r w:rsidR="00B61FFF" w:rsidRPr="00FB3276">
        <w:t xml:space="preserve"> </w:t>
      </w:r>
      <w:r w:rsidR="00B37446" w:rsidRPr="00FB3276">
        <w:t>patient whose psychiatric medication had been discontinued</w:t>
      </w:r>
      <w:r w:rsidR="00B37446" w:rsidRPr="00DF18F2">
        <w:rPr>
          <w:strike/>
        </w:rPr>
        <w:t xml:space="preserve">; </w:t>
      </w:r>
      <w:r w:rsidR="00D75191" w:rsidRPr="00DF18F2">
        <w:rPr>
          <w:strike/>
        </w:rPr>
        <w:t>one</w:t>
      </w:r>
      <w:r w:rsidR="00B37446" w:rsidRPr="00DF18F2">
        <w:rPr>
          <w:strike/>
        </w:rPr>
        <w:t xml:space="preserve"> </w:t>
      </w:r>
      <w:r w:rsidR="001D13E9" w:rsidRPr="00DF18F2">
        <w:rPr>
          <w:strike/>
        </w:rPr>
        <w:t>incident</w:t>
      </w:r>
      <w:r w:rsidR="00B37446" w:rsidRPr="00DF18F2">
        <w:rPr>
          <w:strike/>
        </w:rPr>
        <w:t xml:space="preserve"> involved</w:t>
      </w:r>
      <w:r w:rsidR="00B37446" w:rsidRPr="00FB3276">
        <w:t xml:space="preserve"> </w:t>
      </w:r>
      <w:r w:rsidR="00B37446" w:rsidRPr="00DF18F2">
        <w:rPr>
          <w:strike/>
        </w:rPr>
        <w:t>an aggression by one of the</w:t>
      </w:r>
      <w:r w:rsidR="00B37446" w:rsidRPr="00FB3276">
        <w:t xml:space="preserve"> </w:t>
      </w:r>
      <w:r w:rsidR="00DF18F2">
        <w:t xml:space="preserve">and a </w:t>
      </w:r>
      <w:r w:rsidR="00B37446" w:rsidRPr="00FB3276">
        <w:t>victim’s subordinate in the context of shift work scheduling decisions.</w:t>
      </w:r>
      <w:r w:rsidR="00EB0D64">
        <w:t xml:space="preserve"> </w:t>
      </w:r>
      <w:r w:rsidR="00EB0D64" w:rsidRPr="00EB0D64">
        <w:rPr>
          <w:highlight w:val="yellow"/>
        </w:rPr>
        <w:t xml:space="preserve">The interviewees mentioned unrestricted access to working areas, absence of safety agents and police officers (or lack of </w:t>
      </w:r>
      <w:r w:rsidR="00EB0D64">
        <w:rPr>
          <w:highlight w:val="yellow"/>
        </w:rPr>
        <w:t xml:space="preserve">their </w:t>
      </w:r>
      <w:r w:rsidR="00EB0D64" w:rsidRPr="00EB0D64">
        <w:rPr>
          <w:highlight w:val="yellow"/>
        </w:rPr>
        <w:t>active interventions) as favoring the incidents’ occurrence.</w:t>
      </w:r>
      <w:r w:rsidR="00A90D4E">
        <w:t xml:space="preserve"> </w:t>
      </w:r>
      <w:r w:rsidR="00355E65" w:rsidRPr="00355E65">
        <w:rPr>
          <w:highlight w:val="yellow"/>
        </w:rPr>
        <w:t>Most of the interviewees reported psychological sequelae</w:t>
      </w:r>
      <w:r w:rsidR="00355E65">
        <w:rPr>
          <w:highlight w:val="yellow"/>
        </w:rPr>
        <w:t>; n</w:t>
      </w:r>
      <w:r w:rsidR="00355E65" w:rsidRPr="00355E65">
        <w:rPr>
          <w:highlight w:val="yellow"/>
        </w:rPr>
        <w:t>evertheless,</w:t>
      </w:r>
      <w:r w:rsidR="00355E65">
        <w:rPr>
          <w:highlight w:val="yellow"/>
        </w:rPr>
        <w:t xml:space="preserve"> </w:t>
      </w:r>
      <w:r w:rsidR="00355E65" w:rsidRPr="00355E65">
        <w:rPr>
          <w:highlight w:val="yellow"/>
        </w:rPr>
        <w:t>severity seems to dilute over time</w:t>
      </w:r>
      <w:r w:rsidR="00355E65">
        <w:rPr>
          <w:highlight w:val="yellow"/>
        </w:rPr>
        <w:t>. S</w:t>
      </w:r>
      <w:r w:rsidR="00A90D4E" w:rsidRPr="00A90D4E">
        <w:rPr>
          <w:highlight w:val="yellow"/>
        </w:rPr>
        <w:t>ome express</w:t>
      </w:r>
      <w:r w:rsidR="00A90D4E">
        <w:rPr>
          <w:highlight w:val="yellow"/>
        </w:rPr>
        <w:t>ed</w:t>
      </w:r>
      <w:r w:rsidR="00A90D4E" w:rsidRPr="00A90D4E">
        <w:rPr>
          <w:highlight w:val="yellow"/>
        </w:rPr>
        <w:t xml:space="preserve"> feelings of determination and assertiveness when figuring out how they would act if similar situations happened </w:t>
      </w:r>
      <w:r w:rsidR="00A90D4E" w:rsidRPr="009F0060">
        <w:rPr>
          <w:highlight w:val="yellow"/>
        </w:rPr>
        <w:t>again.</w:t>
      </w:r>
      <w:r w:rsidR="009F0060" w:rsidRPr="009F0060">
        <w:rPr>
          <w:highlight w:val="yellow"/>
        </w:rPr>
        <w:t xml:space="preserve"> Hospital management is found not to be sufficiently concerned or aware of the problem and not having violence prevention as a top priority. Some of the </w:t>
      </w:r>
      <w:r w:rsidR="009F0060">
        <w:rPr>
          <w:highlight w:val="yellow"/>
        </w:rPr>
        <w:t>interviewees</w:t>
      </w:r>
      <w:r w:rsidR="009F0060" w:rsidRPr="009F0060">
        <w:rPr>
          <w:highlight w:val="yellow"/>
        </w:rPr>
        <w:t xml:space="preserve"> believe notifying is useless.</w:t>
      </w:r>
    </w:p>
    <w:p w14:paraId="1D629BF0" w14:textId="77777777" w:rsidR="009F0060" w:rsidRDefault="009F0060" w:rsidP="007529A2">
      <w:pPr>
        <w:spacing w:after="0" w:line="360" w:lineRule="auto"/>
        <w:jc w:val="both"/>
        <w:rPr>
          <w:b/>
          <w:highlight w:val="yellow"/>
        </w:rPr>
      </w:pPr>
    </w:p>
    <w:p w14:paraId="11408D95" w14:textId="1559496D" w:rsidR="00DF18F2" w:rsidRDefault="00DF18F2" w:rsidP="007529A2">
      <w:pPr>
        <w:spacing w:after="0" w:line="360" w:lineRule="auto"/>
        <w:jc w:val="both"/>
        <w:rPr>
          <w:b/>
        </w:rPr>
      </w:pPr>
      <w:r w:rsidRPr="00DF18F2">
        <w:rPr>
          <w:b/>
          <w:highlight w:val="yellow"/>
        </w:rPr>
        <w:t>Quantitative Phase</w:t>
      </w:r>
    </w:p>
    <w:p w14:paraId="60157308" w14:textId="77777777" w:rsidR="00EB0D64" w:rsidRPr="001D0A16" w:rsidRDefault="00EB0D64" w:rsidP="00EB0D64">
      <w:pPr>
        <w:spacing w:after="0" w:line="360" w:lineRule="auto"/>
        <w:jc w:val="both"/>
        <w:rPr>
          <w:i/>
        </w:rPr>
      </w:pPr>
      <w:r w:rsidRPr="001D0A16">
        <w:rPr>
          <w:i/>
        </w:rPr>
        <w:t>Types of violence</w:t>
      </w:r>
    </w:p>
    <w:p w14:paraId="684A7E5C" w14:textId="5241E4BC" w:rsidR="00793839" w:rsidRDefault="00793839" w:rsidP="007529A2">
      <w:pPr>
        <w:spacing w:after="0" w:line="360" w:lineRule="auto"/>
        <w:jc w:val="both"/>
      </w:pPr>
      <w:r w:rsidRPr="00FB3276">
        <w:t xml:space="preserve">In the quantitative phase of the study, </w:t>
      </w:r>
      <w:r w:rsidRPr="00355E65">
        <w:rPr>
          <w:strike/>
        </w:rPr>
        <w:t xml:space="preserve">the 28 valid questionnaires </w:t>
      </w:r>
      <w:r w:rsidR="00BB3086" w:rsidRPr="00355E65">
        <w:rPr>
          <w:strike/>
        </w:rPr>
        <w:t xml:space="preserve">corresponded to 10.3% of </w:t>
      </w:r>
      <w:r w:rsidR="0013459D" w:rsidRPr="00355E65">
        <w:rPr>
          <w:strike/>
        </w:rPr>
        <w:t>the emergency department staff</w:t>
      </w:r>
      <w:r w:rsidR="00355E65">
        <w:t xml:space="preserve"> </w:t>
      </w:r>
      <w:r w:rsidR="00355E65" w:rsidRPr="00355E65">
        <w:rPr>
          <w:highlight w:val="yellow"/>
        </w:rPr>
        <w:t>28 healthcare workers answered valid questionnaires (10,8% of the emergence department staff)</w:t>
      </w:r>
      <w:r w:rsidR="0013459D" w:rsidRPr="00FB3276">
        <w:t xml:space="preserve">. </w:t>
      </w:r>
      <w:r w:rsidR="00F1629A" w:rsidRPr="00FB3276">
        <w:t xml:space="preserve">A total of 41 violence </w:t>
      </w:r>
      <w:r w:rsidR="001D13E9" w:rsidRPr="00FB3276">
        <w:t>incident</w:t>
      </w:r>
      <w:r w:rsidR="00F1629A" w:rsidRPr="00FB3276">
        <w:t xml:space="preserve">s </w:t>
      </w:r>
      <w:r w:rsidR="00D75191" w:rsidRPr="00FB3276">
        <w:t>were</w:t>
      </w:r>
      <w:r w:rsidR="00F1629A" w:rsidRPr="00FB3276">
        <w:t xml:space="preserve"> reported. The number of </w:t>
      </w:r>
      <w:r w:rsidR="001D13E9" w:rsidRPr="00FB3276">
        <w:t>incident</w:t>
      </w:r>
      <w:r w:rsidR="00F1629A" w:rsidRPr="00FB3276">
        <w:t>s</w:t>
      </w:r>
      <w:r w:rsidR="00F1629A">
        <w:t xml:space="preserve"> per type of violence </w:t>
      </w:r>
      <w:r w:rsidR="002F7EA8">
        <w:t xml:space="preserve">are summarized in </w:t>
      </w:r>
      <w:r w:rsidR="0089318E">
        <w:t>Figure</w:t>
      </w:r>
      <w:r w:rsidR="002F7EA8">
        <w:t xml:space="preserve"> 1. There were no significant </w:t>
      </w:r>
      <w:r w:rsidR="00D826FD">
        <w:t xml:space="preserve">gender </w:t>
      </w:r>
      <w:r w:rsidR="002F7EA8">
        <w:t xml:space="preserve">differences </w:t>
      </w:r>
      <w:r w:rsidR="00D826FD">
        <w:t xml:space="preserve">amongst the victims’ group. Violence witnesses reported more physical violence </w:t>
      </w:r>
      <w:r w:rsidR="001D13E9">
        <w:t>incident</w:t>
      </w:r>
      <w:r w:rsidR="00D826FD">
        <w:t xml:space="preserve">s than verbal. Verbal violence was described as “insults”, “threats”, “obscene words and gestures”, “violent speech” and </w:t>
      </w:r>
      <w:r w:rsidR="00D826FD">
        <w:lastRenderedPageBreak/>
        <w:t>“</w:t>
      </w:r>
      <w:r w:rsidR="00AA0267">
        <w:t>chiding</w:t>
      </w:r>
      <w:r w:rsidR="00D826FD">
        <w:t>”</w:t>
      </w:r>
      <w:r w:rsidR="007529A2">
        <w:t xml:space="preserve"> or simply designated as “verbal violence”. </w:t>
      </w:r>
      <w:bookmarkStart w:id="18" w:name="_Hlk10207369"/>
      <w:r w:rsidR="007529A2">
        <w:t xml:space="preserve">Physical violence was described as “kicking”, “tearing the </w:t>
      </w:r>
      <w:r w:rsidR="00AA0267">
        <w:t>doctor</w:t>
      </w:r>
      <w:r w:rsidR="007529A2">
        <w:t>’s clothes”, “hand raising at the victim”, “punch attempt” or simply “physical aggression”.</w:t>
      </w:r>
      <w:bookmarkEnd w:id="18"/>
    </w:p>
    <w:p w14:paraId="0CDE801E" w14:textId="77777777" w:rsidR="008C6DD6" w:rsidRPr="00F6317A" w:rsidRDefault="008C6DD6" w:rsidP="007529A2">
      <w:pPr>
        <w:spacing w:after="0" w:line="360" w:lineRule="auto"/>
        <w:jc w:val="both"/>
        <w:rPr>
          <w:b/>
          <w:sz w:val="14"/>
        </w:rPr>
      </w:pPr>
    </w:p>
    <w:p w14:paraId="4EE5B991" w14:textId="4508E1A6" w:rsidR="008C6DD6" w:rsidRPr="00B07C0C" w:rsidRDefault="008C6DD6" w:rsidP="008C6DD6">
      <w:pPr>
        <w:spacing w:after="0" w:line="360" w:lineRule="auto"/>
        <w:jc w:val="both"/>
        <w:rPr>
          <w:i/>
        </w:rPr>
      </w:pPr>
      <w:r w:rsidRPr="00B07C0C">
        <w:rPr>
          <w:i/>
        </w:rPr>
        <w:t>[</w:t>
      </w:r>
      <w:proofErr w:type="spellStart"/>
      <w:r w:rsidRPr="00B07C0C">
        <w:rPr>
          <w:i/>
        </w:rPr>
        <w:t>inserir</w:t>
      </w:r>
      <w:proofErr w:type="spellEnd"/>
      <w:r w:rsidRPr="00B07C0C">
        <w:rPr>
          <w:i/>
        </w:rPr>
        <w:t xml:space="preserve"> </w:t>
      </w:r>
      <w:proofErr w:type="spellStart"/>
      <w:proofErr w:type="gramStart"/>
      <w:r w:rsidRPr="00B07C0C">
        <w:rPr>
          <w:i/>
        </w:rPr>
        <w:t>aqui</w:t>
      </w:r>
      <w:proofErr w:type="spellEnd"/>
      <w:r w:rsidRPr="00B07C0C">
        <w:rPr>
          <w:i/>
        </w:rPr>
        <w:t xml:space="preserve">  </w:t>
      </w:r>
      <w:r>
        <w:rPr>
          <w:i/>
        </w:rPr>
        <w:t>Fig</w:t>
      </w:r>
      <w:proofErr w:type="gramEnd"/>
      <w:r w:rsidRPr="00B07C0C">
        <w:rPr>
          <w:i/>
        </w:rPr>
        <w:t xml:space="preserve"> 1]</w:t>
      </w:r>
    </w:p>
    <w:p w14:paraId="2592EC83" w14:textId="77777777" w:rsidR="00342DFB" w:rsidRDefault="00342DFB" w:rsidP="00342DFB">
      <w:pPr>
        <w:spacing w:after="0" w:line="240" w:lineRule="auto"/>
      </w:pPr>
      <w:r>
        <w:t>Figure 1 - Violence type, number of incidents (n=41)</w:t>
      </w:r>
    </w:p>
    <w:p w14:paraId="10881650" w14:textId="77777777" w:rsidR="00342DFB" w:rsidRDefault="00342DFB" w:rsidP="00342DFB">
      <w:pPr>
        <w:rPr>
          <w:sz w:val="20"/>
        </w:rPr>
      </w:pPr>
      <w:r w:rsidRPr="00DE6AAA">
        <w:rPr>
          <w:sz w:val="20"/>
        </w:rPr>
        <w:t>PVP: physical violence from patient; PVNK: physical violence from next of kin; VVP: verbal violence from patient; VVNK: verbal violence from next of kin; VVCW: verbal violence from co-worker</w:t>
      </w:r>
    </w:p>
    <w:p w14:paraId="5E0CD221" w14:textId="77777777" w:rsidR="008C6DD6" w:rsidRPr="00CD0788" w:rsidRDefault="008C6DD6" w:rsidP="007529A2">
      <w:pPr>
        <w:spacing w:after="0" w:line="360" w:lineRule="auto"/>
        <w:jc w:val="both"/>
        <w:rPr>
          <w:b/>
          <w:sz w:val="14"/>
        </w:rPr>
      </w:pPr>
    </w:p>
    <w:p w14:paraId="2CE62FC1" w14:textId="77777777" w:rsidR="00B021EB" w:rsidRPr="001D0A16" w:rsidRDefault="00B021EB" w:rsidP="007529A2">
      <w:pPr>
        <w:spacing w:after="0" w:line="360" w:lineRule="auto"/>
        <w:jc w:val="both"/>
        <w:rPr>
          <w:i/>
        </w:rPr>
      </w:pPr>
      <w:r w:rsidRPr="001D0A16">
        <w:rPr>
          <w:i/>
        </w:rPr>
        <w:t>Motives</w:t>
      </w:r>
    </w:p>
    <w:p w14:paraId="15C2CAF2" w14:textId="0FB2D6D0" w:rsidR="00B021EB" w:rsidRDefault="0013016B" w:rsidP="008C700C">
      <w:pPr>
        <w:spacing w:after="0" w:line="360" w:lineRule="auto"/>
        <w:jc w:val="both"/>
      </w:pPr>
      <w:r>
        <w:t xml:space="preserve">According to the </w:t>
      </w:r>
      <w:r w:rsidR="004A78A5">
        <w:t>participants</w:t>
      </w:r>
      <w:r>
        <w:t>, t</w:t>
      </w:r>
      <w:r w:rsidR="007529A2">
        <w:t xml:space="preserve">he main </w:t>
      </w:r>
      <w:r w:rsidR="00461593">
        <w:t>reasons</w:t>
      </w:r>
      <w:r w:rsidR="007529A2">
        <w:t xml:space="preserve"> </w:t>
      </w:r>
      <w:r>
        <w:t xml:space="preserve">underlying </w:t>
      </w:r>
      <w:r w:rsidR="007529A2">
        <w:t>the aggression</w:t>
      </w:r>
      <w:r>
        <w:t xml:space="preserve">s </w:t>
      </w:r>
      <w:r w:rsidR="007529A2">
        <w:t xml:space="preserve">were </w:t>
      </w:r>
      <w:r>
        <w:t>“long</w:t>
      </w:r>
      <w:r w:rsidR="007529A2">
        <w:t xml:space="preserve"> waiting time</w:t>
      </w:r>
      <w:r>
        <w:t>”</w:t>
      </w:r>
      <w:r w:rsidR="007529A2">
        <w:t xml:space="preserve"> </w:t>
      </w:r>
      <w:r>
        <w:t xml:space="preserve">“patients and population rudeness/ disrespect towards healthcare professionals” and “psychiatric disturbance”. </w:t>
      </w:r>
      <w:r w:rsidR="0089318E">
        <w:t>Figure</w:t>
      </w:r>
      <w:r>
        <w:t xml:space="preserve"> 2 depicts the</w:t>
      </w:r>
      <w:r w:rsidR="00B021EB">
        <w:t xml:space="preserve"> absolute number of </w:t>
      </w:r>
      <w:r w:rsidR="001D13E9">
        <w:t>incident</w:t>
      </w:r>
      <w:r w:rsidR="00B021EB">
        <w:t>s attributable to each of these classes.</w:t>
      </w:r>
    </w:p>
    <w:p w14:paraId="6CF0527E" w14:textId="5132FEC9" w:rsidR="008C6DD6" w:rsidRPr="00342DFB" w:rsidRDefault="008C6DD6" w:rsidP="00CD0788">
      <w:pPr>
        <w:spacing w:before="60" w:after="0" w:line="360" w:lineRule="auto"/>
        <w:jc w:val="both"/>
        <w:rPr>
          <w:i/>
          <w:lang w:val="pt-PT"/>
        </w:rPr>
      </w:pPr>
      <w:r w:rsidRPr="00342DFB">
        <w:rPr>
          <w:i/>
          <w:lang w:val="pt-PT"/>
        </w:rPr>
        <w:t xml:space="preserve">[inserir aqui </w:t>
      </w:r>
      <w:proofErr w:type="spellStart"/>
      <w:r w:rsidR="00342DFB" w:rsidRPr="00342DFB">
        <w:rPr>
          <w:i/>
          <w:lang w:val="pt-PT"/>
        </w:rPr>
        <w:t>Fig</w:t>
      </w:r>
      <w:proofErr w:type="spellEnd"/>
      <w:r w:rsidRPr="00342DFB">
        <w:rPr>
          <w:i/>
          <w:lang w:val="pt-PT"/>
        </w:rPr>
        <w:t xml:space="preserve"> 2]</w:t>
      </w:r>
    </w:p>
    <w:p w14:paraId="469BC7E4" w14:textId="77777777" w:rsidR="00342DFB" w:rsidRPr="00342DFB" w:rsidRDefault="00342DFB" w:rsidP="00342DFB">
      <w:pPr>
        <w:rPr>
          <w:lang w:val="pt-PT"/>
        </w:rPr>
      </w:pPr>
      <w:r w:rsidRPr="00342DFB">
        <w:rPr>
          <w:lang w:val="pt-PT"/>
        </w:rPr>
        <w:t xml:space="preserve">Figure 2 – </w:t>
      </w:r>
      <w:proofErr w:type="spellStart"/>
      <w:r w:rsidRPr="00342DFB">
        <w:rPr>
          <w:lang w:val="pt-PT"/>
        </w:rPr>
        <w:t>Presumed</w:t>
      </w:r>
      <w:proofErr w:type="spellEnd"/>
      <w:r w:rsidRPr="00342DFB">
        <w:rPr>
          <w:lang w:val="pt-PT"/>
        </w:rPr>
        <w:t xml:space="preserve"> </w:t>
      </w:r>
      <w:proofErr w:type="spellStart"/>
      <w:r w:rsidRPr="00342DFB">
        <w:rPr>
          <w:lang w:val="pt-PT"/>
        </w:rPr>
        <w:t>aggressor’s</w:t>
      </w:r>
      <w:proofErr w:type="spellEnd"/>
      <w:r w:rsidRPr="00342DFB">
        <w:rPr>
          <w:lang w:val="pt-PT"/>
        </w:rPr>
        <w:t xml:space="preserve"> motives (n=55) </w:t>
      </w:r>
    </w:p>
    <w:p w14:paraId="19ABCD41" w14:textId="77777777" w:rsidR="00FB3CA2" w:rsidRPr="00342DFB" w:rsidRDefault="00FB3CA2" w:rsidP="00CD0788">
      <w:pPr>
        <w:rPr>
          <w:b/>
          <w:sz w:val="12"/>
          <w:lang w:val="pt-PT"/>
        </w:rPr>
      </w:pPr>
    </w:p>
    <w:p w14:paraId="54D78299" w14:textId="77777777" w:rsidR="00B021EB" w:rsidRPr="001D0A16" w:rsidRDefault="00B021EB" w:rsidP="00CD0788">
      <w:pPr>
        <w:rPr>
          <w:i/>
        </w:rPr>
      </w:pPr>
      <w:r w:rsidRPr="001D0A16">
        <w:rPr>
          <w:i/>
        </w:rPr>
        <w:t xml:space="preserve">Reactions and attitudes </w:t>
      </w:r>
    </w:p>
    <w:p w14:paraId="6ABA07A3" w14:textId="0970CE99" w:rsidR="00B021EB" w:rsidRDefault="0020355B" w:rsidP="0072047F">
      <w:pPr>
        <w:spacing w:after="0" w:line="360" w:lineRule="auto"/>
        <w:jc w:val="both"/>
      </w:pPr>
      <w:r>
        <w:t xml:space="preserve">Only 5 out </w:t>
      </w:r>
      <w:r w:rsidR="0072047F">
        <w:t xml:space="preserve">of the 21 </w:t>
      </w:r>
      <w:r w:rsidR="004A78A5">
        <w:t>participants</w:t>
      </w:r>
      <w:r w:rsidR="0072047F">
        <w:t xml:space="preserve"> who were victims of aggression notified the incident </w:t>
      </w:r>
      <w:r w:rsidR="0072047F" w:rsidRPr="00B05290">
        <w:rPr>
          <w:strike/>
        </w:rPr>
        <w:t>to the occupational health department</w:t>
      </w:r>
      <w:r w:rsidR="0072047F">
        <w:t xml:space="preserve">, all of them in a context of verbal violence. The top attitudes were “asking the aggressor to stop” (14 </w:t>
      </w:r>
      <w:r w:rsidR="004A78A5" w:rsidRPr="00943102">
        <w:rPr>
          <w:strike/>
        </w:rPr>
        <w:t>participants</w:t>
      </w:r>
      <w:r w:rsidR="0072047F">
        <w:t xml:space="preserve">) and “call the police” (7 </w:t>
      </w:r>
      <w:r w:rsidR="004A78A5" w:rsidRPr="00943102">
        <w:rPr>
          <w:strike/>
        </w:rPr>
        <w:t>participants</w:t>
      </w:r>
      <w:r w:rsidR="0072047F" w:rsidRPr="00FB3276">
        <w:t xml:space="preserve">). </w:t>
      </w:r>
      <w:r w:rsidR="0072047F">
        <w:t xml:space="preserve">None of the victims stopped working </w:t>
      </w:r>
      <w:r w:rsidR="0072047F" w:rsidRPr="00B05290">
        <w:rPr>
          <w:strike/>
        </w:rPr>
        <w:t>for one or more days</w:t>
      </w:r>
      <w:r w:rsidR="0072047F">
        <w:t xml:space="preserve"> </w:t>
      </w:r>
      <w:r w:rsidR="00603C08">
        <w:t>or took a sick leave</w:t>
      </w:r>
      <w:r w:rsidR="00AA0267">
        <w:t xml:space="preserve"> because of the aggression.</w:t>
      </w:r>
    </w:p>
    <w:p w14:paraId="7DC3F32B" w14:textId="77777777" w:rsidR="0072047F" w:rsidRPr="001D0A16" w:rsidRDefault="0072047F" w:rsidP="0072047F">
      <w:pPr>
        <w:spacing w:after="0" w:line="360" w:lineRule="auto"/>
        <w:jc w:val="both"/>
        <w:rPr>
          <w:i/>
        </w:rPr>
      </w:pPr>
      <w:r w:rsidRPr="001D0A16">
        <w:rPr>
          <w:i/>
        </w:rPr>
        <w:t>Satisfaction towards the institution</w:t>
      </w:r>
    </w:p>
    <w:p w14:paraId="6154BB98" w14:textId="77777777" w:rsidR="0072047F" w:rsidRDefault="0072047F" w:rsidP="00603C08">
      <w:pPr>
        <w:spacing w:after="0" w:line="360" w:lineRule="auto"/>
        <w:jc w:val="both"/>
      </w:pPr>
      <w:r>
        <w:t xml:space="preserve">Most </w:t>
      </w:r>
      <w:r w:rsidR="004A78A5">
        <w:t>participants</w:t>
      </w:r>
      <w:r w:rsidR="00603C08">
        <w:t xml:space="preserve"> answered the specific question on level of satisfaction towards the way the institution coped with the </w:t>
      </w:r>
      <w:r w:rsidR="001D13E9">
        <w:t>incident</w:t>
      </w:r>
      <w:r w:rsidR="00603C08">
        <w:t xml:space="preserve"> </w:t>
      </w:r>
      <w:r w:rsidR="00AA0267">
        <w:t>by choosing</w:t>
      </w:r>
      <w:r w:rsidR="00603C08">
        <w:t xml:space="preserve"> the option “neither satisfied nor unsatisfied”. Those who had been working at the hospital for </w:t>
      </w:r>
      <w:r w:rsidR="00DC11D6" w:rsidRPr="00FB3276">
        <w:t>five</w:t>
      </w:r>
      <w:r w:rsidR="00603C08" w:rsidRPr="00FB3276">
        <w:t xml:space="preserve"> or more years</w:t>
      </w:r>
      <w:r w:rsidR="00603C08">
        <w:t xml:space="preserve"> were slightly more unsatisfied </w:t>
      </w:r>
      <w:r w:rsidR="00D853B1">
        <w:t>and</w:t>
      </w:r>
      <w:r w:rsidR="00603C08">
        <w:t xml:space="preserve"> the difference to </w:t>
      </w:r>
      <w:r w:rsidR="00D853B1">
        <w:t>those with shorter tenu</w:t>
      </w:r>
      <w:r w:rsidR="007C61E3">
        <w:t>r</w:t>
      </w:r>
      <w:r w:rsidR="00D853B1">
        <w:t>es</w:t>
      </w:r>
      <w:r w:rsidR="00603C08">
        <w:t xml:space="preserve"> was statistically significant (mean value 3</w:t>
      </w:r>
      <w:r w:rsidR="009C22FF">
        <w:t>.</w:t>
      </w:r>
      <w:r w:rsidR="00603C08">
        <w:t>13 IC95% [3</w:t>
      </w:r>
      <w:r w:rsidR="009C22FF">
        <w:t>.</w:t>
      </w:r>
      <w:r w:rsidR="00603C08">
        <w:t>13-3</w:t>
      </w:r>
      <w:r w:rsidR="009C22FF">
        <w:t>.</w:t>
      </w:r>
      <w:r w:rsidR="00603C08">
        <w:t>14] vs 3.00 IC95% [2</w:t>
      </w:r>
      <w:r w:rsidR="009C22FF">
        <w:t>.</w:t>
      </w:r>
      <w:r w:rsidR="00603C08">
        <w:t>90-3</w:t>
      </w:r>
      <w:r w:rsidR="009C22FF">
        <w:t>.</w:t>
      </w:r>
      <w:r w:rsidR="00603C08">
        <w:t xml:space="preserve">10]). Although physical violence victims </w:t>
      </w:r>
      <w:r w:rsidR="00D853B1">
        <w:t>showed</w:t>
      </w:r>
      <w:r w:rsidR="008C700C">
        <w:t xml:space="preserve"> lower satisfaction levels than verbal violence victims, the difference was not statistically significant</w:t>
      </w:r>
      <w:r w:rsidR="00D076C2">
        <w:t xml:space="preserve"> </w:t>
      </w:r>
      <w:r w:rsidR="00D076C2" w:rsidRPr="00D076C2">
        <w:t>(</w:t>
      </w:r>
      <w:r w:rsidR="00D076C2">
        <w:t>mean value</w:t>
      </w:r>
      <w:r w:rsidR="00D076C2" w:rsidRPr="00D076C2">
        <w:t xml:space="preserve"> 3</w:t>
      </w:r>
      <w:r w:rsidR="00D076C2">
        <w:t>.</w:t>
      </w:r>
      <w:r w:rsidR="00D076C2" w:rsidRPr="00D076C2">
        <w:t>40 IC95% [2</w:t>
      </w:r>
      <w:r w:rsidR="00D076C2">
        <w:t>.</w:t>
      </w:r>
      <w:r w:rsidR="00D076C2" w:rsidRPr="00D076C2">
        <w:t>92-3</w:t>
      </w:r>
      <w:r w:rsidR="00D076C2">
        <w:t>.</w:t>
      </w:r>
      <w:r w:rsidR="00D076C2" w:rsidRPr="00D076C2">
        <w:t>88] vs 3</w:t>
      </w:r>
      <w:r w:rsidR="00D076C2">
        <w:t>.</w:t>
      </w:r>
      <w:r w:rsidR="00D076C2" w:rsidRPr="00D076C2">
        <w:t>13 IC95% [2</w:t>
      </w:r>
      <w:r w:rsidR="00D076C2">
        <w:t>.</w:t>
      </w:r>
      <w:r w:rsidR="00D076C2" w:rsidRPr="00D076C2">
        <w:t>72-3</w:t>
      </w:r>
      <w:r w:rsidR="00D076C2">
        <w:t>.</w:t>
      </w:r>
      <w:r w:rsidR="00D076C2" w:rsidRPr="00D076C2">
        <w:t>54]</w:t>
      </w:r>
      <w:r w:rsidR="008C700C">
        <w:t xml:space="preserve">. The reasons </w:t>
      </w:r>
      <w:r w:rsidR="00D853B1">
        <w:t xml:space="preserve">pointed out </w:t>
      </w:r>
      <w:r w:rsidR="008C700C">
        <w:t xml:space="preserve">for dissatisfaction were “absence of action”, “no changes have been made”, “absence of support to workers”, “pointlessness of notifying”, “no consequences </w:t>
      </w:r>
      <w:r w:rsidR="008661C7">
        <w:t>for</w:t>
      </w:r>
      <w:r w:rsidR="008C700C">
        <w:t xml:space="preserve"> the aggressor”.</w:t>
      </w:r>
    </w:p>
    <w:p w14:paraId="0AADA38B" w14:textId="77777777" w:rsidR="008C700C" w:rsidRPr="001D0A16" w:rsidRDefault="008661C7" w:rsidP="00603C08">
      <w:pPr>
        <w:spacing w:after="0" w:line="360" w:lineRule="auto"/>
        <w:jc w:val="both"/>
        <w:rPr>
          <w:i/>
        </w:rPr>
      </w:pPr>
      <w:r w:rsidRPr="001D0A16">
        <w:rPr>
          <w:i/>
        </w:rPr>
        <w:t>Personal impact and consequences to the victim</w:t>
      </w:r>
    </w:p>
    <w:p w14:paraId="4267BF7F" w14:textId="0A2B3D26" w:rsidR="00210477" w:rsidRDefault="00DC11D6" w:rsidP="00603C08">
      <w:pPr>
        <w:spacing w:after="0" w:line="360" w:lineRule="auto"/>
        <w:jc w:val="both"/>
      </w:pPr>
      <w:r w:rsidRPr="00FB3276">
        <w:t>Sixteen</w:t>
      </w:r>
      <w:r w:rsidR="007168D6" w:rsidRPr="00FB3276">
        <w:t xml:space="preserve"> out of the 21 </w:t>
      </w:r>
      <w:r w:rsidR="007168D6" w:rsidRPr="00943102">
        <w:rPr>
          <w:strike/>
        </w:rPr>
        <w:t>violence</w:t>
      </w:r>
      <w:r w:rsidR="007168D6" w:rsidRPr="00FB3276">
        <w:t xml:space="preserve"> victims</w:t>
      </w:r>
      <w:r w:rsidR="007168D6">
        <w:t xml:space="preserve"> reported having experienced at least 1 of the 5 personal impacts listed </w:t>
      </w:r>
      <w:r w:rsidR="007168D6" w:rsidRPr="004851A0">
        <w:rPr>
          <w:strike/>
        </w:rPr>
        <w:t>in the questionnaire</w:t>
      </w:r>
      <w:r w:rsidR="007168D6">
        <w:t xml:space="preserve">: disturbing and recurrent memories or thoughts, avoiding </w:t>
      </w:r>
      <w:r w:rsidR="009C22FF">
        <w:t xml:space="preserve">thinking or </w:t>
      </w:r>
      <w:r w:rsidR="007168D6">
        <w:t xml:space="preserve">talking </w:t>
      </w:r>
      <w:r w:rsidR="009C22FF">
        <w:lastRenderedPageBreak/>
        <w:t xml:space="preserve">about the </w:t>
      </w:r>
      <w:r w:rsidR="001D13E9">
        <w:t>incident</w:t>
      </w:r>
      <w:r w:rsidR="009C22FF">
        <w:t>, being hypervigilant, suffering from insomnia or l</w:t>
      </w:r>
      <w:r w:rsidR="005207D8">
        <w:t>oss</w:t>
      </w:r>
      <w:r w:rsidR="009C22FF">
        <w:t xml:space="preserve"> of appetite and </w:t>
      </w:r>
      <w:r w:rsidR="00FF66E4">
        <w:t>having to make an effort</w:t>
      </w:r>
      <w:r w:rsidR="009C22FF">
        <w:t xml:space="preserve"> </w:t>
      </w:r>
      <w:r w:rsidR="009C22FF" w:rsidRPr="004851A0">
        <w:rPr>
          <w:strike/>
        </w:rPr>
        <w:t>to go</w:t>
      </w:r>
      <w:r w:rsidR="009C22FF">
        <w:t xml:space="preserve"> to work. Being hypervigilant</w:t>
      </w:r>
      <w:r w:rsidR="0059463E">
        <w:t xml:space="preserve"> was the most mentioned </w:t>
      </w:r>
      <w:r w:rsidR="0059463E" w:rsidRPr="00943102">
        <w:rPr>
          <w:strike/>
        </w:rPr>
        <w:t>personal impact</w:t>
      </w:r>
      <w:r w:rsidR="00210477">
        <w:t>, chosen by</w:t>
      </w:r>
      <w:r w:rsidR="0059463E">
        <w:t xml:space="preserve"> 15 out of </w:t>
      </w:r>
      <w:r w:rsidR="00210477">
        <w:t xml:space="preserve">the 21 </w:t>
      </w:r>
      <w:r w:rsidR="00210477" w:rsidRPr="00943102">
        <w:rPr>
          <w:strike/>
        </w:rPr>
        <w:t>violence</w:t>
      </w:r>
      <w:r w:rsidR="00210477">
        <w:t xml:space="preserve"> victims.</w:t>
      </w:r>
    </w:p>
    <w:p w14:paraId="212A473A" w14:textId="77777777" w:rsidR="008661C7" w:rsidRDefault="00210477" w:rsidP="00603C08">
      <w:pPr>
        <w:spacing w:after="0" w:line="360" w:lineRule="auto"/>
        <w:jc w:val="both"/>
      </w:pPr>
      <w:r>
        <w:t>In the witnesses</w:t>
      </w:r>
      <w:r w:rsidR="00D076C2">
        <w:t>’</w:t>
      </w:r>
      <w:r>
        <w:t xml:space="preserve"> group</w:t>
      </w:r>
      <w:r w:rsidR="00D853B1">
        <w:t>,</w:t>
      </w:r>
      <w:r>
        <w:t xml:space="preserve"> 12 out of 18 believed the violence </w:t>
      </w:r>
      <w:r w:rsidR="001D13E9">
        <w:t>incident</w:t>
      </w:r>
      <w:r>
        <w:t xml:space="preserve"> changed the way the victim faced work, including job satisfaction and intent to leave</w:t>
      </w:r>
      <w:r w:rsidR="00D076C2">
        <w:t>, and pointed out feelings of fear, unsafety, sadness, demotivation, exhaustion, stress and lack of professional recognition.</w:t>
      </w:r>
    </w:p>
    <w:p w14:paraId="6DFB389C" w14:textId="77777777" w:rsidR="00D076C2" w:rsidRDefault="00D076C2" w:rsidP="00682276">
      <w:pPr>
        <w:spacing w:after="0" w:line="360" w:lineRule="auto"/>
        <w:jc w:val="both"/>
      </w:pPr>
      <w:r>
        <w:t>Although</w:t>
      </w:r>
      <w:r w:rsidR="00E7436B">
        <w:t xml:space="preserve"> a higher proportion of </w:t>
      </w:r>
      <w:r w:rsidR="004A78A5">
        <w:t>participants</w:t>
      </w:r>
      <w:r>
        <w:t xml:space="preserve"> </w:t>
      </w:r>
      <w:r w:rsidR="00E7436B">
        <w:t xml:space="preserve">in the victims’ group reported </w:t>
      </w:r>
      <w:r w:rsidR="00E7436B" w:rsidRPr="004851A0">
        <w:rPr>
          <w:strike/>
        </w:rPr>
        <w:t>having felt</w:t>
      </w:r>
      <w:r w:rsidR="00682276">
        <w:t xml:space="preserve"> a</w:t>
      </w:r>
      <w:r w:rsidR="00E7436B">
        <w:t xml:space="preserve"> negative personal impact than </w:t>
      </w:r>
      <w:r w:rsidR="00682276" w:rsidRPr="004851A0">
        <w:rPr>
          <w:strike/>
        </w:rPr>
        <w:t>the opinion</w:t>
      </w:r>
      <w:r w:rsidR="00682276">
        <w:t xml:space="preserve"> expressed by the witnesses’ group on the same subject, the difference was not statistically significant (76%; IC95% [55-97%] vs 55%; IC95% [33-77%]).</w:t>
      </w:r>
    </w:p>
    <w:p w14:paraId="450E3D84" w14:textId="34306943" w:rsidR="004851A0" w:rsidRPr="004851A0" w:rsidRDefault="00493BEA" w:rsidP="004851A0">
      <w:pPr>
        <w:spacing w:after="0" w:line="360" w:lineRule="auto"/>
        <w:jc w:val="both"/>
        <w:rPr>
          <w:strike/>
        </w:rPr>
      </w:pPr>
      <w:r>
        <w:t>The highest average score of agreement</w:t>
      </w:r>
      <w:r w:rsidR="004515F5">
        <w:t xml:space="preserve"> was found to the sentence “I am proud of my job” and lowest score was found to the sentence “I am thinking about </w:t>
      </w:r>
      <w:r w:rsidR="00630872">
        <w:t>quitting</w:t>
      </w:r>
      <w:r w:rsidR="004515F5">
        <w:t xml:space="preserve"> or asking to be moved to a different department (3.69 and 1.33, respectively, in a scale of 0-4, where 0 stood for “never” and 4 stood for “always”). </w:t>
      </w:r>
      <w:r w:rsidR="004851A0">
        <w:t xml:space="preserve">Table 2 summarizes the answers provided to </w:t>
      </w:r>
      <w:r w:rsidR="004851A0" w:rsidRPr="004851A0">
        <w:rPr>
          <w:highlight w:val="yellow"/>
        </w:rPr>
        <w:t>this question</w:t>
      </w:r>
      <w:r w:rsidR="004851A0">
        <w:t xml:space="preserve">. </w:t>
      </w:r>
      <w:r w:rsidR="004851A0" w:rsidRPr="004851A0">
        <w:rPr>
          <w:strike/>
        </w:rPr>
        <w:t>the question on the violence incident personal impact and consequences.</w:t>
      </w:r>
    </w:p>
    <w:p w14:paraId="59B7AFE2" w14:textId="1838577D" w:rsidR="00493BEA" w:rsidRDefault="00493BEA" w:rsidP="00682276">
      <w:pPr>
        <w:spacing w:after="0" w:line="360" w:lineRule="auto"/>
        <w:jc w:val="both"/>
      </w:pPr>
    </w:p>
    <w:p w14:paraId="0A3487F8" w14:textId="77777777" w:rsidR="00FB3CA2" w:rsidRPr="00F6317A" w:rsidRDefault="00FB3CA2" w:rsidP="00682276">
      <w:pPr>
        <w:spacing w:after="0" w:line="360" w:lineRule="auto"/>
        <w:jc w:val="both"/>
        <w:rPr>
          <w:sz w:val="10"/>
        </w:rPr>
      </w:pPr>
    </w:p>
    <w:p w14:paraId="6902232C" w14:textId="3432E1F0" w:rsidR="00FB3CA2" w:rsidRDefault="008C6DD6" w:rsidP="008C6DD6">
      <w:pPr>
        <w:spacing w:after="0" w:line="360" w:lineRule="auto"/>
        <w:jc w:val="both"/>
        <w:rPr>
          <w:i/>
        </w:rPr>
      </w:pPr>
      <w:r w:rsidRPr="00B07C0C">
        <w:rPr>
          <w:i/>
        </w:rPr>
        <w:t>[</w:t>
      </w:r>
      <w:proofErr w:type="spellStart"/>
      <w:r w:rsidRPr="00B07C0C">
        <w:rPr>
          <w:i/>
        </w:rPr>
        <w:t>inserir</w:t>
      </w:r>
      <w:proofErr w:type="spellEnd"/>
      <w:r w:rsidRPr="00B07C0C">
        <w:rPr>
          <w:i/>
        </w:rPr>
        <w:t xml:space="preserve"> Table </w:t>
      </w:r>
      <w:r w:rsidR="0011026B">
        <w:rPr>
          <w:i/>
        </w:rPr>
        <w:t>3</w:t>
      </w:r>
      <w:r w:rsidRPr="00B07C0C">
        <w:rPr>
          <w:i/>
        </w:rPr>
        <w:t>]</w:t>
      </w:r>
    </w:p>
    <w:p w14:paraId="0D8E090E" w14:textId="77777777" w:rsidR="00FB3CA2" w:rsidRPr="00F6317A" w:rsidRDefault="00FB3CA2" w:rsidP="008C6DD6">
      <w:pPr>
        <w:spacing w:after="0" w:line="360" w:lineRule="auto"/>
        <w:jc w:val="both"/>
        <w:rPr>
          <w:i/>
          <w:sz w:val="4"/>
        </w:rPr>
      </w:pPr>
    </w:p>
    <w:p w14:paraId="110CD7E7" w14:textId="77777777" w:rsidR="00682276" w:rsidRPr="001D0A16" w:rsidRDefault="00682276" w:rsidP="00682276">
      <w:pPr>
        <w:spacing w:after="0" w:line="360" w:lineRule="auto"/>
        <w:jc w:val="both"/>
        <w:rPr>
          <w:i/>
        </w:rPr>
      </w:pPr>
      <w:r w:rsidRPr="001D0A16">
        <w:rPr>
          <w:i/>
        </w:rPr>
        <w:t>Familiarity with internal procedures on workplace violence</w:t>
      </w:r>
    </w:p>
    <w:p w14:paraId="34C3844C" w14:textId="2A218AB1" w:rsidR="00682276" w:rsidRPr="00FB3276" w:rsidRDefault="0092065C" w:rsidP="00F664F5">
      <w:pPr>
        <w:spacing w:after="0" w:line="360" w:lineRule="auto"/>
        <w:jc w:val="both"/>
      </w:pPr>
      <w:r>
        <w:t>Most</w:t>
      </w:r>
      <w:r w:rsidR="00682276">
        <w:t xml:space="preserve"> </w:t>
      </w:r>
      <w:r w:rsidR="004A78A5">
        <w:t>participants</w:t>
      </w:r>
      <w:r w:rsidR="00682276">
        <w:t xml:space="preserve"> (22 out of 28) </w:t>
      </w:r>
      <w:r w:rsidR="00F664F5">
        <w:t>self-reported</w:t>
      </w:r>
      <w:r w:rsidR="00682276">
        <w:t xml:space="preserve"> poor or no familiarity with the hospital internal </w:t>
      </w:r>
      <w:r w:rsidR="00461593">
        <w:t>reporting</w:t>
      </w:r>
      <w:r w:rsidR="000A38EF">
        <w:t xml:space="preserve"> </w:t>
      </w:r>
      <w:r w:rsidR="00682276">
        <w:t xml:space="preserve">procedures </w:t>
      </w:r>
      <w:r w:rsidR="00682276" w:rsidRPr="00FB3276">
        <w:t xml:space="preserve">on workplace violence. </w:t>
      </w:r>
      <w:r w:rsidR="009E37D0" w:rsidRPr="00FB3276">
        <w:t>Those who ha</w:t>
      </w:r>
      <w:r w:rsidR="00E31532" w:rsidRPr="00FB3276">
        <w:t>ve</w:t>
      </w:r>
      <w:r w:rsidR="009E37D0" w:rsidRPr="00FB3276">
        <w:t xml:space="preserve"> been working in the hospital for </w:t>
      </w:r>
      <w:r w:rsidR="00F664F5" w:rsidRPr="00FB3276">
        <w:t>less than 5</w:t>
      </w:r>
      <w:r w:rsidR="009E37D0" w:rsidRPr="00FB3276">
        <w:t xml:space="preserve"> years </w:t>
      </w:r>
      <w:r w:rsidR="00F664F5" w:rsidRPr="00FB3276">
        <w:t>self-reported</w:t>
      </w:r>
      <w:r w:rsidR="009E37D0" w:rsidRPr="00FB3276">
        <w:t xml:space="preserve"> </w:t>
      </w:r>
      <w:r w:rsidR="00F664F5" w:rsidRPr="00FB3276">
        <w:t>higher</w:t>
      </w:r>
      <w:r w:rsidR="009E37D0" w:rsidRPr="00FB3276">
        <w:t xml:space="preserve"> </w:t>
      </w:r>
      <w:r w:rsidR="00F664F5" w:rsidRPr="00FB3276">
        <w:t>un</w:t>
      </w:r>
      <w:r w:rsidR="009E37D0" w:rsidRPr="00FB3276">
        <w:t xml:space="preserve">familiarity </w:t>
      </w:r>
      <w:r w:rsidR="00F664F5" w:rsidRPr="00943102">
        <w:rPr>
          <w:strike/>
        </w:rPr>
        <w:t>levels</w:t>
      </w:r>
      <w:r w:rsidR="00F664F5" w:rsidRPr="00FB3276">
        <w:t xml:space="preserve"> when compared to those</w:t>
      </w:r>
      <w:r w:rsidR="009E37D0" w:rsidRPr="00FB3276">
        <w:t xml:space="preserve"> </w:t>
      </w:r>
      <w:r w:rsidR="00F664F5" w:rsidRPr="00FB3276">
        <w:t>with a longer</w:t>
      </w:r>
      <w:r w:rsidR="009E37D0" w:rsidRPr="00FB3276">
        <w:t xml:space="preserve"> </w:t>
      </w:r>
      <w:r w:rsidR="00F664F5" w:rsidRPr="00FB3276">
        <w:t xml:space="preserve">working history; the difference was statistically significant (mean value 3.75; IC95% [3.43-4.07] vs 2.89; IC95% [2,45-3,34] in a scale of 1-4, where 1 stood for “I am familiar with the procedures” and 4 stood for “I am not familiar with the procedures”. </w:t>
      </w:r>
      <w:r w:rsidR="0089318E" w:rsidRPr="00FB3276">
        <w:t>Figure</w:t>
      </w:r>
      <w:r w:rsidR="00F664F5" w:rsidRPr="00FB3276">
        <w:t xml:space="preserve"> 3 shows </w:t>
      </w:r>
      <w:r w:rsidR="00A32099" w:rsidRPr="00FB3276">
        <w:t xml:space="preserve">the level of familiarity with internal procedures on workplace violence self-reported by all </w:t>
      </w:r>
      <w:r w:rsidR="00A32099" w:rsidRPr="00943102">
        <w:rPr>
          <w:strike/>
        </w:rPr>
        <w:t>the</w:t>
      </w:r>
      <w:r w:rsidR="00A32099" w:rsidRPr="00FB3276">
        <w:t xml:space="preserve"> </w:t>
      </w:r>
      <w:r w:rsidR="004A78A5" w:rsidRPr="00FB3276">
        <w:t>participants</w:t>
      </w:r>
      <w:r w:rsidR="00A32099" w:rsidRPr="00FB3276">
        <w:t xml:space="preserve"> in the </w:t>
      </w:r>
      <w:r w:rsidR="00D853B1" w:rsidRPr="00FB3276">
        <w:t xml:space="preserve">quantitative </w:t>
      </w:r>
      <w:r w:rsidR="00A32099" w:rsidRPr="00FB3276">
        <w:t>study sample.</w:t>
      </w:r>
    </w:p>
    <w:p w14:paraId="4BB7271C" w14:textId="77777777" w:rsidR="008C6DD6" w:rsidRPr="00342DFB" w:rsidRDefault="008C6DD6" w:rsidP="00F664F5">
      <w:pPr>
        <w:spacing w:after="0" w:line="360" w:lineRule="auto"/>
        <w:jc w:val="both"/>
        <w:rPr>
          <w:b/>
          <w:sz w:val="10"/>
        </w:rPr>
      </w:pPr>
    </w:p>
    <w:p w14:paraId="4C642C4C" w14:textId="29E77BFB" w:rsidR="008C6DD6" w:rsidRDefault="008C6DD6" w:rsidP="008C6DD6">
      <w:pPr>
        <w:spacing w:after="0" w:line="360" w:lineRule="auto"/>
        <w:jc w:val="both"/>
        <w:rPr>
          <w:i/>
        </w:rPr>
      </w:pPr>
      <w:r w:rsidRPr="00FB3276">
        <w:rPr>
          <w:i/>
        </w:rPr>
        <w:t>[</w:t>
      </w:r>
      <w:proofErr w:type="spellStart"/>
      <w:r w:rsidRPr="00FB3276">
        <w:rPr>
          <w:i/>
        </w:rPr>
        <w:t>inserir</w:t>
      </w:r>
      <w:proofErr w:type="spellEnd"/>
      <w:r w:rsidRPr="00FB3276">
        <w:rPr>
          <w:i/>
        </w:rPr>
        <w:t xml:space="preserve"> </w:t>
      </w:r>
      <w:proofErr w:type="spellStart"/>
      <w:r w:rsidRPr="00FB3276">
        <w:rPr>
          <w:i/>
        </w:rPr>
        <w:t>aqui</w:t>
      </w:r>
      <w:proofErr w:type="spellEnd"/>
      <w:r w:rsidRPr="00FB3276">
        <w:rPr>
          <w:i/>
        </w:rPr>
        <w:t xml:space="preserve"> Fig 3]</w:t>
      </w:r>
    </w:p>
    <w:p w14:paraId="4CA97B7A" w14:textId="77777777" w:rsidR="00342DFB" w:rsidRDefault="00342DFB" w:rsidP="00342DFB">
      <w:pPr>
        <w:spacing w:after="0"/>
      </w:pPr>
      <w:r>
        <w:t>Figure 3 – Level of unfamiliarity with workplace violence internal procedures (n=28)</w:t>
      </w:r>
    </w:p>
    <w:p w14:paraId="1CF2C433" w14:textId="77777777" w:rsidR="00342DFB" w:rsidRPr="00DE6AAA" w:rsidRDefault="00342DFB" w:rsidP="00342DFB">
      <w:pPr>
        <w:spacing w:after="0"/>
        <w:rPr>
          <w:sz w:val="20"/>
        </w:rPr>
      </w:pPr>
      <w:r w:rsidRPr="00DE6AAA">
        <w:rPr>
          <w:sz w:val="20"/>
        </w:rPr>
        <w:t xml:space="preserve">[mean </w:t>
      </w:r>
      <w:r w:rsidRPr="00DE6AAA">
        <w:rPr>
          <w:sz w:val="20"/>
        </w:rPr>
        <w:sym w:font="Symbol" w:char="F0B1"/>
      </w:r>
      <w:r w:rsidRPr="00DE6AAA">
        <w:rPr>
          <w:sz w:val="20"/>
        </w:rPr>
        <w:t xml:space="preserve"> SD: 3.14 </w:t>
      </w:r>
      <w:r w:rsidRPr="00DE6AAA">
        <w:rPr>
          <w:sz w:val="20"/>
        </w:rPr>
        <w:sym w:font="Symbol" w:char="F0B1"/>
      </w:r>
      <w:r w:rsidRPr="00DE6AAA">
        <w:rPr>
          <w:sz w:val="20"/>
        </w:rPr>
        <w:t xml:space="preserve"> 0.93; median: 3; min: 1; max: 4]</w:t>
      </w:r>
    </w:p>
    <w:p w14:paraId="285D99F1" w14:textId="77777777" w:rsidR="00342DFB" w:rsidRPr="00F6317A" w:rsidRDefault="00342DFB" w:rsidP="00342DFB">
      <w:pPr>
        <w:spacing w:after="0"/>
        <w:rPr>
          <w:sz w:val="14"/>
        </w:rPr>
      </w:pPr>
    </w:p>
    <w:p w14:paraId="4E08CEDD" w14:textId="77777777" w:rsidR="00A32099" w:rsidRPr="001D0A16" w:rsidRDefault="00B03F60" w:rsidP="00F664F5">
      <w:pPr>
        <w:spacing w:after="0" w:line="360" w:lineRule="auto"/>
        <w:jc w:val="both"/>
        <w:rPr>
          <w:i/>
        </w:rPr>
      </w:pPr>
      <w:r w:rsidRPr="001D0A16">
        <w:rPr>
          <w:i/>
        </w:rPr>
        <w:t xml:space="preserve">Implementation of recommended strategies </w:t>
      </w:r>
    </w:p>
    <w:p w14:paraId="42F4D9AA" w14:textId="154F22E5" w:rsidR="006766F8" w:rsidRPr="00FB3276" w:rsidRDefault="006766F8" w:rsidP="00F664F5">
      <w:pPr>
        <w:spacing w:after="0" w:line="360" w:lineRule="auto"/>
        <w:jc w:val="both"/>
      </w:pPr>
      <w:r w:rsidRPr="00FB3276">
        <w:t>Only 8 out of the 21 victims declared having implemented specific strategies recommended by the hospital internal procedures for situations of workplace violence</w:t>
      </w:r>
      <w:r w:rsidR="008D075F" w:rsidRPr="00FB3276">
        <w:t xml:space="preserve">; </w:t>
      </w:r>
      <w:r w:rsidR="00943102" w:rsidRPr="00943102">
        <w:rPr>
          <w:highlight w:val="yellow"/>
        </w:rPr>
        <w:t>these</w:t>
      </w:r>
      <w:r w:rsidR="00943102">
        <w:t xml:space="preserve"> </w:t>
      </w:r>
      <w:r w:rsidR="008D075F" w:rsidRPr="00943102">
        <w:rPr>
          <w:strike/>
        </w:rPr>
        <w:t>the strategies mentioned</w:t>
      </w:r>
      <w:r w:rsidR="008D075F" w:rsidRPr="00FB3276">
        <w:t xml:space="preserve"> ranged </w:t>
      </w:r>
      <w:r w:rsidR="008D075F" w:rsidRPr="00FB3276">
        <w:lastRenderedPageBreak/>
        <w:t>from verbal communication with the aggressor (“dialogue”, “explanations for the causes of delay”, “speak calmly”) to notification and request for help.</w:t>
      </w:r>
    </w:p>
    <w:p w14:paraId="464F1F61" w14:textId="77777777" w:rsidR="00A366B4" w:rsidRPr="00EB0D64" w:rsidRDefault="00A366B4" w:rsidP="00F664F5">
      <w:pPr>
        <w:spacing w:after="0" w:line="360" w:lineRule="auto"/>
        <w:jc w:val="both"/>
      </w:pPr>
      <w:r w:rsidRPr="00EB0D64">
        <w:t>Ways to avoid or minimize workplace violence</w:t>
      </w:r>
    </w:p>
    <w:p w14:paraId="6473B729" w14:textId="09B4D432" w:rsidR="00EE6030" w:rsidRDefault="00A416CB" w:rsidP="00465AA8">
      <w:pPr>
        <w:spacing w:after="0" w:line="360" w:lineRule="auto"/>
        <w:jc w:val="both"/>
      </w:pPr>
      <w:r w:rsidRPr="00FB3276">
        <w:t xml:space="preserve">Only 4 out of </w:t>
      </w:r>
      <w:r w:rsidRPr="004851A0">
        <w:rPr>
          <w:strike/>
        </w:rPr>
        <w:t>the</w:t>
      </w:r>
      <w:r w:rsidRPr="00FB3276">
        <w:t xml:space="preserve"> 28 </w:t>
      </w:r>
      <w:r w:rsidR="004A78A5" w:rsidRPr="004851A0">
        <w:rPr>
          <w:strike/>
        </w:rPr>
        <w:t>participants</w:t>
      </w:r>
      <w:r w:rsidRPr="00FB3276">
        <w:t xml:space="preserve"> </w:t>
      </w:r>
      <w:r w:rsidR="005058D0" w:rsidRPr="00FB3276">
        <w:t>replied negatively to the answer “Do you believe it is possible to avoid or minimize workplace violence?”. Suggestions on how</w:t>
      </w:r>
      <w:r w:rsidR="004851A0">
        <w:t xml:space="preserve"> </w:t>
      </w:r>
      <w:r w:rsidR="004851A0" w:rsidRPr="004851A0">
        <w:rPr>
          <w:highlight w:val="yellow"/>
        </w:rPr>
        <w:t>it</w:t>
      </w:r>
      <w:r w:rsidR="005058D0" w:rsidRPr="00FB3276">
        <w:t xml:space="preserve"> </w:t>
      </w:r>
      <w:r w:rsidR="005058D0" w:rsidRPr="004851A0">
        <w:rPr>
          <w:strike/>
        </w:rPr>
        <w:t>workplace violence</w:t>
      </w:r>
      <w:r w:rsidR="005058D0" w:rsidRPr="00FB3276">
        <w:t xml:space="preserve"> could be avoided or minimized were provided by 23 workers and </w:t>
      </w:r>
      <w:r w:rsidR="00290244" w:rsidRPr="00FB3276">
        <w:t>ranged</w:t>
      </w:r>
      <w:r w:rsidR="005058D0" w:rsidRPr="00FB3276">
        <w:t xml:space="preserve"> from </w:t>
      </w:r>
      <w:r w:rsidR="005058D0" w:rsidRPr="00A53CE0">
        <w:rPr>
          <w:strike/>
        </w:rPr>
        <w:t>gatekeeping</w:t>
      </w:r>
      <w:r w:rsidR="005058D0" w:rsidRPr="00FB3276">
        <w:t xml:space="preserve"> </w:t>
      </w:r>
      <w:r w:rsidR="005058D0" w:rsidRPr="00A53CE0">
        <w:rPr>
          <w:strike/>
        </w:rPr>
        <w:t>the access of patients</w:t>
      </w:r>
      <w:r w:rsidR="00290244" w:rsidRPr="00A53CE0">
        <w:rPr>
          <w:strike/>
        </w:rPr>
        <w:t>/</w:t>
      </w:r>
      <w:r w:rsidR="005058D0" w:rsidRPr="00A53CE0">
        <w:rPr>
          <w:strike/>
        </w:rPr>
        <w:t xml:space="preserve"> next of kin to</w:t>
      </w:r>
      <w:r w:rsidR="005058D0" w:rsidRPr="00FB3276">
        <w:t xml:space="preserve"> working areas</w:t>
      </w:r>
      <w:r w:rsidR="00A53CE0">
        <w:t xml:space="preserve"> </w:t>
      </w:r>
      <w:r w:rsidR="00A53CE0" w:rsidRPr="00A53CE0">
        <w:rPr>
          <w:highlight w:val="yellow"/>
        </w:rPr>
        <w:t>gatekeeping</w:t>
      </w:r>
      <w:r w:rsidR="00290244" w:rsidRPr="00FB3276">
        <w:t>,</w:t>
      </w:r>
      <w:r w:rsidR="005058D0" w:rsidRPr="00FB3276">
        <w:t xml:space="preserve"> increasing </w:t>
      </w:r>
      <w:r w:rsidR="00290244" w:rsidRPr="00A53CE0">
        <w:rPr>
          <w:strike/>
        </w:rPr>
        <w:t xml:space="preserve">both </w:t>
      </w:r>
      <w:r w:rsidR="005058D0" w:rsidRPr="00FB3276">
        <w:t xml:space="preserve">the number of </w:t>
      </w:r>
      <w:r w:rsidR="003B46BC" w:rsidRPr="003B46BC">
        <w:rPr>
          <w:highlight w:val="yellow"/>
        </w:rPr>
        <w:t>safety agents</w:t>
      </w:r>
      <w:r w:rsidR="003B46BC">
        <w:t xml:space="preserve"> </w:t>
      </w:r>
      <w:r w:rsidR="003B46BC" w:rsidRPr="003B46BC">
        <w:rPr>
          <w:highlight w:val="yellow"/>
        </w:rPr>
        <w:t>and</w:t>
      </w:r>
      <w:r w:rsidR="003B46BC" w:rsidRPr="00FB3276">
        <w:t xml:space="preserve"> </w:t>
      </w:r>
      <w:r w:rsidR="005058D0" w:rsidRPr="00FB3276">
        <w:t>healthcare workers in the emergency department (</w:t>
      </w:r>
      <w:r w:rsidR="005058D0" w:rsidRPr="004851A0">
        <w:rPr>
          <w:strike/>
        </w:rPr>
        <w:t>so that</w:t>
      </w:r>
      <w:r w:rsidR="005058D0" w:rsidRPr="00FB3276">
        <w:t xml:space="preserve"> </w:t>
      </w:r>
      <w:r w:rsidR="003B46BC" w:rsidRPr="003B46BC">
        <w:rPr>
          <w:highlight w:val="yellow"/>
        </w:rPr>
        <w:t>for shorter</w:t>
      </w:r>
      <w:r w:rsidR="004851A0">
        <w:t xml:space="preserve"> </w:t>
      </w:r>
      <w:r w:rsidR="005058D0" w:rsidRPr="00FB3276">
        <w:t xml:space="preserve">waiting times </w:t>
      </w:r>
      <w:r w:rsidR="005058D0" w:rsidRPr="004851A0">
        <w:rPr>
          <w:strike/>
        </w:rPr>
        <w:t>could be shortened</w:t>
      </w:r>
      <w:r w:rsidR="005058D0" w:rsidRPr="00FB3276">
        <w:t xml:space="preserve">) </w:t>
      </w:r>
      <w:r w:rsidR="005058D0" w:rsidRPr="003B46BC">
        <w:rPr>
          <w:strike/>
        </w:rPr>
        <w:t>and</w:t>
      </w:r>
      <w:r w:rsidR="005058D0" w:rsidRPr="00FB3276">
        <w:t xml:space="preserve"> </w:t>
      </w:r>
      <w:r w:rsidR="005058D0" w:rsidRPr="00A53CE0">
        <w:rPr>
          <w:strike/>
        </w:rPr>
        <w:t>the number of</w:t>
      </w:r>
      <w:r w:rsidR="005058D0" w:rsidRPr="00FB3276">
        <w:t xml:space="preserve"> </w:t>
      </w:r>
      <w:r w:rsidR="005058D0" w:rsidRPr="003B46BC">
        <w:rPr>
          <w:strike/>
        </w:rPr>
        <w:t>safety agents</w:t>
      </w:r>
      <w:r w:rsidR="00290244" w:rsidRPr="00FB3276">
        <w:t>,</w:t>
      </w:r>
      <w:r w:rsidR="005058D0" w:rsidRPr="00FB3276">
        <w:t xml:space="preserve"> to </w:t>
      </w:r>
      <w:r w:rsidR="00E31532" w:rsidRPr="00A53CE0">
        <w:rPr>
          <w:strike/>
        </w:rPr>
        <w:t xml:space="preserve">implement </w:t>
      </w:r>
      <w:r w:rsidR="005058D0" w:rsidRPr="00A53CE0">
        <w:rPr>
          <w:strike/>
        </w:rPr>
        <w:t>measures related to</w:t>
      </w:r>
      <w:r w:rsidR="00290244" w:rsidRPr="00A53CE0">
        <w:rPr>
          <w:strike/>
        </w:rPr>
        <w:t xml:space="preserve"> informing and educating both</w:t>
      </w:r>
      <w:r w:rsidR="005058D0" w:rsidRPr="00FB3276">
        <w:t xml:space="preserve"> </w:t>
      </w:r>
      <w:r w:rsidR="00290244" w:rsidRPr="00A53CE0">
        <w:rPr>
          <w:strike/>
        </w:rPr>
        <w:t>patients (displaying on-time</w:t>
      </w:r>
      <w:r w:rsidR="00290244" w:rsidRPr="00FB3276">
        <w:t xml:space="preserve"> information about waiting times</w:t>
      </w:r>
      <w:r w:rsidR="00A53CE0">
        <w:t>,</w:t>
      </w:r>
      <w:r w:rsidR="00290244" w:rsidRPr="00A53CE0">
        <w:rPr>
          <w:strike/>
        </w:rPr>
        <w:t>)</w:t>
      </w:r>
      <w:r w:rsidR="00290244" w:rsidRPr="00FB3276">
        <w:t xml:space="preserve"> and</w:t>
      </w:r>
      <w:r w:rsidR="00290244">
        <w:t xml:space="preserve"> </w:t>
      </w:r>
      <w:r w:rsidR="00290244" w:rsidRPr="00A53CE0">
        <w:rPr>
          <w:strike/>
        </w:rPr>
        <w:t>the general population (</w:t>
      </w:r>
      <w:r w:rsidR="00DF5125">
        <w:t>programs designed to increase the</w:t>
      </w:r>
      <w:r w:rsidR="00290244">
        <w:t xml:space="preserve"> respect </w:t>
      </w:r>
      <w:r w:rsidR="00DF5125">
        <w:t>towards</w:t>
      </w:r>
      <w:r w:rsidR="00290244">
        <w:t xml:space="preserve"> healthcare professionals </w:t>
      </w:r>
      <w:r w:rsidR="00290244" w:rsidRPr="00A53CE0">
        <w:rPr>
          <w:strike/>
        </w:rPr>
        <w:t>work</w:t>
      </w:r>
      <w:r w:rsidR="00290244">
        <w:t xml:space="preserve">). </w:t>
      </w:r>
      <w:r w:rsidR="0089318E">
        <w:t>Figure</w:t>
      </w:r>
      <w:r w:rsidR="00290244">
        <w:t xml:space="preserve"> 4 depicts</w:t>
      </w:r>
      <w:r w:rsidR="00DF5125">
        <w:t xml:space="preserve"> the number of answers per class of suggestions.</w:t>
      </w:r>
    </w:p>
    <w:p w14:paraId="55C2099F" w14:textId="77777777" w:rsidR="00F6317A" w:rsidRPr="00F6317A" w:rsidRDefault="00F6317A" w:rsidP="008C6DD6">
      <w:pPr>
        <w:spacing w:after="0" w:line="360" w:lineRule="auto"/>
        <w:jc w:val="both"/>
        <w:rPr>
          <w:i/>
          <w:sz w:val="12"/>
        </w:rPr>
      </w:pPr>
    </w:p>
    <w:p w14:paraId="19E105A7" w14:textId="44965184" w:rsidR="008C6DD6" w:rsidRDefault="008C6DD6" w:rsidP="008C6DD6">
      <w:pPr>
        <w:spacing w:after="0" w:line="360" w:lineRule="auto"/>
        <w:jc w:val="both"/>
        <w:rPr>
          <w:i/>
        </w:rPr>
      </w:pPr>
      <w:r w:rsidRPr="00F345FD">
        <w:rPr>
          <w:i/>
        </w:rPr>
        <w:t>[</w:t>
      </w:r>
      <w:proofErr w:type="spellStart"/>
      <w:r w:rsidRPr="00F345FD">
        <w:rPr>
          <w:i/>
        </w:rPr>
        <w:t>inserir</w:t>
      </w:r>
      <w:proofErr w:type="spellEnd"/>
      <w:r w:rsidRPr="00F345FD">
        <w:rPr>
          <w:i/>
        </w:rPr>
        <w:t xml:space="preserve"> </w:t>
      </w:r>
      <w:proofErr w:type="spellStart"/>
      <w:r w:rsidRPr="00F345FD">
        <w:rPr>
          <w:i/>
        </w:rPr>
        <w:t>aqui</w:t>
      </w:r>
      <w:proofErr w:type="spellEnd"/>
      <w:r w:rsidRPr="00F345FD">
        <w:rPr>
          <w:i/>
        </w:rPr>
        <w:t xml:space="preserve"> a Figure 4]</w:t>
      </w:r>
    </w:p>
    <w:p w14:paraId="68A28838" w14:textId="28B0437C" w:rsidR="00064476" w:rsidRPr="00342DFB" w:rsidRDefault="00342DFB" w:rsidP="00342DFB">
      <w:pPr>
        <w:spacing w:after="0"/>
      </w:pPr>
      <w:r>
        <w:t>Figure 4 – Ways of avoiding or minimizing workplace violence (n=31)</w:t>
      </w:r>
      <w:r w:rsidR="00064476" w:rsidRPr="00F345FD">
        <w:rPr>
          <w:b/>
        </w:rPr>
        <w:br w:type="page"/>
      </w:r>
    </w:p>
    <w:p w14:paraId="3E50C128" w14:textId="77777777" w:rsidR="00A366B4" w:rsidRPr="00F345FD" w:rsidRDefault="000931DE" w:rsidP="00F664F5">
      <w:pPr>
        <w:spacing w:after="0" w:line="360" w:lineRule="auto"/>
        <w:jc w:val="both"/>
        <w:rPr>
          <w:b/>
        </w:rPr>
      </w:pPr>
      <w:r w:rsidRPr="00F345FD">
        <w:rPr>
          <w:b/>
        </w:rPr>
        <w:lastRenderedPageBreak/>
        <w:t>DISCUSSION</w:t>
      </w:r>
    </w:p>
    <w:p w14:paraId="3B0EFC30" w14:textId="7DD2F8D7" w:rsidR="00BC6001" w:rsidRPr="004E3A73" w:rsidRDefault="00BC6001" w:rsidP="00BC6001">
      <w:pPr>
        <w:spacing w:after="0" w:line="360" w:lineRule="auto"/>
        <w:jc w:val="both"/>
        <w:rPr>
          <w:strike/>
        </w:rPr>
      </w:pPr>
      <w:r w:rsidRPr="004E3A73">
        <w:rPr>
          <w:strike/>
          <w:highlight w:val="yellow"/>
        </w:rPr>
        <w:t>Type 3 violence (</w:t>
      </w:r>
      <w:r w:rsidR="00D853B1" w:rsidRPr="004E3A73">
        <w:rPr>
          <w:strike/>
          <w:highlight w:val="yellow"/>
        </w:rPr>
        <w:t xml:space="preserve">also known as horizontal or </w:t>
      </w:r>
      <w:r w:rsidRPr="004E3A73">
        <w:rPr>
          <w:strike/>
          <w:highlight w:val="yellow"/>
        </w:rPr>
        <w:t>internal violence) experienced by victims was poorly represented in our study</w:t>
      </w:r>
      <w:r w:rsidR="00E25FBD" w:rsidRPr="004E3A73">
        <w:rPr>
          <w:strike/>
          <w:highlight w:val="yellow"/>
        </w:rPr>
        <w:t xml:space="preserve">. </w:t>
      </w:r>
      <w:r w:rsidRPr="004E3A73">
        <w:rPr>
          <w:strike/>
          <w:highlight w:val="yellow"/>
        </w:rPr>
        <w:t xml:space="preserve">The sole case reported in the quantitative phase </w:t>
      </w:r>
      <w:r w:rsidR="00907C32" w:rsidRPr="004E3A73">
        <w:rPr>
          <w:strike/>
          <w:highlight w:val="yellow"/>
        </w:rPr>
        <w:t xml:space="preserve">presents </w:t>
      </w:r>
      <w:r w:rsidRPr="004E3A73">
        <w:rPr>
          <w:strike/>
          <w:highlight w:val="yellow"/>
        </w:rPr>
        <w:t>some of the typical characteristics of bullying</w:t>
      </w:r>
      <w:bookmarkStart w:id="19" w:name="_Ref524450565"/>
      <w:r w:rsidR="00802C55" w:rsidRPr="004E3A73">
        <w:rPr>
          <w:strike/>
          <w:highlight w:val="yellow"/>
        </w:rPr>
        <w:t>,</w:t>
      </w:r>
      <w:bookmarkEnd w:id="19"/>
      <w:r w:rsidR="00022CD6" w:rsidRPr="004E3A73">
        <w:rPr>
          <w:strike/>
          <w:highlight w:val="yellow"/>
        </w:rPr>
        <w:t xml:space="preserve"> </w:t>
      </w:r>
      <w:r w:rsidRPr="004E3A73">
        <w:rPr>
          <w:strike/>
          <w:highlight w:val="yellow"/>
        </w:rPr>
        <w:t xml:space="preserve">although we lack information on whether the victim was or not repeatedly exposed to similar </w:t>
      </w:r>
      <w:r w:rsidR="001D13E9" w:rsidRPr="004E3A73">
        <w:rPr>
          <w:strike/>
          <w:highlight w:val="yellow"/>
        </w:rPr>
        <w:t>incident</w:t>
      </w:r>
      <w:r w:rsidRPr="004E3A73">
        <w:rPr>
          <w:strike/>
          <w:highlight w:val="yellow"/>
        </w:rPr>
        <w:t xml:space="preserve">s. Bullying has a strong negative impact </w:t>
      </w:r>
      <w:r w:rsidR="006E14B3" w:rsidRPr="004E3A73">
        <w:rPr>
          <w:strike/>
          <w:highlight w:val="yellow"/>
        </w:rPr>
        <w:t>o</w:t>
      </w:r>
      <w:r w:rsidRPr="004E3A73">
        <w:rPr>
          <w:strike/>
          <w:highlight w:val="yellow"/>
        </w:rPr>
        <w:t>n workers’ health</w:t>
      </w:r>
      <w:r w:rsidR="00543AF1" w:rsidRPr="004E3A73">
        <w:rPr>
          <w:strike/>
          <w:highlight w:val="yellow"/>
        </w:rPr>
        <w:t xml:space="preserve"> </w:t>
      </w:r>
      <w:r w:rsidRPr="004E3A73">
        <w:rPr>
          <w:strike/>
          <w:highlight w:val="yellow"/>
        </w:rPr>
        <w:t xml:space="preserve">but is considered an independent phenomenon, </w:t>
      </w:r>
      <w:r w:rsidR="00E1239C" w:rsidRPr="004E3A73">
        <w:rPr>
          <w:strike/>
          <w:highlight w:val="yellow"/>
        </w:rPr>
        <w:t xml:space="preserve">described by </w:t>
      </w:r>
      <w:r w:rsidRPr="004E3A73">
        <w:rPr>
          <w:strike/>
          <w:highlight w:val="yellow"/>
        </w:rPr>
        <w:t>a different construct</w:t>
      </w:r>
      <w:r w:rsidR="00802C55" w:rsidRPr="004E3A73">
        <w:rPr>
          <w:strike/>
          <w:highlight w:val="yellow"/>
        </w:rPr>
        <w:t>.</w:t>
      </w:r>
      <w:r w:rsidR="00022CD6" w:rsidRPr="004E3A73">
        <w:rPr>
          <w:strike/>
          <w:highlight w:val="yellow"/>
        </w:rPr>
        <w:t xml:space="preserve"> </w:t>
      </w:r>
      <w:r w:rsidRPr="004E3A73">
        <w:rPr>
          <w:strike/>
          <w:highlight w:val="yellow"/>
        </w:rPr>
        <w:t xml:space="preserve">For these reasons, type 3 violence </w:t>
      </w:r>
      <w:r w:rsidR="00471883" w:rsidRPr="004E3A73">
        <w:rPr>
          <w:strike/>
          <w:highlight w:val="yellow"/>
        </w:rPr>
        <w:t>is</w:t>
      </w:r>
      <w:r w:rsidRPr="004E3A73">
        <w:rPr>
          <w:strike/>
          <w:highlight w:val="yellow"/>
        </w:rPr>
        <w:t xml:space="preserve"> not discussed</w:t>
      </w:r>
      <w:r w:rsidR="00907C32" w:rsidRPr="004E3A73">
        <w:rPr>
          <w:strike/>
          <w:highlight w:val="yellow"/>
        </w:rPr>
        <w:t xml:space="preserve"> here</w:t>
      </w:r>
      <w:r w:rsidRPr="004E3A73">
        <w:rPr>
          <w:strike/>
          <w:highlight w:val="yellow"/>
        </w:rPr>
        <w:t>. Aggressions perpetrated by agitated patients are a highly prevalent problem in hospitals and other healthcare facilities</w:t>
      </w:r>
      <w:r w:rsidR="00022CD6" w:rsidRPr="004E3A73">
        <w:rPr>
          <w:strike/>
          <w:highlight w:val="yellow"/>
        </w:rPr>
        <w:t xml:space="preserve"> </w:t>
      </w:r>
      <w:r w:rsidRPr="004E3A73">
        <w:rPr>
          <w:strike/>
          <w:highlight w:val="yellow"/>
        </w:rPr>
        <w:t>but as no reports in the quantitative phase refer to this type of violence, we left it out of the discussion as well.</w:t>
      </w:r>
      <w:r w:rsidRPr="004E3A73">
        <w:rPr>
          <w:strike/>
        </w:rPr>
        <w:t xml:space="preserve"> </w:t>
      </w:r>
    </w:p>
    <w:p w14:paraId="1B74F51E" w14:textId="06A92A84" w:rsidR="003A42C6" w:rsidRDefault="003A42C6" w:rsidP="003A42C6">
      <w:pPr>
        <w:spacing w:after="0" w:line="360" w:lineRule="auto"/>
        <w:jc w:val="both"/>
      </w:pPr>
      <w:r w:rsidRPr="003A42C6">
        <w:rPr>
          <w:highlight w:val="yellow"/>
        </w:rPr>
        <w:t>This study is probably one of the first to comprehensively describe workplace violence in a healthcare organization using concomitantly qualitative and quantitative surveys with the specific goal of designing a tailored-made occupational health prevention program.</w:t>
      </w:r>
      <w:r>
        <w:t xml:space="preserve"> </w:t>
      </w:r>
    </w:p>
    <w:p w14:paraId="48EDA36A" w14:textId="5F9F8DF0" w:rsidR="00330291" w:rsidRDefault="00EA2C87" w:rsidP="00F664F5">
      <w:pPr>
        <w:spacing w:after="0" w:line="360" w:lineRule="auto"/>
        <w:jc w:val="both"/>
      </w:pPr>
      <w:r w:rsidRPr="00EB0D64">
        <w:rPr>
          <w:strike/>
        </w:rPr>
        <w:t>Despite the</w:t>
      </w:r>
      <w:r w:rsidR="00E25FBD" w:rsidRPr="00EB0D64">
        <w:rPr>
          <w:strike/>
        </w:rPr>
        <w:t>ir</w:t>
      </w:r>
      <w:r w:rsidRPr="00EB0D64">
        <w:rPr>
          <w:strike/>
        </w:rPr>
        <w:t xml:space="preserve"> qualitative </w:t>
      </w:r>
      <w:r w:rsidR="00461593" w:rsidRPr="00EB0D64">
        <w:rPr>
          <w:strike/>
        </w:rPr>
        <w:t>design</w:t>
      </w:r>
      <w:r w:rsidR="006E33BF" w:rsidRPr="00EB0D64">
        <w:rPr>
          <w:strike/>
        </w:rPr>
        <w:t xml:space="preserve">, there are </w:t>
      </w:r>
      <w:r w:rsidR="00006B1A" w:rsidRPr="00EB0D64">
        <w:rPr>
          <w:strike/>
        </w:rPr>
        <w:t>some</w:t>
      </w:r>
      <w:r w:rsidR="006E33BF" w:rsidRPr="00EB0D64">
        <w:rPr>
          <w:strike/>
        </w:rPr>
        <w:t xml:space="preserve"> common findings across the </w:t>
      </w:r>
      <w:r w:rsidR="00907C32" w:rsidRPr="00EB0D64">
        <w:rPr>
          <w:strike/>
        </w:rPr>
        <w:t>six</w:t>
      </w:r>
      <w:r w:rsidR="006E33BF" w:rsidRPr="00EB0D64">
        <w:rPr>
          <w:strike/>
        </w:rPr>
        <w:t xml:space="preserve"> interviews that are worthwhile discussing. First, workplace violence seems to be favored by the </w:t>
      </w:r>
      <w:r w:rsidR="00F20CBF" w:rsidRPr="00EB0D64">
        <w:rPr>
          <w:strike/>
        </w:rPr>
        <w:t xml:space="preserve">unrestricted </w:t>
      </w:r>
      <w:r w:rsidR="006E33BF" w:rsidRPr="00EB0D64">
        <w:rPr>
          <w:strike/>
        </w:rPr>
        <w:t>access to working areas</w:t>
      </w:r>
      <w:r w:rsidR="00F20CBF" w:rsidRPr="00EB0D64">
        <w:rPr>
          <w:strike/>
        </w:rPr>
        <w:t>, by the absence of safety agents and police officers (or by lack of active interventions when needed).</w:t>
      </w:r>
      <w:r w:rsidR="00F20CBF" w:rsidRPr="00FB3276">
        <w:t xml:space="preserve"> </w:t>
      </w:r>
      <w:r w:rsidR="009033B5" w:rsidRPr="009033B5">
        <w:rPr>
          <w:highlight w:val="yellow"/>
        </w:rPr>
        <w:t>It is known that</w:t>
      </w:r>
      <w:r w:rsidR="009033B5">
        <w:t xml:space="preserve"> t</w:t>
      </w:r>
      <w:r w:rsidR="00F20CBF" w:rsidRPr="00FB3276">
        <w:t>he presence of safety agents in healthcare institutions</w:t>
      </w:r>
      <w:r w:rsidR="00C048E6" w:rsidRPr="00FB3276">
        <w:t xml:space="preserve"> are, </w:t>
      </w:r>
      <w:r w:rsidR="00C048E6" w:rsidRPr="00FB3276">
        <w:rPr>
          <w:i/>
        </w:rPr>
        <w:t>de per se</w:t>
      </w:r>
      <w:r w:rsidR="00C048E6" w:rsidRPr="00FB3276">
        <w:t>, discouraging of aggressive behaviors and have been associated to improved feelings of safety in healthcare workers</w:t>
      </w:r>
      <w:bookmarkStart w:id="20" w:name="_Ref523475297"/>
      <w:r w:rsidR="00802C55">
        <w:t>.</w:t>
      </w:r>
      <w:r w:rsidR="00C048E6" w:rsidRPr="00FB3276">
        <w:rPr>
          <w:rStyle w:val="EndnoteReference"/>
        </w:rPr>
        <w:endnoteReference w:id="21"/>
      </w:r>
      <w:bookmarkEnd w:id="20"/>
      <w:r w:rsidR="00802C55">
        <w:t xml:space="preserve"> </w:t>
      </w:r>
      <w:r w:rsidR="00006B1A" w:rsidRPr="00EB0D64">
        <w:rPr>
          <w:strike/>
        </w:rPr>
        <w:t xml:space="preserve">psychological sequelae of workplace violence are reported by most </w:t>
      </w:r>
      <w:r w:rsidR="00907C32" w:rsidRPr="00EB0D64">
        <w:rPr>
          <w:strike/>
        </w:rPr>
        <w:t xml:space="preserve">of the </w:t>
      </w:r>
      <w:r w:rsidR="00006B1A" w:rsidRPr="00EB0D64">
        <w:rPr>
          <w:strike/>
        </w:rPr>
        <w:t>victims, but their severity seems to dilute over time</w:t>
      </w:r>
      <w:r w:rsidR="00330291" w:rsidRPr="00EB0D64">
        <w:rPr>
          <w:strike/>
        </w:rPr>
        <w:t xml:space="preserve"> with s</w:t>
      </w:r>
      <w:r w:rsidR="00006B1A" w:rsidRPr="00EB0D64">
        <w:rPr>
          <w:strike/>
        </w:rPr>
        <w:t>ome workers express</w:t>
      </w:r>
      <w:r w:rsidR="00330291" w:rsidRPr="00EB0D64">
        <w:rPr>
          <w:strike/>
        </w:rPr>
        <w:t>ing</w:t>
      </w:r>
      <w:r w:rsidR="00006B1A" w:rsidRPr="00EB0D64">
        <w:rPr>
          <w:strike/>
        </w:rPr>
        <w:t xml:space="preserve"> feelings of determination and assertiveness when figuring out how they would act if similar situations </w:t>
      </w:r>
      <w:r w:rsidR="00330291" w:rsidRPr="00EB0D64">
        <w:rPr>
          <w:strike/>
        </w:rPr>
        <w:t xml:space="preserve">happened </w:t>
      </w:r>
      <w:r w:rsidR="00330291" w:rsidRPr="00A90D4E">
        <w:rPr>
          <w:strike/>
        </w:rPr>
        <w:t>again.</w:t>
      </w:r>
      <w:r w:rsidR="00497ABD" w:rsidRPr="00A90D4E">
        <w:rPr>
          <w:strike/>
        </w:rPr>
        <w:t xml:space="preserve"> </w:t>
      </w:r>
      <w:r w:rsidR="00330291" w:rsidRPr="00A90D4E">
        <w:rPr>
          <w:strike/>
        </w:rPr>
        <w:t>Third,</w:t>
      </w:r>
      <w:r w:rsidR="00330291" w:rsidRPr="00FB3276">
        <w:t xml:space="preserve"> </w:t>
      </w:r>
      <w:r w:rsidR="00330291" w:rsidRPr="009F0060">
        <w:rPr>
          <w:strike/>
        </w:rPr>
        <w:t>there is a generali</w:t>
      </w:r>
      <w:r w:rsidR="005527A9" w:rsidRPr="009F0060">
        <w:rPr>
          <w:strike/>
        </w:rPr>
        <w:t>z</w:t>
      </w:r>
      <w:r w:rsidR="00330291" w:rsidRPr="009F0060">
        <w:rPr>
          <w:strike/>
        </w:rPr>
        <w:t xml:space="preserve">ed feeling that the hospital management is not sufficiently concerned or aware of </w:t>
      </w:r>
      <w:r w:rsidR="006E14B3" w:rsidRPr="009F0060">
        <w:rPr>
          <w:strike/>
        </w:rPr>
        <w:t>the problem</w:t>
      </w:r>
      <w:r w:rsidR="00330291" w:rsidRPr="009F0060">
        <w:rPr>
          <w:strike/>
        </w:rPr>
        <w:t xml:space="preserve"> </w:t>
      </w:r>
      <w:r w:rsidR="006E14B3" w:rsidRPr="009F0060">
        <w:rPr>
          <w:strike/>
        </w:rPr>
        <w:t>and that workplace violence prevention</w:t>
      </w:r>
      <w:r w:rsidR="00330291" w:rsidRPr="009F0060">
        <w:rPr>
          <w:strike/>
        </w:rPr>
        <w:t xml:space="preserve"> is not considered a top priority. </w:t>
      </w:r>
      <w:r w:rsidR="0082247A" w:rsidRPr="009F0060">
        <w:rPr>
          <w:strike/>
        </w:rPr>
        <w:t>Some of the victims believe that even notifying is useless</w:t>
      </w:r>
      <w:r w:rsidR="0082247A" w:rsidRPr="009033B5">
        <w:rPr>
          <w:strike/>
          <w:highlight w:val="yellow"/>
        </w:rPr>
        <w:t>.</w:t>
      </w:r>
      <w:r w:rsidR="0082247A" w:rsidRPr="009033B5">
        <w:rPr>
          <w:highlight w:val="yellow"/>
        </w:rPr>
        <w:t xml:space="preserve"> </w:t>
      </w:r>
      <w:r w:rsidR="009033B5" w:rsidRPr="009033B5">
        <w:rPr>
          <w:highlight w:val="yellow"/>
        </w:rPr>
        <w:t>The phenomenon of w</w:t>
      </w:r>
      <w:r w:rsidR="009F0060" w:rsidRPr="009033B5">
        <w:rPr>
          <w:highlight w:val="yellow"/>
        </w:rPr>
        <w:t xml:space="preserve">orkers </w:t>
      </w:r>
      <w:r w:rsidR="009F0060" w:rsidRPr="009F0060">
        <w:rPr>
          <w:highlight w:val="yellow"/>
        </w:rPr>
        <w:t>mistrust</w:t>
      </w:r>
      <w:r w:rsidR="009033B5">
        <w:rPr>
          <w:highlight w:val="yellow"/>
        </w:rPr>
        <w:t xml:space="preserve">ing </w:t>
      </w:r>
      <w:r w:rsidR="009F0060" w:rsidRPr="009F0060">
        <w:rPr>
          <w:highlight w:val="yellow"/>
        </w:rPr>
        <w:t>the notification process usefulness has been previously reported</w:t>
      </w:r>
      <w:r w:rsidR="009F0060">
        <w:t xml:space="preserve">. </w:t>
      </w:r>
      <w:r w:rsidR="0082247A" w:rsidRPr="009F0060">
        <w:rPr>
          <w:strike/>
        </w:rPr>
        <w:t>Similar findings have been previously reported</w:t>
      </w:r>
      <w:bookmarkStart w:id="21" w:name="_Ref523412801"/>
      <w:r w:rsidR="00995BDD">
        <w:t>.</w:t>
      </w:r>
      <w:r w:rsidR="00907C32" w:rsidRPr="00FB3276">
        <w:rPr>
          <w:vertAlign w:val="superscript"/>
        </w:rPr>
        <w:t>6</w:t>
      </w:r>
      <w:r w:rsidR="0062282D">
        <w:rPr>
          <w:vertAlign w:val="superscript"/>
        </w:rPr>
        <w:t>,</w:t>
      </w:r>
      <w:r w:rsidR="0062282D">
        <w:rPr>
          <w:vertAlign w:val="superscript"/>
        </w:rPr>
        <w:fldChar w:fldCharType="begin"/>
      </w:r>
      <w:r w:rsidR="0062282D">
        <w:rPr>
          <w:vertAlign w:val="superscript"/>
        </w:rPr>
        <w:instrText xml:space="preserve"> NOTEREF _Ref524097249 \h </w:instrText>
      </w:r>
      <w:r w:rsidR="0062282D">
        <w:rPr>
          <w:vertAlign w:val="superscript"/>
        </w:rPr>
      </w:r>
      <w:r w:rsidR="0062282D">
        <w:rPr>
          <w:vertAlign w:val="superscript"/>
        </w:rPr>
        <w:fldChar w:fldCharType="separate"/>
      </w:r>
      <w:r w:rsidR="008C6F64">
        <w:rPr>
          <w:vertAlign w:val="superscript"/>
        </w:rPr>
        <w:t>20</w:t>
      </w:r>
      <w:r w:rsidR="0062282D">
        <w:rPr>
          <w:vertAlign w:val="superscript"/>
        </w:rPr>
        <w:fldChar w:fldCharType="end"/>
      </w:r>
      <w:r w:rsidR="00830FBC" w:rsidRPr="00FB3276">
        <w:rPr>
          <w:vertAlign w:val="superscript"/>
        </w:rPr>
        <w:t>,</w:t>
      </w:r>
      <w:bookmarkEnd w:id="21"/>
      <w:r w:rsidR="0042514F" w:rsidRPr="00FB3276">
        <w:rPr>
          <w:vertAlign w:val="superscript"/>
        </w:rPr>
        <w:fldChar w:fldCharType="begin"/>
      </w:r>
      <w:r w:rsidR="006E14B3" w:rsidRPr="00FB3276">
        <w:rPr>
          <w:vertAlign w:val="superscript"/>
        </w:rPr>
        <w:instrText xml:space="preserve"> NOTEREF _Ref523475297 \h </w:instrText>
      </w:r>
      <w:r w:rsidR="00FB3276">
        <w:rPr>
          <w:vertAlign w:val="superscript"/>
        </w:rPr>
        <w:instrText xml:space="preserve"> \* MERGEFORMAT </w:instrText>
      </w:r>
      <w:r w:rsidR="0042514F" w:rsidRPr="00FB3276">
        <w:rPr>
          <w:vertAlign w:val="superscript"/>
        </w:rPr>
      </w:r>
      <w:r w:rsidR="0042514F" w:rsidRPr="00FB3276">
        <w:rPr>
          <w:vertAlign w:val="superscript"/>
        </w:rPr>
        <w:fldChar w:fldCharType="separate"/>
      </w:r>
      <w:r w:rsidR="008C6F64">
        <w:rPr>
          <w:vertAlign w:val="superscript"/>
        </w:rPr>
        <w:t>23</w:t>
      </w:r>
      <w:r w:rsidR="0042514F" w:rsidRPr="00FB3276">
        <w:rPr>
          <w:vertAlign w:val="superscript"/>
        </w:rPr>
        <w:fldChar w:fldCharType="end"/>
      </w:r>
      <w:r w:rsidR="00022CD6">
        <w:t xml:space="preserve"> </w:t>
      </w:r>
      <w:r w:rsidR="0082247A" w:rsidRPr="00FB3276">
        <w:t>It has also been described that workers productivity and commitment increase when management teams show a candid interest in employees and their behaviors (phenomenon described as the “Hawthorne effect</w:t>
      </w:r>
      <w:r w:rsidR="00995BDD">
        <w:t>”).</w:t>
      </w:r>
      <w:r w:rsidR="009D07A5" w:rsidRPr="00FB3276">
        <w:rPr>
          <w:vertAlign w:val="superscript"/>
        </w:rPr>
        <w:fldChar w:fldCharType="begin"/>
      </w:r>
      <w:r w:rsidR="009D07A5" w:rsidRPr="00FB3276">
        <w:rPr>
          <w:vertAlign w:val="superscript"/>
        </w:rPr>
        <w:instrText xml:space="preserve"> NOTEREF _Ref524021274 \h  \* MERGEFORMAT </w:instrText>
      </w:r>
      <w:r w:rsidR="009D07A5" w:rsidRPr="00FB3276">
        <w:rPr>
          <w:vertAlign w:val="superscript"/>
        </w:rPr>
      </w:r>
      <w:r w:rsidR="009D07A5" w:rsidRPr="00FB3276">
        <w:rPr>
          <w:vertAlign w:val="superscript"/>
        </w:rPr>
        <w:fldChar w:fldCharType="separate"/>
      </w:r>
      <w:r w:rsidR="008C6F64">
        <w:rPr>
          <w:vertAlign w:val="superscript"/>
        </w:rPr>
        <w:t>6</w:t>
      </w:r>
      <w:r w:rsidR="009D07A5" w:rsidRPr="00FB3276">
        <w:rPr>
          <w:vertAlign w:val="superscript"/>
        </w:rPr>
        <w:fldChar w:fldCharType="end"/>
      </w:r>
      <w:r w:rsidR="00995BDD">
        <w:rPr>
          <w:vertAlign w:val="superscript"/>
        </w:rPr>
        <w:t xml:space="preserve"> </w:t>
      </w:r>
      <w:r w:rsidR="00907C32" w:rsidRPr="00FB3276">
        <w:t>T</w:t>
      </w:r>
      <w:r w:rsidR="00856D04" w:rsidRPr="00FB3276">
        <w:t xml:space="preserve">his is especially relevant for healthcare workers due the </w:t>
      </w:r>
      <w:r w:rsidR="001371FB" w:rsidRPr="00FB3276">
        <w:t>inner rhythm and intensity of their job profile</w:t>
      </w:r>
      <w:r w:rsidR="0082247A" w:rsidRPr="00FB3276">
        <w:t>.</w:t>
      </w:r>
      <w:r w:rsidR="007A28F2" w:rsidRPr="00FB3276">
        <w:t xml:space="preserve"> It is highly undesirable </w:t>
      </w:r>
      <w:r w:rsidR="005333C3" w:rsidRPr="00FB3276">
        <w:t>that</w:t>
      </w:r>
      <w:r w:rsidR="007A28F2" w:rsidRPr="00FB3276">
        <w:t xml:space="preserve"> this feeling of notification uselessness </w:t>
      </w:r>
      <w:r w:rsidR="005333C3" w:rsidRPr="00FB3276">
        <w:t>becomes generalized</w:t>
      </w:r>
      <w:r w:rsidR="007A28F2" w:rsidRPr="00FB3276">
        <w:t xml:space="preserve">, since notification is the corner stone </w:t>
      </w:r>
      <w:r w:rsidR="005333C3" w:rsidRPr="00FB3276">
        <w:t>of</w:t>
      </w:r>
      <w:r w:rsidR="007A28F2" w:rsidRPr="00FB3276">
        <w:t xml:space="preserve"> understand</w:t>
      </w:r>
      <w:r w:rsidR="007375E5" w:rsidRPr="00FB3276">
        <w:t>ing</w:t>
      </w:r>
      <w:r w:rsidR="007A28F2" w:rsidRPr="00FB3276">
        <w:t xml:space="preserve"> and effectively approach</w:t>
      </w:r>
      <w:r w:rsidR="007375E5" w:rsidRPr="00FB3276">
        <w:t>ing</w:t>
      </w:r>
      <w:r w:rsidR="007A28F2" w:rsidRPr="00FB3276">
        <w:t xml:space="preserve"> the problem of workplace violence.</w:t>
      </w:r>
      <w:r w:rsidR="005333C3" w:rsidRPr="00FB3276">
        <w:t xml:space="preserve"> </w:t>
      </w:r>
      <w:proofErr w:type="spellStart"/>
      <w:r w:rsidR="00B478F5" w:rsidRPr="00FB3276">
        <w:t>Blando</w:t>
      </w:r>
      <w:proofErr w:type="spellEnd"/>
      <w:r w:rsidR="00B478F5" w:rsidRPr="00FB3276">
        <w:t xml:space="preserve"> et al</w:t>
      </w:r>
      <w:r w:rsidR="000A58F8">
        <w:t>.</w:t>
      </w:r>
      <w:r w:rsidR="00907C32" w:rsidRPr="00FB3276">
        <w:rPr>
          <w:vertAlign w:val="superscript"/>
        </w:rPr>
        <w:t>6</w:t>
      </w:r>
      <w:r w:rsidR="00B478F5" w:rsidRPr="00FB3276">
        <w:t xml:space="preserve"> </w:t>
      </w:r>
      <w:r w:rsidR="005333C3" w:rsidRPr="00FB3276">
        <w:t>have</w:t>
      </w:r>
      <w:r w:rsidR="005333C3">
        <w:t xml:space="preserve"> underlined </w:t>
      </w:r>
      <w:r w:rsidR="00B478F5">
        <w:t>that</w:t>
      </w:r>
      <w:r w:rsidR="005333C3">
        <w:t xml:space="preserve"> </w:t>
      </w:r>
      <w:r w:rsidR="00B478F5">
        <w:t>an</w:t>
      </w:r>
      <w:r w:rsidR="005333C3">
        <w:t xml:space="preserve"> intense “customer service” focus may worsen </w:t>
      </w:r>
      <w:r w:rsidR="00B478F5">
        <w:t xml:space="preserve">workplace violence by supporting a “the customer is always right” </w:t>
      </w:r>
      <w:r w:rsidR="00CB1868">
        <w:t xml:space="preserve">mindset which can lead to little or no action </w:t>
      </w:r>
      <w:r w:rsidR="000B4B0A">
        <w:t xml:space="preserve">taken by </w:t>
      </w:r>
      <w:r w:rsidR="000B4B0A">
        <w:lastRenderedPageBreak/>
        <w:t xml:space="preserve">intimidated healthcare professionals </w:t>
      </w:r>
      <w:r w:rsidR="00CB1868">
        <w:t xml:space="preserve">when </w:t>
      </w:r>
      <w:r w:rsidR="000B4B0A">
        <w:t xml:space="preserve">faced with </w:t>
      </w:r>
      <w:r w:rsidR="00CB1868">
        <w:t>patients or their next of kin exhibit</w:t>
      </w:r>
      <w:r w:rsidR="00C540DC">
        <w:t>ing</w:t>
      </w:r>
      <w:r w:rsidR="00CB1868">
        <w:t xml:space="preserve"> abusive behaviors</w:t>
      </w:r>
      <w:r w:rsidR="000B4B0A">
        <w:t xml:space="preserve">. </w:t>
      </w:r>
    </w:p>
    <w:p w14:paraId="5FA2FB83" w14:textId="71F32ED7" w:rsidR="00630872" w:rsidRDefault="00D40655" w:rsidP="00F664F5">
      <w:pPr>
        <w:spacing w:after="0" w:line="360" w:lineRule="auto"/>
        <w:jc w:val="both"/>
      </w:pPr>
      <w:r>
        <w:t>Because our quantitative phase was carried in an emergency department, t</w:t>
      </w:r>
      <w:r w:rsidR="00E25FBD">
        <w:t>he</w:t>
      </w:r>
      <w:r w:rsidR="00620236">
        <w:t xml:space="preserve"> </w:t>
      </w:r>
      <w:r w:rsidR="00EE2513">
        <w:t>“</w:t>
      </w:r>
      <w:r w:rsidR="00A60003" w:rsidRPr="000917BC">
        <w:t>healthy worker effect”</w:t>
      </w:r>
      <w:r w:rsidR="00EE2513">
        <w:t xml:space="preserve">, </w:t>
      </w:r>
      <w:r w:rsidR="00EE2513" w:rsidRPr="00EE2513">
        <w:rPr>
          <w:highlight w:val="yellow"/>
        </w:rPr>
        <w:t xml:space="preserve">through which workers </w:t>
      </w:r>
      <w:r w:rsidR="009B5B1C">
        <w:rPr>
          <w:highlight w:val="yellow"/>
        </w:rPr>
        <w:t xml:space="preserve">who have experienced severe workplace violence episodes, resulting in serious sequelae </w:t>
      </w:r>
      <w:r w:rsidR="00EE2513" w:rsidRPr="00EE2513">
        <w:rPr>
          <w:highlight w:val="yellow"/>
        </w:rPr>
        <w:t xml:space="preserve">are </w:t>
      </w:r>
      <w:r w:rsidR="009B5B1C">
        <w:rPr>
          <w:highlight w:val="yellow"/>
        </w:rPr>
        <w:t>less</w:t>
      </w:r>
      <w:r w:rsidR="00EE2513" w:rsidRPr="00EE2513">
        <w:rPr>
          <w:highlight w:val="yellow"/>
        </w:rPr>
        <w:t xml:space="preserve"> likely to keep on working in risk</w:t>
      </w:r>
      <w:r w:rsidR="00870C67">
        <w:rPr>
          <w:highlight w:val="yellow"/>
        </w:rPr>
        <w:t>y</w:t>
      </w:r>
      <w:r w:rsidR="00EE2513" w:rsidRPr="00EE2513">
        <w:rPr>
          <w:highlight w:val="yellow"/>
        </w:rPr>
        <w:t xml:space="preserve"> environments like emergency departments</w:t>
      </w:r>
      <w:r w:rsidR="00EE2513">
        <w:t xml:space="preserve"> </w:t>
      </w:r>
      <w:r w:rsidR="009D07A5">
        <w:fldChar w:fldCharType="begin"/>
      </w:r>
      <w:r w:rsidR="009D07A5">
        <w:instrText xml:space="preserve"> NOTEREF _Ref523475297 \h  \* MERGEFORMAT </w:instrText>
      </w:r>
      <w:r w:rsidR="009D07A5">
        <w:fldChar w:fldCharType="separate"/>
      </w:r>
      <w:r w:rsidR="008C6F64" w:rsidRPr="008C6F64">
        <w:rPr>
          <w:vertAlign w:val="superscript"/>
        </w:rPr>
        <w:t>23</w:t>
      </w:r>
      <w:r w:rsidR="009D07A5">
        <w:fldChar w:fldCharType="end"/>
      </w:r>
      <w:r w:rsidR="00F0262D" w:rsidRPr="000917BC">
        <w:t xml:space="preserve"> </w:t>
      </w:r>
      <w:r w:rsidR="00A60003" w:rsidRPr="000917BC">
        <w:t xml:space="preserve">may </w:t>
      </w:r>
      <w:r w:rsidR="00620236">
        <w:t xml:space="preserve">explain </w:t>
      </w:r>
      <w:r>
        <w:t xml:space="preserve">the self-reported </w:t>
      </w:r>
      <w:r w:rsidR="00630872">
        <w:t xml:space="preserve">low intention to quit and </w:t>
      </w:r>
      <w:r>
        <w:t xml:space="preserve">the </w:t>
      </w:r>
      <w:r w:rsidR="00630872">
        <w:t>high level of job pride.</w:t>
      </w:r>
      <w:r w:rsidRPr="00D40655">
        <w:t xml:space="preserve"> </w:t>
      </w:r>
      <w:r w:rsidR="00EE2513">
        <w:rPr>
          <w:sz w:val="16"/>
          <w:szCs w:val="16"/>
        </w:rPr>
        <w:t>Firstly, it could be the case that workers who feel unsafe to leave the ED as a place of work</w:t>
      </w:r>
    </w:p>
    <w:p w14:paraId="0A97C0E9" w14:textId="5D770A4B" w:rsidR="005333C3" w:rsidRPr="00377D65" w:rsidRDefault="00630872" w:rsidP="00F664F5">
      <w:pPr>
        <w:spacing w:after="0" w:line="360" w:lineRule="auto"/>
        <w:jc w:val="both"/>
        <w:rPr>
          <w:strike/>
        </w:rPr>
      </w:pPr>
      <w:r>
        <w:t xml:space="preserve">Although </w:t>
      </w:r>
      <w:r w:rsidR="00437762">
        <w:t>our</w:t>
      </w:r>
      <w:r>
        <w:t xml:space="preserve"> study had not been designed to determine frequencies of occurrence</w:t>
      </w:r>
      <w:r w:rsidR="00437762">
        <w:t xml:space="preserve">, a higher number of verbal </w:t>
      </w:r>
      <w:r>
        <w:t xml:space="preserve">violence </w:t>
      </w:r>
      <w:r w:rsidR="001D13E9">
        <w:t>incident</w:t>
      </w:r>
      <w:r w:rsidR="00437762">
        <w:t xml:space="preserve">s </w:t>
      </w:r>
      <w:r>
        <w:t>ha</w:t>
      </w:r>
      <w:r w:rsidR="00437762">
        <w:t>ve</w:t>
      </w:r>
      <w:r>
        <w:t xml:space="preserve"> been reported </w:t>
      </w:r>
      <w:r w:rsidR="00437762">
        <w:t>which is aligned with previous findings</w:t>
      </w:r>
      <w:r w:rsidR="00995BDD">
        <w:t>.</w:t>
      </w:r>
      <w:r w:rsidR="00437762">
        <w:rPr>
          <w:rStyle w:val="EndnoteReference"/>
        </w:rPr>
        <w:endnoteReference w:id="22"/>
      </w:r>
      <w:r w:rsidR="00995BDD">
        <w:t xml:space="preserve"> </w:t>
      </w:r>
      <w:r w:rsidR="002963B8" w:rsidRPr="00377D65">
        <w:rPr>
          <w:strike/>
        </w:rPr>
        <w:t xml:space="preserve">The relative number of physical violence </w:t>
      </w:r>
      <w:r w:rsidR="001D13E9" w:rsidRPr="00377D65">
        <w:rPr>
          <w:strike/>
        </w:rPr>
        <w:t>incident</w:t>
      </w:r>
      <w:r w:rsidR="002963B8" w:rsidRPr="00377D65">
        <w:rPr>
          <w:strike/>
        </w:rPr>
        <w:t xml:space="preserve">s was higher in the witnesses’ group which may be explained by the fact that </w:t>
      </w:r>
      <w:r w:rsidR="00F42291" w:rsidRPr="00377D65">
        <w:rPr>
          <w:strike/>
        </w:rPr>
        <w:t xml:space="preserve">being perceived as more severe, physical violence memories persist longer and come faster to one’s mind when asked to think about one violence </w:t>
      </w:r>
      <w:r w:rsidR="001D13E9" w:rsidRPr="00377D65">
        <w:rPr>
          <w:strike/>
        </w:rPr>
        <w:t>incident</w:t>
      </w:r>
      <w:r w:rsidR="00F42291" w:rsidRPr="00377D65">
        <w:rPr>
          <w:strike/>
        </w:rPr>
        <w:t xml:space="preserve"> witnessed in the previous 24 months.</w:t>
      </w:r>
    </w:p>
    <w:p w14:paraId="7AD068D5" w14:textId="375E4D0E" w:rsidR="00F42291" w:rsidRDefault="00F42291" w:rsidP="00F664F5">
      <w:pPr>
        <w:spacing w:after="0" w:line="360" w:lineRule="auto"/>
        <w:jc w:val="both"/>
      </w:pPr>
      <w:r>
        <w:t xml:space="preserve">Descriptions </w:t>
      </w:r>
      <w:r w:rsidR="008D42DA">
        <w:t>and motives mentioned</w:t>
      </w:r>
      <w:r>
        <w:t xml:space="preserve"> for </w:t>
      </w:r>
      <w:r w:rsidR="008D42DA">
        <w:t xml:space="preserve">both verbal and physical violence are similar to those </w:t>
      </w:r>
      <w:r w:rsidR="00ED7124">
        <w:t>described</w:t>
      </w:r>
      <w:r w:rsidR="00382573">
        <w:t xml:space="preserve"> elsewhere</w:t>
      </w:r>
      <w:r w:rsidR="00995BDD">
        <w:t>,</w:t>
      </w:r>
      <w:r w:rsidR="009D07A5">
        <w:fldChar w:fldCharType="begin"/>
      </w:r>
      <w:r w:rsidR="009D07A5">
        <w:instrText xml:space="preserve"> NOTEREF _Ref523475255 \h  \* MERGEFORMAT </w:instrText>
      </w:r>
      <w:r w:rsidR="009D07A5">
        <w:fldChar w:fldCharType="separate"/>
      </w:r>
      <w:r w:rsidR="008C6F64" w:rsidRPr="008C6F64">
        <w:rPr>
          <w:vertAlign w:val="superscript"/>
        </w:rPr>
        <w:t>19</w:t>
      </w:r>
      <w:r w:rsidR="009D07A5">
        <w:fldChar w:fldCharType="end"/>
      </w:r>
      <w:r w:rsidR="004856F4" w:rsidRPr="004856F4">
        <w:rPr>
          <w:vertAlign w:val="superscript"/>
        </w:rPr>
        <w:t>,</w:t>
      </w:r>
      <w:r w:rsidR="009D07A5">
        <w:fldChar w:fldCharType="begin"/>
      </w:r>
      <w:r w:rsidR="009D07A5">
        <w:instrText xml:space="preserve"> NOTEREF _Ref523475297 \h  \* MERGEFORMAT </w:instrText>
      </w:r>
      <w:r w:rsidR="009D07A5">
        <w:fldChar w:fldCharType="separate"/>
      </w:r>
      <w:r w:rsidR="008C6F64" w:rsidRPr="008C6F64">
        <w:rPr>
          <w:vertAlign w:val="superscript"/>
        </w:rPr>
        <w:t>23</w:t>
      </w:r>
      <w:r w:rsidR="009D07A5">
        <w:fldChar w:fldCharType="end"/>
      </w:r>
      <w:r w:rsidR="008D42DA">
        <w:t xml:space="preserve"> although alcohol and drug abuse </w:t>
      </w:r>
      <w:r w:rsidR="00382573">
        <w:t>(classified as psychiatric disturbances in our study) seem to have a lower expression</w:t>
      </w:r>
      <w:r w:rsidR="004856F4">
        <w:t xml:space="preserve"> </w:t>
      </w:r>
      <w:r w:rsidR="004856F4" w:rsidRPr="00377D65">
        <w:rPr>
          <w:strike/>
        </w:rPr>
        <w:t>than in other studies</w:t>
      </w:r>
      <w:r w:rsidR="004856F4">
        <w:t>.</w:t>
      </w:r>
    </w:p>
    <w:p w14:paraId="2852AA71" w14:textId="77777777" w:rsidR="004856F4" w:rsidRDefault="004856F4" w:rsidP="00F664F5">
      <w:pPr>
        <w:spacing w:after="0" w:line="360" w:lineRule="auto"/>
        <w:jc w:val="both"/>
      </w:pPr>
      <w:r>
        <w:t xml:space="preserve">The low number of </w:t>
      </w:r>
      <w:r w:rsidR="00966D30">
        <w:t xml:space="preserve">self-reported </w:t>
      </w:r>
      <w:r>
        <w:t>notifications</w:t>
      </w:r>
      <w:r w:rsidR="00966D30">
        <w:t xml:space="preserve"> </w:t>
      </w:r>
      <w:r w:rsidR="00966D30" w:rsidRPr="00377D65">
        <w:rPr>
          <w:strike/>
        </w:rPr>
        <w:t>found in our quantitative study</w:t>
      </w:r>
      <w:r w:rsidR="00966D30">
        <w:t xml:space="preserve"> </w:t>
      </w:r>
      <w:r>
        <w:t>(5 out of 21 victims)</w:t>
      </w:r>
      <w:r w:rsidR="00966D30">
        <w:t xml:space="preserve"> is consistent with the qualitative phase findings</w:t>
      </w:r>
      <w:r w:rsidR="00B93846">
        <w:t xml:space="preserve"> </w:t>
      </w:r>
      <w:r w:rsidR="0077166E">
        <w:t>and strongly</w:t>
      </w:r>
      <w:r w:rsidR="00966D30">
        <w:t xml:space="preserve"> adds to the vicious circle of ignorance and organizational lack of action that we have already referred to.</w:t>
      </w:r>
    </w:p>
    <w:p w14:paraId="06617CA8" w14:textId="4287CDC1" w:rsidR="00594D39" w:rsidRPr="00FB3276" w:rsidRDefault="00DC0E85" w:rsidP="002C5C1C">
      <w:pPr>
        <w:spacing w:after="0" w:line="360" w:lineRule="auto"/>
        <w:jc w:val="both"/>
      </w:pPr>
      <w:r w:rsidRPr="00FB3276">
        <w:t xml:space="preserve">The state of hypervigilance </w:t>
      </w:r>
      <w:r w:rsidR="002C5C1C" w:rsidRPr="00FB3276">
        <w:t xml:space="preserve">self-reported by most of the victims </w:t>
      </w:r>
      <w:r w:rsidR="002C5C1C" w:rsidRPr="00377D65">
        <w:rPr>
          <w:strike/>
        </w:rPr>
        <w:t>in our study</w:t>
      </w:r>
      <w:r w:rsidR="002C5C1C" w:rsidRPr="00FB3276">
        <w:t xml:space="preserve"> (18 out of </w:t>
      </w:r>
      <w:r w:rsidR="00FB3276">
        <w:t>21</w:t>
      </w:r>
      <w:r w:rsidR="002C5C1C" w:rsidRPr="00FB3276">
        <w:t xml:space="preserve">) </w:t>
      </w:r>
      <w:r w:rsidRPr="00FB3276">
        <w:t>reflects</w:t>
      </w:r>
      <w:r w:rsidR="00AD198E" w:rsidRPr="00FB3276">
        <w:t xml:space="preserve"> the</w:t>
      </w:r>
      <w:r w:rsidR="002C5C1C" w:rsidRPr="00FB3276">
        <w:t xml:space="preserve"> prolonged </w:t>
      </w:r>
      <w:r w:rsidR="00AD198E" w:rsidRPr="00FB3276">
        <w:t xml:space="preserve">cognitive and physiological </w:t>
      </w:r>
      <w:r w:rsidR="002C5C1C" w:rsidRPr="00FB3276">
        <w:t xml:space="preserve">activation </w:t>
      </w:r>
      <w:r w:rsidR="002A1DF9" w:rsidRPr="00FB3276">
        <w:t>related with</w:t>
      </w:r>
      <w:r w:rsidR="002C5C1C" w:rsidRPr="00FB3276">
        <w:t xml:space="preserve"> repeated exposures to threatening stressors</w:t>
      </w:r>
      <w:r w:rsidR="00995BDD">
        <w:t>.</w:t>
      </w:r>
      <w:r w:rsidR="002C5C1C" w:rsidRPr="00FB3276">
        <w:rPr>
          <w:rStyle w:val="EndnoteReference"/>
        </w:rPr>
        <w:endnoteReference w:id="23"/>
      </w:r>
      <w:r w:rsidR="002C5C1C" w:rsidRPr="00FB3276">
        <w:t xml:space="preserve"> </w:t>
      </w:r>
      <w:r w:rsidR="00594D39" w:rsidRPr="00FB3276">
        <w:t xml:space="preserve">The opinions expressed by witnesses about </w:t>
      </w:r>
      <w:r w:rsidR="00EC4969" w:rsidRPr="00FB3276">
        <w:t xml:space="preserve">the </w:t>
      </w:r>
      <w:r w:rsidR="00594D39" w:rsidRPr="00FB3276">
        <w:t xml:space="preserve">personal impact and consequences on victims </w:t>
      </w:r>
      <w:r w:rsidR="00EC4969" w:rsidRPr="00FB3276">
        <w:t xml:space="preserve">(two thirds of the </w:t>
      </w:r>
      <w:r w:rsidR="004A78A5" w:rsidRPr="00FB3276">
        <w:t>participants</w:t>
      </w:r>
      <w:r w:rsidR="00EC4969" w:rsidRPr="00FB3276">
        <w:t xml:space="preserve"> describing these effects as fear, feelings of unsafety, sadness, demotivation, exhaustion, stress and lack of professional recognition as described in the results section) </w:t>
      </w:r>
      <w:r w:rsidR="00594D39" w:rsidRPr="00FB3276">
        <w:t xml:space="preserve">are also consistent with the workplace violence theoretical </w:t>
      </w:r>
      <w:r w:rsidR="00EC4969" w:rsidRPr="00FB3276">
        <w:t>background.</w:t>
      </w:r>
      <w:r w:rsidR="00FD4D54" w:rsidRPr="00FB3276">
        <w:t xml:space="preserve"> </w:t>
      </w:r>
    </w:p>
    <w:p w14:paraId="64F7F712" w14:textId="02A2C17C" w:rsidR="00FD4D54" w:rsidRPr="00FB3276" w:rsidRDefault="00FD4D54" w:rsidP="002C5C1C">
      <w:pPr>
        <w:spacing w:after="0" w:line="360" w:lineRule="auto"/>
        <w:jc w:val="both"/>
      </w:pPr>
      <w:r w:rsidRPr="00FB3276">
        <w:t>Some of the findings concerning the noxious effects of workplace violence has also been described in healthcare workers burnout studies, previously carried out in our country</w:t>
      </w:r>
      <w:r w:rsidR="00995BDD">
        <w:t>,</w:t>
      </w:r>
      <w:r w:rsidRPr="00FB3276">
        <w:rPr>
          <w:rStyle w:val="EndnoteReference"/>
        </w:rPr>
        <w:endnoteReference w:id="24"/>
      </w:r>
      <w:r w:rsidR="00C23F10">
        <w:t xml:space="preserve"> </w:t>
      </w:r>
      <w:r w:rsidR="00742E70" w:rsidRPr="00FB3276">
        <w:t xml:space="preserve">although our study reflects </w:t>
      </w:r>
      <w:r w:rsidR="002840CB" w:rsidRPr="00FB3276">
        <w:t xml:space="preserve">mainly </w:t>
      </w:r>
      <w:r w:rsidR="00742E70" w:rsidRPr="00FB3276">
        <w:t>emotional exhaustion feelings rather than cynicism or reduced personal accomplishment.</w:t>
      </w:r>
    </w:p>
    <w:p w14:paraId="17CE56AB" w14:textId="581329A1" w:rsidR="005350E1" w:rsidRPr="00FB3276" w:rsidRDefault="005350E1" w:rsidP="002C5C1C">
      <w:pPr>
        <w:spacing w:after="0" w:line="360" w:lineRule="auto"/>
        <w:jc w:val="both"/>
      </w:pPr>
      <w:r w:rsidRPr="00FB3276">
        <w:t xml:space="preserve">One of </w:t>
      </w:r>
      <w:r w:rsidR="00D40655" w:rsidRPr="00FB3276">
        <w:t>our</w:t>
      </w:r>
      <w:r w:rsidRPr="00FB3276">
        <w:t xml:space="preserve"> most </w:t>
      </w:r>
      <w:r w:rsidR="00D40655" w:rsidRPr="00FB3276">
        <w:t>concerning</w:t>
      </w:r>
      <w:r w:rsidRPr="00FB3276">
        <w:t xml:space="preserve"> findings </w:t>
      </w:r>
      <w:r w:rsidR="00D40655" w:rsidRPr="00FB3276">
        <w:t>is the</w:t>
      </w:r>
      <w:r w:rsidRPr="00FB3276">
        <w:t xml:space="preserve"> </w:t>
      </w:r>
      <w:r w:rsidR="004A78A5" w:rsidRPr="00FB3276">
        <w:t>participants</w:t>
      </w:r>
      <w:r w:rsidRPr="00FB3276">
        <w:t xml:space="preserve">’ unfamiliarity with internal procedures on workplace violence. This unfamiliarity, </w:t>
      </w:r>
      <w:r w:rsidR="0041776B" w:rsidRPr="00FB3276">
        <w:t>common in organizations as</w:t>
      </w:r>
      <w:r w:rsidRPr="00FB3276">
        <w:t xml:space="preserve"> described by other authors</w:t>
      </w:r>
      <w:r w:rsidR="00022CD6">
        <w:t xml:space="preserve"> </w:t>
      </w:r>
      <w:r w:rsidRPr="00FB3276">
        <w:rPr>
          <w:rStyle w:val="EndnoteReference"/>
        </w:rPr>
        <w:endnoteReference w:id="25"/>
      </w:r>
      <w:r w:rsidR="00830FBC" w:rsidRPr="00FB3276">
        <w:rPr>
          <w:vertAlign w:val="superscript"/>
        </w:rPr>
        <w:t>,</w:t>
      </w:r>
      <w:r w:rsidRPr="00FB3276">
        <w:rPr>
          <w:rStyle w:val="EndnoteReference"/>
        </w:rPr>
        <w:endnoteReference w:id="26"/>
      </w:r>
      <w:r w:rsidR="00C23F10">
        <w:t xml:space="preserve">, </w:t>
      </w:r>
      <w:r w:rsidRPr="00FB3276">
        <w:t xml:space="preserve">adds to </w:t>
      </w:r>
      <w:r w:rsidR="00020287" w:rsidRPr="00FB3276">
        <w:t>and worsen</w:t>
      </w:r>
      <w:r w:rsidR="00C53F02" w:rsidRPr="00FB3276">
        <w:t>s</w:t>
      </w:r>
      <w:r w:rsidR="00020287" w:rsidRPr="00FB3276">
        <w:t xml:space="preserve"> the </w:t>
      </w:r>
      <w:r w:rsidRPr="00FB3276">
        <w:t xml:space="preserve">feelings of unsafety and loss of control </w:t>
      </w:r>
      <w:r w:rsidR="00C7257A" w:rsidRPr="00FB3276">
        <w:t>experienced in</w:t>
      </w:r>
      <w:r w:rsidRPr="00FB3276">
        <w:t xml:space="preserve"> conflict situations</w:t>
      </w:r>
      <w:r w:rsidR="00D40655" w:rsidRPr="00FB3276">
        <w:t>;</w:t>
      </w:r>
      <w:r w:rsidR="00775233" w:rsidRPr="00FB3276">
        <w:t xml:space="preserve"> the fact that it was found to be higher amongst workers with shorter tenu</w:t>
      </w:r>
      <w:r w:rsidR="007C61E3" w:rsidRPr="00FB3276">
        <w:t>r</w:t>
      </w:r>
      <w:r w:rsidR="00775233" w:rsidRPr="00FB3276">
        <w:t xml:space="preserve">es is of special concern, since </w:t>
      </w:r>
      <w:r w:rsidR="00D40655" w:rsidRPr="00FB3276">
        <w:t xml:space="preserve">it is expected that </w:t>
      </w:r>
      <w:r w:rsidR="000C0EB0" w:rsidRPr="00FB3276">
        <w:t xml:space="preserve">procedural details </w:t>
      </w:r>
      <w:r w:rsidR="00D40655" w:rsidRPr="00FB3276">
        <w:t>are</w:t>
      </w:r>
      <w:r w:rsidR="000C0EB0" w:rsidRPr="00FB3276">
        <w:t xml:space="preserve"> provided to workers as soon as they </w:t>
      </w:r>
      <w:r w:rsidR="00390AA2" w:rsidRPr="00FB3276">
        <w:t>join</w:t>
      </w:r>
      <w:r w:rsidR="000C0EB0" w:rsidRPr="00FB3276">
        <w:t xml:space="preserve"> the organization.</w:t>
      </w:r>
    </w:p>
    <w:p w14:paraId="61DF8B87" w14:textId="77777777" w:rsidR="00137B20" w:rsidRDefault="00137B20" w:rsidP="002C5C1C">
      <w:pPr>
        <w:spacing w:after="0" w:line="360" w:lineRule="auto"/>
        <w:jc w:val="both"/>
      </w:pPr>
      <w:r w:rsidRPr="00FB3276">
        <w:lastRenderedPageBreak/>
        <w:t xml:space="preserve">The </w:t>
      </w:r>
      <w:r w:rsidR="002A1DF9" w:rsidRPr="00FB3276">
        <w:t>three</w:t>
      </w:r>
      <w:r w:rsidRPr="00FB3276">
        <w:t xml:space="preserve"> classes of suggestions provided by </w:t>
      </w:r>
      <w:r w:rsidR="004A78A5" w:rsidRPr="00FB3276">
        <w:t>participants</w:t>
      </w:r>
      <w:r w:rsidRPr="00FB3276">
        <w:t xml:space="preserve"> on how to avoid or minimize workplace violence (gatekeeping the access of patients/ next of kin to working</w:t>
      </w:r>
      <w:r w:rsidRPr="00137B20">
        <w:t xml:space="preserve"> areas, increasing the number of healthcare workers </w:t>
      </w:r>
      <w:r>
        <w:t xml:space="preserve">and </w:t>
      </w:r>
      <w:r w:rsidRPr="00137B20">
        <w:t>safety agents, informing and educating patients and population</w:t>
      </w:r>
      <w:r>
        <w:t xml:space="preserve">) are adjusted to the deficiencies found in our study and it is our conviction that they should be taken into account when setting up an occupational health program specifically in this hospital. </w:t>
      </w:r>
    </w:p>
    <w:p w14:paraId="57F896BA" w14:textId="14E08380" w:rsidR="002B251F" w:rsidRDefault="000F7CD6" w:rsidP="002C5C1C">
      <w:pPr>
        <w:spacing w:after="0" w:line="360" w:lineRule="auto"/>
        <w:jc w:val="both"/>
      </w:pPr>
      <w:r w:rsidRPr="000F7CD6">
        <w:rPr>
          <w:highlight w:val="yellow"/>
        </w:rPr>
        <w:t>Based on other authors’ work</w:t>
      </w:r>
      <w:r w:rsidRPr="000F7CD6">
        <w:rPr>
          <w:highlight w:val="yellow"/>
          <w:vertAlign w:val="superscript"/>
        </w:rPr>
        <w:t>13-17</w:t>
      </w:r>
      <w:r w:rsidRPr="000F7CD6">
        <w:rPr>
          <w:highlight w:val="yellow"/>
        </w:rPr>
        <w:t xml:space="preserve"> and on our own knowledge of occupational health issues</w:t>
      </w:r>
      <w:r>
        <w:t>, w</w:t>
      </w:r>
      <w:r w:rsidR="002B251F">
        <w:t>e recommend that interventional strategies directed to the improvement of working environment safety should also include a clear upper management endorsement, notification encouragement across the whole organization</w:t>
      </w:r>
      <w:r w:rsidR="00A474B3">
        <w:t xml:space="preserve">, </w:t>
      </w:r>
      <w:r w:rsidR="00706F4C">
        <w:t xml:space="preserve">risk </w:t>
      </w:r>
      <w:r w:rsidR="00AF7B42">
        <w:t xml:space="preserve">assessment and stratification </w:t>
      </w:r>
      <w:r w:rsidR="00706F4C">
        <w:t xml:space="preserve">to prioritize interventions amongst the various physical areas, </w:t>
      </w:r>
      <w:r w:rsidR="00A474B3">
        <w:t>training and follow-ups on workplace violence procedures provided to all workers at risk, definition of sanctions to violent patients and their next of kin and ensuring sufficient occupational health personnel so that all strategies can be successfully implemented</w:t>
      </w:r>
      <w:r w:rsidR="00706F4C">
        <w:t>. These prevention strategies should be</w:t>
      </w:r>
      <w:r w:rsidR="002B251F">
        <w:t xml:space="preserve"> complemented </w:t>
      </w:r>
      <w:r w:rsidR="00D965A0">
        <w:t>by</w:t>
      </w:r>
      <w:r w:rsidR="002B251F">
        <w:t xml:space="preserve"> a medical surveillance protocol specifically directed to workers </w:t>
      </w:r>
      <w:r w:rsidR="00706F4C">
        <w:t xml:space="preserve">at higher risk, including those who have been victims of violence </w:t>
      </w:r>
      <w:r w:rsidR="001D13E9">
        <w:t>incident</w:t>
      </w:r>
      <w:r w:rsidR="00706F4C">
        <w:t>s.</w:t>
      </w:r>
      <w:r w:rsidR="006B31C4">
        <w:t xml:space="preserve"> </w:t>
      </w:r>
      <w:r w:rsidR="00706F4C">
        <w:t xml:space="preserve">This surveillance protocol should specifically ensure </w:t>
      </w:r>
      <w:r w:rsidR="00461593">
        <w:t xml:space="preserve">also </w:t>
      </w:r>
      <w:r w:rsidR="00706F4C">
        <w:t>the monitoring of workers’ mental health.</w:t>
      </w:r>
    </w:p>
    <w:p w14:paraId="3653292D" w14:textId="55ED3959" w:rsidR="007C666B" w:rsidRPr="000917BC" w:rsidRDefault="00FB3CA2" w:rsidP="007C666B">
      <w:pPr>
        <w:spacing w:after="0" w:line="360" w:lineRule="auto"/>
        <w:jc w:val="both"/>
      </w:pPr>
      <w:r w:rsidRPr="00FB3CA2">
        <w:t>The main limitation</w:t>
      </w:r>
      <w:r w:rsidR="00A56662">
        <w:t>s</w:t>
      </w:r>
      <w:r w:rsidRPr="00FB3CA2">
        <w:t xml:space="preserve"> </w:t>
      </w:r>
      <w:r w:rsidR="00461593">
        <w:t>of</w:t>
      </w:r>
      <w:r w:rsidRPr="00FB3CA2">
        <w:t xml:space="preserve"> our study </w:t>
      </w:r>
      <w:r w:rsidR="00A56662">
        <w:t>are</w:t>
      </w:r>
      <w:r w:rsidRPr="00FB3CA2">
        <w:t xml:space="preserve"> the small sample size</w:t>
      </w:r>
      <w:r w:rsidR="00734F1B">
        <w:t>,</w:t>
      </w:r>
      <w:r w:rsidR="00A56662">
        <w:t xml:space="preserve"> </w:t>
      </w:r>
      <w:r w:rsidR="00A56662" w:rsidRPr="00A56662">
        <w:rPr>
          <w:highlight w:val="yellow"/>
        </w:rPr>
        <w:t>the opportunistic basis of participants selection (instead of a randomization approach</w:t>
      </w:r>
      <w:r w:rsidR="00A56662" w:rsidRPr="00734F1B">
        <w:rPr>
          <w:highlight w:val="yellow"/>
        </w:rPr>
        <w:t>)</w:t>
      </w:r>
      <w:r w:rsidR="00B83BAD" w:rsidRPr="00734F1B">
        <w:rPr>
          <w:highlight w:val="yellow"/>
        </w:rPr>
        <w:t xml:space="preserve"> </w:t>
      </w:r>
      <w:r w:rsidR="00734F1B" w:rsidRPr="00734F1B">
        <w:rPr>
          <w:highlight w:val="yellow"/>
        </w:rPr>
        <w:t xml:space="preserve">and the absence of </w:t>
      </w:r>
      <w:r w:rsidR="004138D5">
        <w:rPr>
          <w:highlight w:val="yellow"/>
        </w:rPr>
        <w:t xml:space="preserve">formal </w:t>
      </w:r>
      <w:r w:rsidR="00734F1B" w:rsidRPr="00734F1B">
        <w:rPr>
          <w:highlight w:val="yellow"/>
        </w:rPr>
        <w:t xml:space="preserve">quality </w:t>
      </w:r>
      <w:r w:rsidR="00734F1B" w:rsidRPr="004F30DD">
        <w:rPr>
          <w:highlight w:val="yellow"/>
        </w:rPr>
        <w:t>control</w:t>
      </w:r>
      <w:r w:rsidR="004F30DD" w:rsidRPr="004F30DD">
        <w:rPr>
          <w:highlight w:val="yellow"/>
        </w:rPr>
        <w:t xml:space="preserve"> in the qualitative phase</w:t>
      </w:r>
      <w:r w:rsidRPr="00FB3CA2">
        <w:t>. As other limitation</w:t>
      </w:r>
      <w:r w:rsidR="005235AB">
        <w:t>s</w:t>
      </w:r>
      <w:r w:rsidRPr="00FB3CA2">
        <w:t xml:space="preserve">, we point out two aspects that may have contributed to an information bias of unknown extent. First, because it was based on questionnaires directed to events that could have happened up to 24 months before the time of enquiry, the accuracy of some of the data collected could have been impaired by memory. Second, </w:t>
      </w:r>
      <w:bookmarkStart w:id="22" w:name="_Hlk10469321"/>
      <w:r w:rsidRPr="00443884">
        <w:rPr>
          <w:strike/>
        </w:rPr>
        <w:t>the fact that we have</w:t>
      </w:r>
      <w:r w:rsidRPr="00FB3CA2">
        <w:t xml:space="preserve"> </w:t>
      </w:r>
      <w:r w:rsidR="00443884">
        <w:t xml:space="preserve">having </w:t>
      </w:r>
      <w:r w:rsidRPr="00FB3CA2">
        <w:t>only listened to one version of the facts (aggressors have not been enquired) could have also led to a somehow distorted picture of the violence incident and its circumstances</w:t>
      </w:r>
      <w:bookmarkEnd w:id="22"/>
      <w:r w:rsidRPr="00FB3CA2">
        <w:t>.</w:t>
      </w:r>
      <w:r w:rsidR="005235AB">
        <w:t xml:space="preserve"> </w:t>
      </w:r>
      <w:r w:rsidR="007C666B" w:rsidRPr="007C666B">
        <w:rPr>
          <w:highlight w:val="yellow"/>
        </w:rPr>
        <w:t>Finally, the type of the physical injury as well as its localization, severity and prognosis were not explored in depth.</w:t>
      </w:r>
    </w:p>
    <w:p w14:paraId="76BB51DB" w14:textId="734EEFD1" w:rsidR="00EE646A" w:rsidRDefault="00EE646A" w:rsidP="007C666B">
      <w:pPr>
        <w:spacing w:after="0" w:line="360" w:lineRule="auto"/>
        <w:jc w:val="both"/>
        <w:rPr>
          <w:b/>
        </w:rPr>
      </w:pPr>
    </w:p>
    <w:p w14:paraId="0B403B2B" w14:textId="77777777" w:rsidR="00466B22" w:rsidRPr="00706F4C" w:rsidRDefault="00466B22" w:rsidP="00EE646A">
      <w:pPr>
        <w:rPr>
          <w:b/>
        </w:rPr>
      </w:pPr>
      <w:r w:rsidRPr="00706F4C">
        <w:rPr>
          <w:b/>
        </w:rPr>
        <w:t>CONCLUSIONS</w:t>
      </w:r>
    </w:p>
    <w:p w14:paraId="700BEF63" w14:textId="394F7050" w:rsidR="00B021EB" w:rsidRPr="00A32099" w:rsidRDefault="00BC6001" w:rsidP="00B021EB">
      <w:pPr>
        <w:spacing w:after="0" w:line="360" w:lineRule="auto"/>
        <w:jc w:val="both"/>
        <w:rPr>
          <w:b/>
        </w:rPr>
      </w:pPr>
      <w:r>
        <w:t xml:space="preserve">Our results show that workplace violence is an important </w:t>
      </w:r>
      <w:r w:rsidR="00461593">
        <w:t>occupational hazard</w:t>
      </w:r>
      <w:r>
        <w:t xml:space="preserve"> that significantly impacts workers’ health and wellbeing in a noxious manner</w:t>
      </w:r>
      <w:r w:rsidR="00001757">
        <w:t xml:space="preserve">. </w:t>
      </w:r>
      <w:r w:rsidR="00001757" w:rsidRPr="00032004">
        <w:rPr>
          <w:highlight w:val="yellow"/>
        </w:rPr>
        <w:t xml:space="preserve">Familiarity on internal notifications procedures and </w:t>
      </w:r>
      <w:r w:rsidR="00032004" w:rsidRPr="00032004">
        <w:rPr>
          <w:highlight w:val="yellow"/>
        </w:rPr>
        <w:t>workplace safety are areas of improvement that have been clearly identified, as well as interventional strategies directed to these improvements</w:t>
      </w:r>
      <w:r w:rsidR="00032004">
        <w:t xml:space="preserve">. </w:t>
      </w:r>
      <w:r w:rsidRPr="00032004">
        <w:rPr>
          <w:strike/>
        </w:rPr>
        <w:t xml:space="preserve">deserving </w:t>
      </w:r>
      <w:r w:rsidR="00461593" w:rsidRPr="00032004">
        <w:rPr>
          <w:strike/>
        </w:rPr>
        <w:t>definition of</w:t>
      </w:r>
      <w:r w:rsidR="005833CA" w:rsidRPr="00032004">
        <w:rPr>
          <w:strike/>
        </w:rPr>
        <w:t xml:space="preserve"> priority areas </w:t>
      </w:r>
      <w:r w:rsidR="00AD6BC5" w:rsidRPr="00032004">
        <w:rPr>
          <w:strike/>
        </w:rPr>
        <w:t>and strategies</w:t>
      </w:r>
      <w:r w:rsidR="00461593">
        <w:t>.</w:t>
      </w:r>
      <w:r w:rsidR="00AD6BC5">
        <w:t xml:space="preserve"> </w:t>
      </w:r>
      <w:r w:rsidR="00CF0F4F" w:rsidRPr="00CF0F4F">
        <w:rPr>
          <w:highlight w:val="yellow"/>
        </w:rPr>
        <w:t>Specific programs designed to increase notification rates should also be further studied in order to identify best in class strategies.</w:t>
      </w:r>
      <w:r w:rsidR="00CF0F4F">
        <w:t xml:space="preserve">  </w:t>
      </w:r>
    </w:p>
    <w:p w14:paraId="14EB8F65" w14:textId="77777777" w:rsidR="00683909" w:rsidRDefault="00683909" w:rsidP="00830FBC">
      <w:pPr>
        <w:spacing w:after="0" w:line="360" w:lineRule="auto"/>
        <w:jc w:val="both"/>
        <w:rPr>
          <w:b/>
        </w:rPr>
      </w:pPr>
    </w:p>
    <w:p w14:paraId="2BE8D4DC" w14:textId="77777777" w:rsidR="00416FEB" w:rsidRPr="00497ABD" w:rsidRDefault="00497ABD" w:rsidP="00830FBC">
      <w:pPr>
        <w:spacing w:after="0" w:line="360" w:lineRule="auto"/>
        <w:jc w:val="both"/>
        <w:rPr>
          <w:b/>
        </w:rPr>
      </w:pPr>
      <w:r w:rsidRPr="00497ABD">
        <w:rPr>
          <w:b/>
        </w:rPr>
        <w:t xml:space="preserve">Data confidentiality and anonymity </w:t>
      </w:r>
    </w:p>
    <w:p w14:paraId="1E3AB41F" w14:textId="77777777" w:rsidR="00497ABD" w:rsidRDefault="00497ABD" w:rsidP="00830FBC">
      <w:pPr>
        <w:spacing w:after="0" w:line="360" w:lineRule="auto"/>
        <w:jc w:val="both"/>
      </w:pPr>
      <w:r>
        <w:t xml:space="preserve">The authors declare having followed the protocols in use in their working center regarding data publication. </w:t>
      </w:r>
      <w:r w:rsidR="00FB3276">
        <w:t>Individuals’ p</w:t>
      </w:r>
      <w:r>
        <w:t>articipation demanded an oral consent. Written consents were waived.</w:t>
      </w:r>
    </w:p>
    <w:p w14:paraId="4D1CC594" w14:textId="77777777" w:rsidR="00064476" w:rsidRDefault="00064476" w:rsidP="00636813">
      <w:pPr>
        <w:spacing w:after="0" w:line="360" w:lineRule="auto"/>
        <w:jc w:val="both"/>
        <w:rPr>
          <w:b/>
        </w:rPr>
      </w:pPr>
    </w:p>
    <w:p w14:paraId="63D4A112" w14:textId="77777777" w:rsidR="00497ABD" w:rsidRPr="00636813" w:rsidRDefault="00497ABD" w:rsidP="00636813">
      <w:pPr>
        <w:spacing w:after="0" w:line="360" w:lineRule="auto"/>
        <w:jc w:val="both"/>
        <w:rPr>
          <w:b/>
        </w:rPr>
      </w:pPr>
      <w:r w:rsidRPr="00636813">
        <w:rPr>
          <w:b/>
        </w:rPr>
        <w:t>Conflicts of interest</w:t>
      </w:r>
    </w:p>
    <w:p w14:paraId="6F34155D" w14:textId="77777777" w:rsidR="00497ABD" w:rsidRDefault="00497ABD" w:rsidP="00636813">
      <w:pPr>
        <w:spacing w:after="0" w:line="360" w:lineRule="auto"/>
        <w:jc w:val="both"/>
      </w:pPr>
      <w:r>
        <w:t>The authors have no conflicts of interest to declare</w:t>
      </w:r>
      <w:r w:rsidR="00636813">
        <w:t>.</w:t>
      </w:r>
    </w:p>
    <w:p w14:paraId="60FDB5B0" w14:textId="77777777" w:rsidR="00636813" w:rsidRPr="00636813" w:rsidRDefault="00636813" w:rsidP="00636813">
      <w:pPr>
        <w:spacing w:after="0" w:line="360" w:lineRule="auto"/>
        <w:jc w:val="both"/>
        <w:rPr>
          <w:b/>
        </w:rPr>
      </w:pPr>
      <w:r w:rsidRPr="00636813">
        <w:rPr>
          <w:b/>
        </w:rPr>
        <w:t>Funding sources</w:t>
      </w:r>
    </w:p>
    <w:p w14:paraId="59333459" w14:textId="4D017143" w:rsidR="006F51E6" w:rsidRDefault="00636813" w:rsidP="006F51E6">
      <w:pPr>
        <w:tabs>
          <w:tab w:val="left" w:pos="5400"/>
        </w:tabs>
        <w:spacing w:after="0" w:line="360" w:lineRule="auto"/>
        <w:jc w:val="both"/>
      </w:pPr>
      <w:r>
        <w:t>This research has not been funded</w:t>
      </w:r>
    </w:p>
    <w:p w14:paraId="4B62FE97" w14:textId="1FA49DB3" w:rsidR="00641766" w:rsidRDefault="00641766">
      <w:r>
        <w:br w:type="page"/>
      </w:r>
    </w:p>
    <w:p w14:paraId="6D5E527E" w14:textId="078595CF" w:rsidR="00641766" w:rsidRPr="0079726A" w:rsidRDefault="00641766" w:rsidP="00641766">
      <w:pPr>
        <w:spacing w:after="0" w:line="240" w:lineRule="auto"/>
        <w:rPr>
          <w:rFonts w:ascii="Calibri" w:eastAsia="Times New Roman" w:hAnsi="Calibri" w:cs="Calibri"/>
          <w:color w:val="000000"/>
          <w:highlight w:val="yellow"/>
        </w:rPr>
      </w:pPr>
      <w:r w:rsidRPr="009432FC">
        <w:rPr>
          <w:rFonts w:ascii="Calibri" w:eastAsia="Times New Roman" w:hAnsi="Calibri" w:cs="Calibri"/>
          <w:color w:val="000000"/>
          <w:highlight w:val="yellow"/>
        </w:rPr>
        <w:lastRenderedPageBreak/>
        <w:t>Table 1 - Demographic characteristics of the qua</w:t>
      </w:r>
      <w:r w:rsidR="0079726A">
        <w:rPr>
          <w:rFonts w:ascii="Calibri" w:eastAsia="Times New Roman" w:hAnsi="Calibri" w:cs="Calibri"/>
          <w:color w:val="000000"/>
          <w:highlight w:val="yellow"/>
        </w:rPr>
        <w:t>li</w:t>
      </w:r>
      <w:r w:rsidRPr="009432FC">
        <w:rPr>
          <w:rFonts w:ascii="Calibri" w:eastAsia="Times New Roman" w:hAnsi="Calibri" w:cs="Calibri"/>
          <w:color w:val="000000"/>
          <w:highlight w:val="yellow"/>
        </w:rPr>
        <w:t>tative study participants (n=6).</w:t>
      </w:r>
    </w:p>
    <w:p w14:paraId="568F986B" w14:textId="77777777" w:rsidR="00641766" w:rsidRDefault="00641766" w:rsidP="00641766">
      <w:pPr>
        <w:spacing w:after="0" w:line="240" w:lineRule="auto"/>
        <w:rPr>
          <w:rFonts w:ascii="Calibri" w:eastAsia="Times New Roman" w:hAnsi="Calibri" w:cs="Calibri"/>
          <w:color w:val="000000"/>
        </w:rPr>
      </w:pPr>
    </w:p>
    <w:tbl>
      <w:tblPr>
        <w:tblStyle w:val="TableGrid"/>
        <w:tblW w:w="0" w:type="auto"/>
        <w:tblLook w:val="04A0" w:firstRow="1" w:lastRow="0" w:firstColumn="1" w:lastColumn="0" w:noHBand="0" w:noVBand="1"/>
      </w:tblPr>
      <w:tblGrid>
        <w:gridCol w:w="1413"/>
        <w:gridCol w:w="992"/>
        <w:gridCol w:w="1134"/>
        <w:gridCol w:w="3402"/>
        <w:gridCol w:w="1418"/>
      </w:tblGrid>
      <w:tr w:rsidR="00641766" w14:paraId="66D3ED43" w14:textId="77777777" w:rsidTr="00B61AFF">
        <w:trPr>
          <w:trHeight w:val="438"/>
        </w:trPr>
        <w:tc>
          <w:tcPr>
            <w:tcW w:w="1413" w:type="dxa"/>
          </w:tcPr>
          <w:p w14:paraId="5DD72965" w14:textId="77777777" w:rsidR="00641766" w:rsidRPr="00A21CBA" w:rsidRDefault="00641766" w:rsidP="00B61AFF">
            <w:pPr>
              <w:jc w:val="center"/>
              <w:rPr>
                <w:rFonts w:ascii="Calibri" w:eastAsia="Times New Roman" w:hAnsi="Calibri" w:cs="Calibri"/>
                <w:b/>
                <w:color w:val="000000"/>
                <w:sz w:val="16"/>
              </w:rPr>
            </w:pPr>
            <w:r>
              <w:rPr>
                <w:rFonts w:ascii="Calibri" w:eastAsia="Times New Roman" w:hAnsi="Calibri" w:cs="Calibri"/>
                <w:b/>
                <w:color w:val="000000"/>
                <w:sz w:val="16"/>
              </w:rPr>
              <w:t>Participants</w:t>
            </w:r>
          </w:p>
        </w:tc>
        <w:tc>
          <w:tcPr>
            <w:tcW w:w="992" w:type="dxa"/>
          </w:tcPr>
          <w:p w14:paraId="225BF071" w14:textId="77777777" w:rsidR="00641766" w:rsidRPr="00A21CBA" w:rsidRDefault="00641766" w:rsidP="00B61AFF">
            <w:pPr>
              <w:jc w:val="center"/>
              <w:rPr>
                <w:rFonts w:ascii="Calibri" w:eastAsia="Times New Roman" w:hAnsi="Calibri" w:cs="Calibri"/>
                <w:b/>
                <w:color w:val="000000"/>
                <w:sz w:val="16"/>
              </w:rPr>
            </w:pPr>
            <w:r w:rsidRPr="00A21CBA">
              <w:rPr>
                <w:rFonts w:ascii="Calibri" w:eastAsia="Times New Roman" w:hAnsi="Calibri" w:cs="Calibri"/>
                <w:b/>
                <w:color w:val="000000"/>
                <w:sz w:val="16"/>
              </w:rPr>
              <w:t>Gender</w:t>
            </w:r>
          </w:p>
        </w:tc>
        <w:tc>
          <w:tcPr>
            <w:tcW w:w="1134" w:type="dxa"/>
          </w:tcPr>
          <w:p w14:paraId="3C23F658" w14:textId="77777777" w:rsidR="00641766" w:rsidRDefault="00641766" w:rsidP="00B61AFF">
            <w:pPr>
              <w:jc w:val="center"/>
              <w:rPr>
                <w:rFonts w:ascii="Calibri" w:eastAsia="Times New Roman" w:hAnsi="Calibri" w:cs="Calibri"/>
                <w:b/>
                <w:color w:val="000000"/>
                <w:sz w:val="16"/>
              </w:rPr>
            </w:pPr>
            <w:r w:rsidRPr="00A21CBA">
              <w:rPr>
                <w:rFonts w:ascii="Calibri" w:eastAsia="Times New Roman" w:hAnsi="Calibri" w:cs="Calibri"/>
                <w:b/>
                <w:color w:val="000000"/>
                <w:sz w:val="16"/>
              </w:rPr>
              <w:t>Age</w:t>
            </w:r>
          </w:p>
          <w:p w14:paraId="4AAE58E6" w14:textId="77777777" w:rsidR="00641766" w:rsidRPr="00A21CBA" w:rsidRDefault="00641766" w:rsidP="00B61AFF">
            <w:pPr>
              <w:jc w:val="center"/>
              <w:rPr>
                <w:rFonts w:ascii="Calibri" w:eastAsia="Times New Roman" w:hAnsi="Calibri" w:cs="Calibri"/>
                <w:b/>
                <w:color w:val="000000"/>
                <w:sz w:val="16"/>
              </w:rPr>
            </w:pPr>
            <w:r>
              <w:rPr>
                <w:rFonts w:ascii="Calibri" w:eastAsia="Times New Roman" w:hAnsi="Calibri" w:cs="Calibri"/>
                <w:b/>
                <w:color w:val="000000"/>
                <w:sz w:val="16"/>
              </w:rPr>
              <w:t>(years)</w:t>
            </w:r>
          </w:p>
        </w:tc>
        <w:tc>
          <w:tcPr>
            <w:tcW w:w="3402" w:type="dxa"/>
          </w:tcPr>
          <w:p w14:paraId="1D953B9C" w14:textId="77777777" w:rsidR="00641766" w:rsidRPr="00A21CBA" w:rsidRDefault="00641766" w:rsidP="00B61AFF">
            <w:pPr>
              <w:jc w:val="center"/>
              <w:rPr>
                <w:rFonts w:ascii="Calibri" w:eastAsia="Times New Roman" w:hAnsi="Calibri" w:cs="Calibri"/>
                <w:b/>
                <w:color w:val="000000"/>
                <w:sz w:val="16"/>
              </w:rPr>
            </w:pPr>
            <w:r w:rsidRPr="00A21CBA">
              <w:rPr>
                <w:rFonts w:ascii="Calibri" w:eastAsia="Times New Roman" w:hAnsi="Calibri" w:cs="Calibri"/>
                <w:b/>
                <w:color w:val="000000"/>
                <w:sz w:val="16"/>
              </w:rPr>
              <w:t>Professional category</w:t>
            </w:r>
            <w:r>
              <w:rPr>
                <w:rFonts w:ascii="Calibri" w:eastAsia="Times New Roman" w:hAnsi="Calibri" w:cs="Calibri"/>
                <w:b/>
                <w:color w:val="000000"/>
                <w:sz w:val="16"/>
              </w:rPr>
              <w:t>/ department</w:t>
            </w:r>
          </w:p>
        </w:tc>
        <w:tc>
          <w:tcPr>
            <w:tcW w:w="1418" w:type="dxa"/>
          </w:tcPr>
          <w:p w14:paraId="011C912A" w14:textId="77777777" w:rsidR="00641766" w:rsidRPr="00A21CBA" w:rsidRDefault="00641766" w:rsidP="00B61AFF">
            <w:pPr>
              <w:jc w:val="center"/>
              <w:rPr>
                <w:rFonts w:ascii="Calibri" w:eastAsia="Times New Roman" w:hAnsi="Calibri" w:cs="Calibri"/>
                <w:b/>
                <w:color w:val="000000"/>
                <w:sz w:val="16"/>
              </w:rPr>
            </w:pPr>
            <w:r w:rsidRPr="00A21CBA">
              <w:rPr>
                <w:rFonts w:ascii="Calibri" w:eastAsia="Times New Roman" w:hAnsi="Calibri" w:cs="Calibri"/>
                <w:b/>
                <w:color w:val="000000"/>
                <w:sz w:val="16"/>
              </w:rPr>
              <w:t>Tenure in the hospital</w:t>
            </w:r>
          </w:p>
          <w:p w14:paraId="3FF9A24B" w14:textId="77777777" w:rsidR="00641766" w:rsidRPr="00A21CBA" w:rsidRDefault="00641766" w:rsidP="00B61AFF">
            <w:pPr>
              <w:jc w:val="center"/>
              <w:rPr>
                <w:rFonts w:ascii="Calibri" w:eastAsia="Times New Roman" w:hAnsi="Calibri" w:cs="Calibri"/>
                <w:b/>
                <w:color w:val="000000"/>
                <w:sz w:val="16"/>
              </w:rPr>
            </w:pPr>
            <w:r>
              <w:rPr>
                <w:rFonts w:ascii="Calibri" w:eastAsia="Times New Roman" w:hAnsi="Calibri" w:cs="Calibri"/>
                <w:b/>
                <w:color w:val="000000"/>
                <w:sz w:val="16"/>
              </w:rPr>
              <w:t>(years)</w:t>
            </w:r>
          </w:p>
        </w:tc>
      </w:tr>
      <w:tr w:rsidR="00641766" w14:paraId="761D7867" w14:textId="77777777" w:rsidTr="00B61AFF">
        <w:tc>
          <w:tcPr>
            <w:tcW w:w="1413" w:type="dxa"/>
          </w:tcPr>
          <w:p w14:paraId="6B421CB9" w14:textId="77777777" w:rsidR="00641766" w:rsidRPr="006C646E" w:rsidRDefault="00641766" w:rsidP="00B61AFF">
            <w:pPr>
              <w:jc w:val="center"/>
              <w:rPr>
                <w:rFonts w:ascii="Calibri" w:eastAsia="Times New Roman" w:hAnsi="Calibri" w:cs="Calibri"/>
                <w:color w:val="000000"/>
                <w:sz w:val="20"/>
              </w:rPr>
            </w:pPr>
            <w:r w:rsidRPr="006C646E">
              <w:rPr>
                <w:rFonts w:ascii="Calibri" w:eastAsia="Times New Roman" w:hAnsi="Calibri" w:cs="Calibri"/>
                <w:color w:val="000000"/>
                <w:sz w:val="20"/>
              </w:rPr>
              <w:t>Participant 1</w:t>
            </w:r>
          </w:p>
        </w:tc>
        <w:tc>
          <w:tcPr>
            <w:tcW w:w="992" w:type="dxa"/>
          </w:tcPr>
          <w:p w14:paraId="6254C8EF" w14:textId="77777777" w:rsidR="00641766" w:rsidRPr="006C646E" w:rsidRDefault="00641766" w:rsidP="00B61AFF">
            <w:pPr>
              <w:jc w:val="center"/>
              <w:rPr>
                <w:rFonts w:ascii="Calibri" w:eastAsia="Times New Roman" w:hAnsi="Calibri" w:cs="Calibri"/>
                <w:color w:val="000000"/>
                <w:sz w:val="20"/>
              </w:rPr>
            </w:pPr>
            <w:r w:rsidRPr="006C646E">
              <w:rPr>
                <w:rFonts w:ascii="Calibri" w:eastAsia="Times New Roman" w:hAnsi="Calibri" w:cs="Calibri"/>
                <w:color w:val="000000"/>
                <w:sz w:val="20"/>
              </w:rPr>
              <w:t>M</w:t>
            </w:r>
          </w:p>
        </w:tc>
        <w:tc>
          <w:tcPr>
            <w:tcW w:w="1134" w:type="dxa"/>
          </w:tcPr>
          <w:p w14:paraId="69AD7008" w14:textId="77777777" w:rsidR="00641766" w:rsidRPr="006C646E" w:rsidRDefault="00641766" w:rsidP="00B61AFF">
            <w:pPr>
              <w:jc w:val="center"/>
              <w:rPr>
                <w:rFonts w:ascii="Calibri" w:eastAsia="Times New Roman" w:hAnsi="Calibri" w:cs="Calibri"/>
                <w:color w:val="000000"/>
                <w:sz w:val="20"/>
              </w:rPr>
            </w:pPr>
            <w:r w:rsidRPr="006C646E">
              <w:rPr>
                <w:rFonts w:ascii="Calibri" w:eastAsia="Times New Roman" w:hAnsi="Calibri" w:cs="Calibri"/>
                <w:color w:val="000000"/>
                <w:sz w:val="20"/>
              </w:rPr>
              <w:t>52</w:t>
            </w:r>
          </w:p>
        </w:tc>
        <w:tc>
          <w:tcPr>
            <w:tcW w:w="3402" w:type="dxa"/>
          </w:tcPr>
          <w:p w14:paraId="3DAFE2BC" w14:textId="77777777" w:rsidR="00641766" w:rsidRDefault="00641766" w:rsidP="00B61AFF">
            <w:pPr>
              <w:jc w:val="center"/>
              <w:rPr>
                <w:rFonts w:ascii="Calibri" w:eastAsia="Times New Roman" w:hAnsi="Calibri" w:cs="Calibri"/>
                <w:color w:val="000000"/>
              </w:rPr>
            </w:pPr>
            <w:r w:rsidRPr="008C6F64">
              <w:rPr>
                <w:rFonts w:ascii="Calibri" w:eastAsia="Times New Roman" w:hAnsi="Calibri" w:cs="Calibri"/>
                <w:color w:val="000000"/>
                <w:sz w:val="20"/>
              </w:rPr>
              <w:t>technical assistant</w:t>
            </w:r>
            <w:r>
              <w:rPr>
                <w:rFonts w:ascii="Calibri" w:eastAsia="Times New Roman" w:hAnsi="Calibri" w:cs="Calibri"/>
                <w:color w:val="000000"/>
                <w:sz w:val="20"/>
              </w:rPr>
              <w:t xml:space="preserve">/emergency </w:t>
            </w:r>
          </w:p>
        </w:tc>
        <w:tc>
          <w:tcPr>
            <w:tcW w:w="1418" w:type="dxa"/>
          </w:tcPr>
          <w:p w14:paraId="1F9A1B7E" w14:textId="77777777" w:rsidR="00641766" w:rsidRPr="006C646E" w:rsidRDefault="00641766" w:rsidP="00B61AFF">
            <w:pPr>
              <w:jc w:val="center"/>
              <w:rPr>
                <w:rFonts w:ascii="Calibri" w:eastAsia="Times New Roman" w:hAnsi="Calibri" w:cs="Calibri"/>
                <w:color w:val="000000"/>
                <w:sz w:val="20"/>
              </w:rPr>
            </w:pPr>
            <w:r w:rsidRPr="006C646E">
              <w:rPr>
                <w:rFonts w:ascii="Calibri" w:eastAsia="Times New Roman" w:hAnsi="Calibri" w:cs="Calibri"/>
                <w:color w:val="000000"/>
                <w:sz w:val="20"/>
              </w:rPr>
              <w:t>10</w:t>
            </w:r>
          </w:p>
        </w:tc>
      </w:tr>
      <w:tr w:rsidR="00641766" w14:paraId="06D4936B" w14:textId="77777777" w:rsidTr="00B61AFF">
        <w:tc>
          <w:tcPr>
            <w:tcW w:w="1413" w:type="dxa"/>
          </w:tcPr>
          <w:p w14:paraId="63A0FA22" w14:textId="77777777" w:rsidR="00641766" w:rsidRPr="006C646E" w:rsidRDefault="00641766" w:rsidP="00B61AFF">
            <w:pPr>
              <w:jc w:val="center"/>
              <w:rPr>
                <w:rFonts w:ascii="Calibri" w:eastAsia="Times New Roman" w:hAnsi="Calibri" w:cs="Calibri"/>
                <w:color w:val="000000"/>
                <w:sz w:val="20"/>
              </w:rPr>
            </w:pPr>
            <w:r w:rsidRPr="006C646E">
              <w:rPr>
                <w:rFonts w:ascii="Calibri" w:eastAsia="Times New Roman" w:hAnsi="Calibri" w:cs="Calibri"/>
                <w:color w:val="000000"/>
                <w:sz w:val="20"/>
              </w:rPr>
              <w:t>Participant 2</w:t>
            </w:r>
          </w:p>
        </w:tc>
        <w:tc>
          <w:tcPr>
            <w:tcW w:w="992" w:type="dxa"/>
          </w:tcPr>
          <w:p w14:paraId="31A8C7CA" w14:textId="77777777" w:rsidR="00641766" w:rsidRPr="006C646E" w:rsidRDefault="00641766" w:rsidP="00B61AFF">
            <w:pPr>
              <w:jc w:val="center"/>
              <w:rPr>
                <w:rFonts w:ascii="Calibri" w:eastAsia="Times New Roman" w:hAnsi="Calibri" w:cs="Calibri"/>
                <w:color w:val="000000"/>
                <w:sz w:val="20"/>
              </w:rPr>
            </w:pPr>
            <w:r>
              <w:rPr>
                <w:rFonts w:ascii="Calibri" w:eastAsia="Times New Roman" w:hAnsi="Calibri" w:cs="Calibri"/>
                <w:color w:val="000000"/>
                <w:sz w:val="20"/>
              </w:rPr>
              <w:t>F</w:t>
            </w:r>
          </w:p>
        </w:tc>
        <w:tc>
          <w:tcPr>
            <w:tcW w:w="1134" w:type="dxa"/>
          </w:tcPr>
          <w:p w14:paraId="33055744" w14:textId="77777777" w:rsidR="00641766" w:rsidRPr="006C646E" w:rsidRDefault="00641766" w:rsidP="00B61AFF">
            <w:pPr>
              <w:jc w:val="center"/>
              <w:rPr>
                <w:rFonts w:ascii="Calibri" w:eastAsia="Times New Roman" w:hAnsi="Calibri" w:cs="Calibri"/>
                <w:color w:val="000000"/>
                <w:sz w:val="20"/>
              </w:rPr>
            </w:pPr>
            <w:r>
              <w:rPr>
                <w:rFonts w:ascii="Calibri" w:eastAsia="Times New Roman" w:hAnsi="Calibri" w:cs="Calibri"/>
                <w:color w:val="000000"/>
                <w:sz w:val="20"/>
              </w:rPr>
              <w:t>59</w:t>
            </w:r>
          </w:p>
        </w:tc>
        <w:tc>
          <w:tcPr>
            <w:tcW w:w="3402" w:type="dxa"/>
          </w:tcPr>
          <w:p w14:paraId="6EF19F19" w14:textId="77777777" w:rsidR="00641766" w:rsidRPr="006C646E" w:rsidRDefault="00641766" w:rsidP="00B61AF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Nurse/ urology</w:t>
            </w:r>
          </w:p>
        </w:tc>
        <w:tc>
          <w:tcPr>
            <w:tcW w:w="1418" w:type="dxa"/>
          </w:tcPr>
          <w:p w14:paraId="4671624A" w14:textId="77777777" w:rsidR="00641766" w:rsidRPr="006C646E" w:rsidRDefault="00641766" w:rsidP="00B61AFF">
            <w:pPr>
              <w:jc w:val="center"/>
              <w:rPr>
                <w:rFonts w:ascii="Calibri" w:eastAsia="Times New Roman" w:hAnsi="Calibri" w:cs="Calibri"/>
                <w:color w:val="000000"/>
                <w:sz w:val="20"/>
              </w:rPr>
            </w:pPr>
            <w:r>
              <w:rPr>
                <w:rFonts w:ascii="Calibri" w:eastAsia="Times New Roman" w:hAnsi="Calibri" w:cs="Calibri"/>
                <w:color w:val="000000"/>
                <w:sz w:val="20"/>
              </w:rPr>
              <w:t>37</w:t>
            </w:r>
          </w:p>
        </w:tc>
      </w:tr>
      <w:tr w:rsidR="00641766" w14:paraId="4ACEF63B" w14:textId="77777777" w:rsidTr="00B61AFF">
        <w:tc>
          <w:tcPr>
            <w:tcW w:w="1413" w:type="dxa"/>
          </w:tcPr>
          <w:p w14:paraId="24281DE1" w14:textId="77777777" w:rsidR="00641766" w:rsidRPr="006C646E" w:rsidRDefault="00641766" w:rsidP="00B61AFF">
            <w:pPr>
              <w:jc w:val="center"/>
              <w:rPr>
                <w:rFonts w:ascii="Calibri" w:eastAsia="Times New Roman" w:hAnsi="Calibri" w:cs="Calibri"/>
                <w:color w:val="000000"/>
                <w:sz w:val="20"/>
              </w:rPr>
            </w:pPr>
            <w:r w:rsidRPr="006C646E">
              <w:rPr>
                <w:rFonts w:ascii="Calibri" w:eastAsia="Times New Roman" w:hAnsi="Calibri" w:cs="Calibri"/>
                <w:color w:val="000000"/>
                <w:sz w:val="20"/>
              </w:rPr>
              <w:t>Participant 3</w:t>
            </w:r>
          </w:p>
        </w:tc>
        <w:tc>
          <w:tcPr>
            <w:tcW w:w="992" w:type="dxa"/>
          </w:tcPr>
          <w:p w14:paraId="320F0872" w14:textId="77777777" w:rsidR="00641766" w:rsidRPr="006C646E" w:rsidRDefault="00641766" w:rsidP="00B61AFF">
            <w:pPr>
              <w:jc w:val="center"/>
              <w:rPr>
                <w:rFonts w:ascii="Calibri" w:eastAsia="Times New Roman" w:hAnsi="Calibri" w:cs="Calibri"/>
                <w:color w:val="000000"/>
                <w:sz w:val="20"/>
              </w:rPr>
            </w:pPr>
            <w:r>
              <w:rPr>
                <w:rFonts w:ascii="Calibri" w:eastAsia="Times New Roman" w:hAnsi="Calibri" w:cs="Calibri"/>
                <w:color w:val="000000"/>
                <w:sz w:val="20"/>
              </w:rPr>
              <w:t>F</w:t>
            </w:r>
          </w:p>
        </w:tc>
        <w:tc>
          <w:tcPr>
            <w:tcW w:w="1134" w:type="dxa"/>
          </w:tcPr>
          <w:p w14:paraId="05C3D0BD" w14:textId="77777777" w:rsidR="00641766" w:rsidRPr="006C646E" w:rsidRDefault="00641766" w:rsidP="00B61AFF">
            <w:pPr>
              <w:jc w:val="center"/>
              <w:rPr>
                <w:rFonts w:ascii="Calibri" w:eastAsia="Times New Roman" w:hAnsi="Calibri" w:cs="Calibri"/>
                <w:color w:val="000000"/>
                <w:sz w:val="20"/>
              </w:rPr>
            </w:pPr>
            <w:r>
              <w:rPr>
                <w:rFonts w:ascii="Calibri" w:eastAsia="Times New Roman" w:hAnsi="Calibri" w:cs="Calibri"/>
                <w:color w:val="000000"/>
                <w:sz w:val="20"/>
              </w:rPr>
              <w:t>50</w:t>
            </w:r>
          </w:p>
        </w:tc>
        <w:tc>
          <w:tcPr>
            <w:tcW w:w="3402" w:type="dxa"/>
          </w:tcPr>
          <w:p w14:paraId="442B9589" w14:textId="77777777" w:rsidR="00641766" w:rsidRPr="006C646E" w:rsidRDefault="00641766" w:rsidP="00B61AF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nurse/ orthopedics</w:t>
            </w:r>
          </w:p>
        </w:tc>
        <w:tc>
          <w:tcPr>
            <w:tcW w:w="1418" w:type="dxa"/>
          </w:tcPr>
          <w:p w14:paraId="57148F6C" w14:textId="77777777" w:rsidR="00641766" w:rsidRPr="006C646E" w:rsidRDefault="00641766" w:rsidP="00B61AFF">
            <w:pPr>
              <w:jc w:val="center"/>
              <w:rPr>
                <w:rFonts w:ascii="Calibri" w:eastAsia="Times New Roman" w:hAnsi="Calibri" w:cs="Calibri"/>
                <w:color w:val="000000"/>
                <w:sz w:val="20"/>
              </w:rPr>
            </w:pPr>
            <w:r>
              <w:rPr>
                <w:rFonts w:ascii="Calibri" w:eastAsia="Times New Roman" w:hAnsi="Calibri" w:cs="Calibri"/>
                <w:color w:val="000000"/>
                <w:sz w:val="20"/>
              </w:rPr>
              <w:t>28</w:t>
            </w:r>
          </w:p>
        </w:tc>
      </w:tr>
      <w:tr w:rsidR="00641766" w14:paraId="287AD354" w14:textId="77777777" w:rsidTr="00B61AFF">
        <w:tc>
          <w:tcPr>
            <w:tcW w:w="1413" w:type="dxa"/>
          </w:tcPr>
          <w:p w14:paraId="00C900AA" w14:textId="77777777" w:rsidR="00641766" w:rsidRPr="006C646E" w:rsidRDefault="00641766" w:rsidP="00B61AFF">
            <w:pPr>
              <w:jc w:val="center"/>
              <w:rPr>
                <w:rFonts w:ascii="Calibri" w:eastAsia="Times New Roman" w:hAnsi="Calibri" w:cs="Calibri"/>
                <w:color w:val="000000"/>
                <w:sz w:val="20"/>
              </w:rPr>
            </w:pPr>
            <w:r w:rsidRPr="006C646E">
              <w:rPr>
                <w:rFonts w:ascii="Calibri" w:eastAsia="Times New Roman" w:hAnsi="Calibri" w:cs="Calibri"/>
                <w:color w:val="000000"/>
                <w:sz w:val="20"/>
              </w:rPr>
              <w:t>Participant 4</w:t>
            </w:r>
          </w:p>
        </w:tc>
        <w:tc>
          <w:tcPr>
            <w:tcW w:w="992" w:type="dxa"/>
          </w:tcPr>
          <w:p w14:paraId="3A2B3B52" w14:textId="77777777" w:rsidR="00641766" w:rsidRPr="006C646E" w:rsidRDefault="00641766" w:rsidP="00B61AFF">
            <w:pPr>
              <w:jc w:val="center"/>
              <w:rPr>
                <w:rFonts w:ascii="Calibri" w:eastAsia="Times New Roman" w:hAnsi="Calibri" w:cs="Calibri"/>
                <w:color w:val="000000"/>
                <w:sz w:val="20"/>
              </w:rPr>
            </w:pPr>
            <w:r>
              <w:rPr>
                <w:rFonts w:ascii="Calibri" w:eastAsia="Times New Roman" w:hAnsi="Calibri" w:cs="Calibri"/>
                <w:color w:val="000000"/>
                <w:sz w:val="20"/>
              </w:rPr>
              <w:t>F</w:t>
            </w:r>
          </w:p>
        </w:tc>
        <w:tc>
          <w:tcPr>
            <w:tcW w:w="1134" w:type="dxa"/>
          </w:tcPr>
          <w:p w14:paraId="278F9029" w14:textId="77777777" w:rsidR="00641766" w:rsidRPr="006C646E" w:rsidRDefault="00641766" w:rsidP="00B61AFF">
            <w:pPr>
              <w:jc w:val="center"/>
              <w:rPr>
                <w:rFonts w:ascii="Calibri" w:eastAsia="Times New Roman" w:hAnsi="Calibri" w:cs="Calibri"/>
                <w:color w:val="000000"/>
                <w:sz w:val="20"/>
              </w:rPr>
            </w:pPr>
            <w:r>
              <w:rPr>
                <w:rFonts w:ascii="Calibri" w:eastAsia="Times New Roman" w:hAnsi="Calibri" w:cs="Calibri"/>
                <w:color w:val="000000"/>
                <w:sz w:val="20"/>
              </w:rPr>
              <w:t>58</w:t>
            </w:r>
          </w:p>
        </w:tc>
        <w:tc>
          <w:tcPr>
            <w:tcW w:w="3402" w:type="dxa"/>
          </w:tcPr>
          <w:p w14:paraId="499A2BE4" w14:textId="77777777" w:rsidR="00641766" w:rsidRPr="006C646E" w:rsidRDefault="00641766" w:rsidP="00B61AF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doctor/pediatric emergency</w:t>
            </w:r>
          </w:p>
        </w:tc>
        <w:tc>
          <w:tcPr>
            <w:tcW w:w="1418" w:type="dxa"/>
          </w:tcPr>
          <w:p w14:paraId="3A92B01B" w14:textId="77777777" w:rsidR="00641766" w:rsidRPr="006C646E" w:rsidRDefault="00641766" w:rsidP="00B61AFF">
            <w:pPr>
              <w:jc w:val="center"/>
              <w:rPr>
                <w:rFonts w:ascii="Calibri" w:eastAsia="Times New Roman" w:hAnsi="Calibri" w:cs="Calibri"/>
                <w:color w:val="000000"/>
                <w:sz w:val="20"/>
              </w:rPr>
            </w:pPr>
            <w:r>
              <w:rPr>
                <w:rFonts w:ascii="Calibri" w:eastAsia="Times New Roman" w:hAnsi="Calibri" w:cs="Calibri"/>
                <w:color w:val="000000"/>
                <w:sz w:val="20"/>
              </w:rPr>
              <w:t>18</w:t>
            </w:r>
          </w:p>
        </w:tc>
      </w:tr>
      <w:tr w:rsidR="00641766" w14:paraId="4D2380AB" w14:textId="77777777" w:rsidTr="00B61AFF">
        <w:tc>
          <w:tcPr>
            <w:tcW w:w="1413" w:type="dxa"/>
          </w:tcPr>
          <w:p w14:paraId="0B09F6FD" w14:textId="77777777" w:rsidR="00641766" w:rsidRPr="006C646E" w:rsidRDefault="00641766" w:rsidP="00B61AFF">
            <w:pPr>
              <w:jc w:val="center"/>
              <w:rPr>
                <w:rFonts w:ascii="Calibri" w:eastAsia="Times New Roman" w:hAnsi="Calibri" w:cs="Calibri"/>
                <w:color w:val="000000"/>
                <w:sz w:val="20"/>
              </w:rPr>
            </w:pPr>
            <w:r w:rsidRPr="006C646E">
              <w:rPr>
                <w:rFonts w:ascii="Calibri" w:eastAsia="Times New Roman" w:hAnsi="Calibri" w:cs="Calibri"/>
                <w:color w:val="000000"/>
                <w:sz w:val="20"/>
              </w:rPr>
              <w:t>Participant 5</w:t>
            </w:r>
          </w:p>
        </w:tc>
        <w:tc>
          <w:tcPr>
            <w:tcW w:w="992" w:type="dxa"/>
          </w:tcPr>
          <w:p w14:paraId="1855079A" w14:textId="77777777" w:rsidR="00641766" w:rsidRPr="006C646E" w:rsidRDefault="00641766" w:rsidP="00B61AFF">
            <w:pPr>
              <w:jc w:val="center"/>
              <w:rPr>
                <w:rFonts w:ascii="Calibri" w:eastAsia="Times New Roman" w:hAnsi="Calibri" w:cs="Calibri"/>
                <w:color w:val="000000"/>
                <w:sz w:val="20"/>
              </w:rPr>
            </w:pPr>
            <w:r>
              <w:rPr>
                <w:rFonts w:ascii="Calibri" w:eastAsia="Times New Roman" w:hAnsi="Calibri" w:cs="Calibri"/>
                <w:color w:val="000000"/>
                <w:sz w:val="20"/>
              </w:rPr>
              <w:t>F</w:t>
            </w:r>
          </w:p>
        </w:tc>
        <w:tc>
          <w:tcPr>
            <w:tcW w:w="1134" w:type="dxa"/>
          </w:tcPr>
          <w:p w14:paraId="1111618F" w14:textId="77777777" w:rsidR="00641766" w:rsidRPr="006C646E" w:rsidRDefault="00641766" w:rsidP="00B61AFF">
            <w:pPr>
              <w:jc w:val="center"/>
              <w:rPr>
                <w:rFonts w:ascii="Calibri" w:eastAsia="Times New Roman" w:hAnsi="Calibri" w:cs="Calibri"/>
                <w:color w:val="000000"/>
                <w:sz w:val="20"/>
              </w:rPr>
            </w:pPr>
            <w:r>
              <w:rPr>
                <w:rFonts w:ascii="Calibri" w:eastAsia="Times New Roman" w:hAnsi="Calibri" w:cs="Calibri"/>
                <w:color w:val="000000"/>
                <w:sz w:val="20"/>
              </w:rPr>
              <w:t>34</w:t>
            </w:r>
          </w:p>
        </w:tc>
        <w:tc>
          <w:tcPr>
            <w:tcW w:w="3402" w:type="dxa"/>
          </w:tcPr>
          <w:p w14:paraId="62D870C8" w14:textId="77777777" w:rsidR="00641766" w:rsidRPr="006C646E" w:rsidRDefault="00641766" w:rsidP="00B61AF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nurse/ internal medicine</w:t>
            </w:r>
          </w:p>
        </w:tc>
        <w:tc>
          <w:tcPr>
            <w:tcW w:w="1418" w:type="dxa"/>
          </w:tcPr>
          <w:p w14:paraId="246B8D96" w14:textId="77777777" w:rsidR="00641766" w:rsidRPr="006C646E" w:rsidRDefault="00641766" w:rsidP="00B61AFF">
            <w:pPr>
              <w:jc w:val="center"/>
              <w:rPr>
                <w:rFonts w:ascii="Calibri" w:eastAsia="Times New Roman" w:hAnsi="Calibri" w:cs="Calibri"/>
                <w:color w:val="000000"/>
                <w:sz w:val="20"/>
              </w:rPr>
            </w:pPr>
            <w:r>
              <w:rPr>
                <w:rFonts w:ascii="Calibri" w:eastAsia="Times New Roman" w:hAnsi="Calibri" w:cs="Calibri"/>
                <w:color w:val="000000"/>
                <w:sz w:val="20"/>
              </w:rPr>
              <w:t>11</w:t>
            </w:r>
          </w:p>
        </w:tc>
      </w:tr>
      <w:tr w:rsidR="00641766" w14:paraId="6DDD7555" w14:textId="77777777" w:rsidTr="00B61AFF">
        <w:tc>
          <w:tcPr>
            <w:tcW w:w="1413" w:type="dxa"/>
          </w:tcPr>
          <w:p w14:paraId="660BFD68" w14:textId="77777777" w:rsidR="00641766" w:rsidRPr="006C646E" w:rsidRDefault="00641766" w:rsidP="00B61AFF">
            <w:pPr>
              <w:jc w:val="center"/>
              <w:rPr>
                <w:rFonts w:ascii="Calibri" w:eastAsia="Times New Roman" w:hAnsi="Calibri" w:cs="Calibri"/>
                <w:color w:val="000000"/>
                <w:sz w:val="20"/>
              </w:rPr>
            </w:pPr>
            <w:r w:rsidRPr="006C646E">
              <w:rPr>
                <w:rFonts w:ascii="Calibri" w:eastAsia="Times New Roman" w:hAnsi="Calibri" w:cs="Calibri"/>
                <w:color w:val="000000"/>
                <w:sz w:val="20"/>
              </w:rPr>
              <w:t>Participant 6</w:t>
            </w:r>
          </w:p>
        </w:tc>
        <w:tc>
          <w:tcPr>
            <w:tcW w:w="992" w:type="dxa"/>
          </w:tcPr>
          <w:p w14:paraId="75055E16" w14:textId="77777777" w:rsidR="00641766" w:rsidRPr="006C646E" w:rsidRDefault="00641766" w:rsidP="00B61AFF">
            <w:pPr>
              <w:jc w:val="center"/>
              <w:rPr>
                <w:rFonts w:ascii="Calibri" w:eastAsia="Times New Roman" w:hAnsi="Calibri" w:cs="Calibri"/>
                <w:color w:val="000000"/>
                <w:sz w:val="20"/>
              </w:rPr>
            </w:pPr>
            <w:r>
              <w:rPr>
                <w:rFonts w:ascii="Calibri" w:eastAsia="Times New Roman" w:hAnsi="Calibri" w:cs="Calibri"/>
                <w:color w:val="000000"/>
                <w:sz w:val="20"/>
              </w:rPr>
              <w:t>F</w:t>
            </w:r>
          </w:p>
        </w:tc>
        <w:tc>
          <w:tcPr>
            <w:tcW w:w="1134" w:type="dxa"/>
          </w:tcPr>
          <w:p w14:paraId="69F773FE" w14:textId="77777777" w:rsidR="00641766" w:rsidRPr="006C646E" w:rsidRDefault="00641766" w:rsidP="00B61AFF">
            <w:pPr>
              <w:jc w:val="center"/>
              <w:rPr>
                <w:rFonts w:ascii="Calibri" w:eastAsia="Times New Roman" w:hAnsi="Calibri" w:cs="Calibri"/>
                <w:color w:val="000000"/>
                <w:sz w:val="20"/>
              </w:rPr>
            </w:pPr>
            <w:r>
              <w:rPr>
                <w:rFonts w:ascii="Calibri" w:eastAsia="Times New Roman" w:hAnsi="Calibri" w:cs="Calibri"/>
                <w:color w:val="000000"/>
                <w:sz w:val="20"/>
              </w:rPr>
              <w:t>44</w:t>
            </w:r>
          </w:p>
        </w:tc>
        <w:tc>
          <w:tcPr>
            <w:tcW w:w="3402" w:type="dxa"/>
          </w:tcPr>
          <w:p w14:paraId="5529B6CE" w14:textId="77777777" w:rsidR="00641766" w:rsidRPr="006C646E" w:rsidRDefault="00641766" w:rsidP="00B61AFF">
            <w:pPr>
              <w:jc w:val="center"/>
              <w:rPr>
                <w:rFonts w:ascii="Calibri" w:eastAsia="Times New Roman" w:hAnsi="Calibri" w:cs="Calibri"/>
                <w:color w:val="000000"/>
                <w:sz w:val="20"/>
                <w:szCs w:val="20"/>
              </w:rPr>
            </w:pPr>
            <w:r>
              <w:rPr>
                <w:rFonts w:ascii="Calibri" w:eastAsia="Times New Roman" w:hAnsi="Calibri" w:cs="Calibri"/>
                <w:color w:val="000000"/>
                <w:sz w:val="20"/>
              </w:rPr>
              <w:t>nurse</w:t>
            </w:r>
            <w:r w:rsidRPr="008C6F64">
              <w:rPr>
                <w:rFonts w:ascii="Calibri" w:eastAsia="Times New Roman" w:hAnsi="Calibri" w:cs="Calibri"/>
                <w:color w:val="000000"/>
                <w:sz w:val="20"/>
              </w:rPr>
              <w:t xml:space="preserve"> assistant</w:t>
            </w:r>
            <w:r>
              <w:rPr>
                <w:rFonts w:ascii="Calibri" w:eastAsia="Times New Roman" w:hAnsi="Calibri" w:cs="Calibri"/>
                <w:color w:val="000000"/>
                <w:sz w:val="20"/>
              </w:rPr>
              <w:t>/ external consultation</w:t>
            </w:r>
          </w:p>
        </w:tc>
        <w:tc>
          <w:tcPr>
            <w:tcW w:w="1418" w:type="dxa"/>
          </w:tcPr>
          <w:p w14:paraId="3C56ED61" w14:textId="77777777" w:rsidR="00641766" w:rsidRPr="006C646E" w:rsidRDefault="00641766" w:rsidP="00B61AFF">
            <w:pPr>
              <w:jc w:val="center"/>
              <w:rPr>
                <w:rFonts w:ascii="Calibri" w:eastAsia="Times New Roman" w:hAnsi="Calibri" w:cs="Calibri"/>
                <w:color w:val="000000"/>
                <w:sz w:val="20"/>
              </w:rPr>
            </w:pPr>
            <w:r>
              <w:rPr>
                <w:rFonts w:ascii="Calibri" w:eastAsia="Times New Roman" w:hAnsi="Calibri" w:cs="Calibri"/>
                <w:color w:val="000000"/>
                <w:sz w:val="20"/>
              </w:rPr>
              <w:t>14</w:t>
            </w:r>
          </w:p>
        </w:tc>
      </w:tr>
    </w:tbl>
    <w:p w14:paraId="63EB2893" w14:textId="77777777" w:rsidR="00641766" w:rsidRDefault="00641766" w:rsidP="00641766">
      <w:pPr>
        <w:spacing w:after="0" w:line="240" w:lineRule="auto"/>
        <w:rPr>
          <w:rFonts w:ascii="Calibri" w:eastAsia="Times New Roman" w:hAnsi="Calibri" w:cs="Calibri"/>
          <w:color w:val="000000"/>
        </w:rPr>
      </w:pPr>
    </w:p>
    <w:p w14:paraId="09429D4B" w14:textId="77777777" w:rsidR="00641766" w:rsidRDefault="00641766" w:rsidP="006F51E6">
      <w:pPr>
        <w:tabs>
          <w:tab w:val="left" w:pos="5400"/>
        </w:tabs>
        <w:spacing w:after="0" w:line="360" w:lineRule="auto"/>
        <w:jc w:val="both"/>
      </w:pPr>
    </w:p>
    <w:p w14:paraId="42A90A3F" w14:textId="27E2339C" w:rsidR="00806B48" w:rsidRDefault="00806B48" w:rsidP="00806B48">
      <w:pPr>
        <w:spacing w:after="0" w:line="240" w:lineRule="auto"/>
        <w:rPr>
          <w:rFonts w:ascii="Calibri" w:eastAsia="Times New Roman" w:hAnsi="Calibri" w:cs="Calibri"/>
          <w:color w:val="000000"/>
        </w:rPr>
      </w:pPr>
      <w:r w:rsidRPr="0046576A">
        <w:rPr>
          <w:rFonts w:ascii="Calibri" w:eastAsia="Times New Roman" w:hAnsi="Calibri" w:cs="Calibri"/>
          <w:color w:val="000000"/>
        </w:rPr>
        <w:t xml:space="preserve">Table </w:t>
      </w:r>
      <w:r w:rsidR="00641766">
        <w:rPr>
          <w:rFonts w:ascii="Calibri" w:eastAsia="Times New Roman" w:hAnsi="Calibri" w:cs="Calibri"/>
          <w:color w:val="000000"/>
        </w:rPr>
        <w:t>2</w:t>
      </w:r>
      <w:r w:rsidRPr="0046576A">
        <w:rPr>
          <w:rFonts w:ascii="Calibri" w:eastAsia="Times New Roman" w:hAnsi="Calibri" w:cs="Calibri"/>
          <w:color w:val="000000"/>
        </w:rPr>
        <w:t xml:space="preserve"> - Demographic characteristics of the quantitative study participants</w:t>
      </w:r>
      <w:r>
        <w:rPr>
          <w:rFonts w:ascii="Calibri" w:eastAsia="Times New Roman" w:hAnsi="Calibri" w:cs="Calibri"/>
          <w:color w:val="000000"/>
        </w:rPr>
        <w:t xml:space="preserve"> (n=28)</w:t>
      </w:r>
    </w:p>
    <w:p w14:paraId="69FADAD1" w14:textId="1778CF9D" w:rsidR="00806B48" w:rsidRDefault="00806B48" w:rsidP="00806B48">
      <w:pPr>
        <w:spacing w:after="0" w:line="240" w:lineRule="auto"/>
        <w:rPr>
          <w:rFonts w:ascii="Calibri" w:eastAsia="Times New Roman" w:hAnsi="Calibri" w:cs="Calibri"/>
          <w:color w:val="000000"/>
        </w:rPr>
      </w:pPr>
      <w:r>
        <w:rPr>
          <w:rFonts w:ascii="Calibri" w:eastAsia="Times New Roman" w:hAnsi="Calibri" w:cs="Calibri"/>
          <w:color w:val="000000"/>
        </w:rPr>
        <w:object w:dxaOrig="12231" w:dyaOrig="1763" w14:anchorId="265FC2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77.25pt" o:ole="">
            <v:imagedata r:id="rId9" o:title=""/>
          </v:shape>
          <o:OLEObject Type="Embed" ProgID="Excel.Sheet.12" ShapeID="_x0000_i1025" DrawAspect="Content" ObjectID="_1622300628" r:id="rId10"/>
        </w:object>
      </w:r>
    </w:p>
    <w:p w14:paraId="57A96C26" w14:textId="10C179CD" w:rsidR="00806B48" w:rsidRDefault="00806B48" w:rsidP="00806B48">
      <w:pPr>
        <w:spacing w:after="0" w:line="240" w:lineRule="auto"/>
        <w:rPr>
          <w:rFonts w:ascii="Calibri" w:eastAsia="Times New Roman" w:hAnsi="Calibri" w:cs="Calibri"/>
          <w:color w:val="000000"/>
        </w:rPr>
      </w:pPr>
      <w:r w:rsidRPr="00556982">
        <w:rPr>
          <w:noProof/>
          <w:lang w:val="pt-PT" w:eastAsia="pt-PT"/>
        </w:rPr>
        <w:drawing>
          <wp:anchor distT="0" distB="0" distL="114300" distR="114300" simplePos="0" relativeHeight="251658240" behindDoc="0" locked="0" layoutInCell="1" allowOverlap="1" wp14:anchorId="4D27303A" wp14:editId="224D5AD0">
            <wp:simplePos x="0" y="0"/>
            <wp:positionH relativeFrom="column">
              <wp:posOffset>0</wp:posOffset>
            </wp:positionH>
            <wp:positionV relativeFrom="paragraph">
              <wp:posOffset>153670</wp:posOffset>
            </wp:positionV>
            <wp:extent cx="4571429" cy="2742857"/>
            <wp:effectExtent l="0" t="0" r="63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1429" cy="2742857"/>
                    </a:xfrm>
                    <a:prstGeom prst="rect">
                      <a:avLst/>
                    </a:prstGeom>
                  </pic:spPr>
                </pic:pic>
              </a:graphicData>
            </a:graphic>
          </wp:anchor>
        </w:drawing>
      </w:r>
    </w:p>
    <w:p w14:paraId="19A6E10C" w14:textId="13ED341D" w:rsidR="00806B48" w:rsidRDefault="00806B48" w:rsidP="00806B48">
      <w:pPr>
        <w:spacing w:after="0" w:line="240" w:lineRule="auto"/>
      </w:pPr>
    </w:p>
    <w:p w14:paraId="10A3EBE1" w14:textId="77777777" w:rsidR="00806B48" w:rsidRDefault="00806B48" w:rsidP="00806B48">
      <w:pPr>
        <w:spacing w:after="0" w:line="240" w:lineRule="auto"/>
      </w:pPr>
    </w:p>
    <w:p w14:paraId="3155BCD1" w14:textId="77777777" w:rsidR="00806B48" w:rsidRDefault="00806B48" w:rsidP="00806B48">
      <w:pPr>
        <w:spacing w:after="0" w:line="240" w:lineRule="auto"/>
      </w:pPr>
    </w:p>
    <w:p w14:paraId="30FD2405" w14:textId="77777777" w:rsidR="00806B48" w:rsidRDefault="00806B48" w:rsidP="00806B48">
      <w:pPr>
        <w:spacing w:after="0" w:line="240" w:lineRule="auto"/>
      </w:pPr>
    </w:p>
    <w:p w14:paraId="6338D791" w14:textId="77777777" w:rsidR="00806B48" w:rsidRDefault="00806B48" w:rsidP="00806B48">
      <w:pPr>
        <w:spacing w:after="0" w:line="240" w:lineRule="auto"/>
      </w:pPr>
    </w:p>
    <w:p w14:paraId="5548BDC4" w14:textId="77777777" w:rsidR="00806B48" w:rsidRDefault="00806B48" w:rsidP="00806B48">
      <w:pPr>
        <w:spacing w:after="0" w:line="240" w:lineRule="auto"/>
      </w:pPr>
    </w:p>
    <w:p w14:paraId="449ACC7A" w14:textId="77777777" w:rsidR="00806B48" w:rsidRDefault="00806B48" w:rsidP="00806B48">
      <w:pPr>
        <w:spacing w:after="0" w:line="240" w:lineRule="auto"/>
      </w:pPr>
    </w:p>
    <w:p w14:paraId="52A6ED23" w14:textId="77777777" w:rsidR="00806B48" w:rsidRDefault="00806B48" w:rsidP="00806B48">
      <w:pPr>
        <w:spacing w:after="0" w:line="240" w:lineRule="auto"/>
      </w:pPr>
    </w:p>
    <w:p w14:paraId="5C829A90" w14:textId="77777777" w:rsidR="00806B48" w:rsidRDefault="00806B48" w:rsidP="00806B48">
      <w:pPr>
        <w:spacing w:after="0" w:line="240" w:lineRule="auto"/>
      </w:pPr>
    </w:p>
    <w:p w14:paraId="18A14D0A" w14:textId="77777777" w:rsidR="00806B48" w:rsidRDefault="00806B48" w:rsidP="00806B48">
      <w:pPr>
        <w:spacing w:after="0" w:line="240" w:lineRule="auto"/>
      </w:pPr>
    </w:p>
    <w:p w14:paraId="661A66C9" w14:textId="77777777" w:rsidR="00806B48" w:rsidRDefault="00806B48" w:rsidP="00806B48">
      <w:pPr>
        <w:spacing w:after="0" w:line="240" w:lineRule="auto"/>
      </w:pPr>
    </w:p>
    <w:p w14:paraId="560268C8" w14:textId="77777777" w:rsidR="00806B48" w:rsidRDefault="00806B48" w:rsidP="00806B48">
      <w:pPr>
        <w:spacing w:after="0" w:line="240" w:lineRule="auto"/>
      </w:pPr>
    </w:p>
    <w:p w14:paraId="1A47200F" w14:textId="77777777" w:rsidR="00806B48" w:rsidRDefault="00806B48" w:rsidP="00806B48">
      <w:pPr>
        <w:spacing w:after="0" w:line="240" w:lineRule="auto"/>
      </w:pPr>
    </w:p>
    <w:p w14:paraId="5734E58E" w14:textId="77777777" w:rsidR="00806B48" w:rsidRDefault="00806B48" w:rsidP="00806B48">
      <w:pPr>
        <w:spacing w:after="0" w:line="240" w:lineRule="auto"/>
      </w:pPr>
    </w:p>
    <w:p w14:paraId="08B44EB8" w14:textId="77777777" w:rsidR="00806B48" w:rsidRDefault="00806B48" w:rsidP="00806B48">
      <w:pPr>
        <w:spacing w:after="0" w:line="240" w:lineRule="auto"/>
      </w:pPr>
    </w:p>
    <w:p w14:paraId="2C686B0E" w14:textId="77777777" w:rsidR="00806B48" w:rsidRDefault="00806B48" w:rsidP="00806B48">
      <w:pPr>
        <w:spacing w:after="0" w:line="240" w:lineRule="auto"/>
      </w:pPr>
    </w:p>
    <w:p w14:paraId="32144AC6" w14:textId="23F295C5" w:rsidR="00806B48" w:rsidRDefault="00806B48" w:rsidP="00806B48">
      <w:pPr>
        <w:spacing w:after="0" w:line="240" w:lineRule="auto"/>
      </w:pPr>
      <w:r>
        <w:t>Figure 1 - Violence type, number of incidents (n=41)</w:t>
      </w:r>
    </w:p>
    <w:p w14:paraId="4F85575C" w14:textId="1AD67BB6" w:rsidR="00806B48" w:rsidRDefault="00806B48" w:rsidP="00806B48">
      <w:pPr>
        <w:rPr>
          <w:sz w:val="20"/>
        </w:rPr>
      </w:pPr>
      <w:r w:rsidRPr="00DE6AAA">
        <w:rPr>
          <w:sz w:val="20"/>
        </w:rPr>
        <w:t>PVP: physical violence from patient; PVNK: physical violence from next of kin; VVP: verbal violence from patient; VVNK: verbal violence from next of kin; VVCW: verbal violence from co-worker</w:t>
      </w:r>
    </w:p>
    <w:p w14:paraId="49753E8F" w14:textId="77777777" w:rsidR="00806B48" w:rsidRPr="00DE6AAA" w:rsidRDefault="00806B48" w:rsidP="00806B48">
      <w:pPr>
        <w:rPr>
          <w:sz w:val="20"/>
        </w:rPr>
      </w:pPr>
    </w:p>
    <w:p w14:paraId="31EDE17F" w14:textId="77777777" w:rsidR="00806B48" w:rsidRDefault="00806B48" w:rsidP="00806B48">
      <w:r>
        <w:rPr>
          <w:noProof/>
          <w:lang w:val="pt-PT" w:eastAsia="pt-PT"/>
        </w:rPr>
        <w:lastRenderedPageBreak/>
        <w:drawing>
          <wp:inline distT="0" distB="0" distL="0" distR="0" wp14:anchorId="767CF0C5" wp14:editId="322DB6F8">
            <wp:extent cx="4572000" cy="2743200"/>
            <wp:effectExtent l="0" t="0" r="0" b="0"/>
            <wp:docPr id="4" name="Chart 4">
              <a:extLst xmlns:a="http://schemas.openxmlformats.org/drawingml/2006/main">
                <a:ext uri="{FF2B5EF4-FFF2-40B4-BE49-F238E27FC236}">
                  <a16:creationId xmlns:a16="http://schemas.microsoft.com/office/drawing/2014/main" id="{5791A211-3A13-4B19-9071-258BB54E52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F08E0C" w14:textId="2C76FB40" w:rsidR="00806B48" w:rsidRDefault="00806B48" w:rsidP="00DE3428">
      <w:pPr>
        <w:spacing w:after="0"/>
      </w:pPr>
      <w:r>
        <w:t>Figure 2 – Presumed aggressor’s motives (n=55)</w:t>
      </w:r>
      <w:r w:rsidR="00DE3428">
        <w:t>.</w:t>
      </w:r>
    </w:p>
    <w:p w14:paraId="6B918BB5" w14:textId="0C6F8C18" w:rsidR="00DE3428" w:rsidRPr="00DE3428" w:rsidRDefault="00DE3428" w:rsidP="00DE3428">
      <w:pPr>
        <w:spacing w:after="0"/>
        <w:rPr>
          <w:sz w:val="20"/>
        </w:rPr>
      </w:pPr>
      <w:r w:rsidRPr="00DE3428">
        <w:rPr>
          <w:sz w:val="20"/>
          <w:highlight w:val="yellow"/>
        </w:rPr>
        <w:t>“Other” is a heterogeneous class that includes mentions to the aggressor’s personality traits and emotions, lack of information provided to the patient/ next of kin and facilities unfriendly features</w:t>
      </w:r>
      <w:r w:rsidRPr="00DE3428">
        <w:rPr>
          <w:sz w:val="20"/>
        </w:rPr>
        <w:t xml:space="preserve"> </w:t>
      </w:r>
    </w:p>
    <w:p w14:paraId="0813BC4B" w14:textId="77777777" w:rsidR="002B3FDA" w:rsidRDefault="002B3FDA" w:rsidP="00806B48"/>
    <w:p w14:paraId="43FE8D68" w14:textId="48DE4226" w:rsidR="00806B48" w:rsidRDefault="00806B48" w:rsidP="00806B48">
      <w:r>
        <w:t xml:space="preserve">Table </w:t>
      </w:r>
      <w:r w:rsidR="00641766">
        <w:t>3</w:t>
      </w:r>
      <w:r>
        <w:t xml:space="preserve"> - Personal impact of the violence incident (n=21)</w:t>
      </w:r>
    </w:p>
    <w:p w14:paraId="1783A9AC" w14:textId="77777777" w:rsidR="00806B48" w:rsidRDefault="00806B48" w:rsidP="00806B48">
      <w:r w:rsidRPr="00AD7313">
        <w:rPr>
          <w:noProof/>
          <w:lang w:val="pt-PT" w:eastAsia="pt-PT"/>
        </w:rPr>
        <w:drawing>
          <wp:inline distT="0" distB="0" distL="0" distR="0" wp14:anchorId="1ED1163F" wp14:editId="564F33AB">
            <wp:extent cx="5943600" cy="23774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943600" cy="2377440"/>
                    </a:xfrm>
                    <a:prstGeom prst="rect">
                      <a:avLst/>
                    </a:prstGeom>
                  </pic:spPr>
                </pic:pic>
              </a:graphicData>
            </a:graphic>
          </wp:inline>
        </w:drawing>
      </w:r>
    </w:p>
    <w:p w14:paraId="3110EBA0" w14:textId="77777777" w:rsidR="00806B48" w:rsidRDefault="00806B48" w:rsidP="00806B48">
      <w:pPr>
        <w:spacing w:after="0"/>
      </w:pPr>
    </w:p>
    <w:p w14:paraId="41C92699" w14:textId="77777777" w:rsidR="00806B48" w:rsidRDefault="00806B48" w:rsidP="00806B48">
      <w:pPr>
        <w:spacing w:after="0"/>
      </w:pPr>
    </w:p>
    <w:p w14:paraId="2D787AD3" w14:textId="77777777" w:rsidR="00806B48" w:rsidRDefault="00806B48" w:rsidP="00806B48">
      <w:pPr>
        <w:spacing w:after="0"/>
      </w:pPr>
    </w:p>
    <w:p w14:paraId="0BF33307" w14:textId="77777777" w:rsidR="00806B48" w:rsidRDefault="00806B48" w:rsidP="00806B48">
      <w:pPr>
        <w:spacing w:after="0"/>
      </w:pPr>
    </w:p>
    <w:p w14:paraId="4F7DCE14" w14:textId="77777777" w:rsidR="00806B48" w:rsidRDefault="00806B48" w:rsidP="00806B48">
      <w:pPr>
        <w:spacing w:after="0"/>
      </w:pPr>
    </w:p>
    <w:p w14:paraId="42C33CA3" w14:textId="3CC793CC" w:rsidR="00806B48" w:rsidRDefault="00806B48" w:rsidP="00806B48">
      <w:pPr>
        <w:spacing w:after="0"/>
      </w:pPr>
      <w:r w:rsidRPr="00DF5788">
        <w:rPr>
          <w:noProof/>
          <w:lang w:val="pt-PT" w:eastAsia="pt-PT"/>
        </w:rPr>
        <w:lastRenderedPageBreak/>
        <w:drawing>
          <wp:inline distT="0" distB="0" distL="0" distR="0" wp14:anchorId="377E1D95" wp14:editId="7C41BDA2">
            <wp:extent cx="6343650" cy="30125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6351006" cy="3016049"/>
                    </a:xfrm>
                    <a:prstGeom prst="rect">
                      <a:avLst/>
                    </a:prstGeom>
                  </pic:spPr>
                </pic:pic>
              </a:graphicData>
            </a:graphic>
          </wp:inline>
        </w:drawing>
      </w:r>
    </w:p>
    <w:p w14:paraId="56FA05DE" w14:textId="77777777" w:rsidR="00806B48" w:rsidRDefault="00806B48" w:rsidP="00806B48">
      <w:pPr>
        <w:spacing w:after="0"/>
      </w:pPr>
      <w:r>
        <w:t>Figure 3 – Level of unfamiliarity with workplace violence internal procedures (n=28)</w:t>
      </w:r>
    </w:p>
    <w:p w14:paraId="50BFE885" w14:textId="77777777" w:rsidR="00806B48" w:rsidRPr="00DE6AAA" w:rsidRDefault="00806B48" w:rsidP="00806B48">
      <w:pPr>
        <w:spacing w:after="0"/>
        <w:rPr>
          <w:sz w:val="20"/>
        </w:rPr>
      </w:pPr>
      <w:r w:rsidRPr="00DE6AAA">
        <w:rPr>
          <w:sz w:val="20"/>
        </w:rPr>
        <w:t xml:space="preserve">[mean </w:t>
      </w:r>
      <w:r w:rsidRPr="00DE6AAA">
        <w:rPr>
          <w:sz w:val="20"/>
        </w:rPr>
        <w:sym w:font="Symbol" w:char="F0B1"/>
      </w:r>
      <w:r w:rsidRPr="00DE6AAA">
        <w:rPr>
          <w:sz w:val="20"/>
        </w:rPr>
        <w:t xml:space="preserve"> SD: 3.14 </w:t>
      </w:r>
      <w:r w:rsidRPr="00DE6AAA">
        <w:rPr>
          <w:sz w:val="20"/>
        </w:rPr>
        <w:sym w:font="Symbol" w:char="F0B1"/>
      </w:r>
      <w:r w:rsidRPr="00DE6AAA">
        <w:rPr>
          <w:sz w:val="20"/>
        </w:rPr>
        <w:t xml:space="preserve"> 0.93; median: 3; min: 1; max: 4]</w:t>
      </w:r>
    </w:p>
    <w:p w14:paraId="6D480C1B" w14:textId="77777777" w:rsidR="00806B48" w:rsidRDefault="00806B48" w:rsidP="00806B48">
      <w:pPr>
        <w:spacing w:after="0"/>
      </w:pPr>
    </w:p>
    <w:p w14:paraId="00056731" w14:textId="77777777" w:rsidR="00806B48" w:rsidRDefault="00806B48" w:rsidP="00806B48">
      <w:pPr>
        <w:spacing w:after="0"/>
      </w:pPr>
    </w:p>
    <w:p w14:paraId="6A546E2F" w14:textId="77777777" w:rsidR="00806B48" w:rsidRDefault="00806B48" w:rsidP="00806B48">
      <w:pPr>
        <w:spacing w:after="0"/>
      </w:pPr>
    </w:p>
    <w:p w14:paraId="4413E16F" w14:textId="77777777" w:rsidR="00806B48" w:rsidRDefault="00806B48" w:rsidP="00806B48">
      <w:pPr>
        <w:spacing w:after="0"/>
      </w:pPr>
    </w:p>
    <w:p w14:paraId="49BC374A" w14:textId="77777777" w:rsidR="00806B48" w:rsidRDefault="00806B48" w:rsidP="00806B48">
      <w:pPr>
        <w:spacing w:after="0"/>
      </w:pPr>
    </w:p>
    <w:p w14:paraId="54A1F529" w14:textId="77777777" w:rsidR="00806B48" w:rsidRDefault="00806B48" w:rsidP="00806B48">
      <w:pPr>
        <w:spacing w:after="0"/>
      </w:pPr>
    </w:p>
    <w:p w14:paraId="64471995" w14:textId="77777777" w:rsidR="00806B48" w:rsidRDefault="00806B48" w:rsidP="00806B48">
      <w:pPr>
        <w:spacing w:after="0"/>
      </w:pPr>
      <w:r>
        <w:rPr>
          <w:noProof/>
          <w:lang w:val="pt-PT" w:eastAsia="pt-PT"/>
        </w:rPr>
        <w:drawing>
          <wp:inline distT="0" distB="0" distL="0" distR="0" wp14:anchorId="0114EE42" wp14:editId="1B051DF0">
            <wp:extent cx="5943600" cy="3159125"/>
            <wp:effectExtent l="0" t="0" r="0" b="3175"/>
            <wp:docPr id="6" name="Chart 6">
              <a:extLst xmlns:a="http://schemas.openxmlformats.org/drawingml/2006/main">
                <a:ext uri="{FF2B5EF4-FFF2-40B4-BE49-F238E27FC236}">
                  <a16:creationId xmlns:a16="http://schemas.microsoft.com/office/drawing/2014/main" id="{D797DB1B-558B-451C-BE5F-658CAB0EAF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77556A" w14:textId="77777777" w:rsidR="00806B48" w:rsidRDefault="00806B48" w:rsidP="00806B48">
      <w:pPr>
        <w:spacing w:after="0"/>
      </w:pPr>
      <w:r>
        <w:t>Figure 4 – Ways of avoiding or minimizing workplace violence (n=31)</w:t>
      </w:r>
    </w:p>
    <w:p w14:paraId="7846C957" w14:textId="75F694F5" w:rsidR="00806B48" w:rsidRDefault="00806B48">
      <w:r>
        <w:br w:type="page"/>
      </w:r>
    </w:p>
    <w:p w14:paraId="0B66111B" w14:textId="65FD728C" w:rsidR="00636813" w:rsidRPr="008669BC" w:rsidRDefault="00683909" w:rsidP="00BC1DC5">
      <w:pPr>
        <w:tabs>
          <w:tab w:val="left" w:pos="5400"/>
        </w:tabs>
        <w:spacing w:after="0" w:line="360" w:lineRule="auto"/>
        <w:jc w:val="both"/>
        <w:rPr>
          <w:bCs/>
          <w:i/>
          <w:iCs/>
          <w:sz w:val="16"/>
          <w:szCs w:val="16"/>
        </w:rPr>
      </w:pPr>
      <w:r w:rsidRPr="00683909">
        <w:rPr>
          <w:b/>
        </w:rPr>
        <w:lastRenderedPageBreak/>
        <w:t>References</w:t>
      </w:r>
      <w:r w:rsidR="008669BC">
        <w:rPr>
          <w:b/>
        </w:rPr>
        <w:t xml:space="preserve"> </w:t>
      </w:r>
      <w:r w:rsidR="008669BC" w:rsidRPr="008669BC">
        <w:rPr>
          <w:bCs/>
          <w:i/>
          <w:iCs/>
          <w:sz w:val="16"/>
          <w:szCs w:val="16"/>
          <w:highlight w:val="yellow"/>
        </w:rPr>
        <w:t>[amended references in the CLEAN VERSION]</w:t>
      </w:r>
      <w:r w:rsidR="00BC1DC5" w:rsidRPr="008669BC">
        <w:rPr>
          <w:bCs/>
          <w:i/>
          <w:iCs/>
          <w:sz w:val="16"/>
          <w:szCs w:val="16"/>
        </w:rPr>
        <w:tab/>
      </w:r>
    </w:p>
    <w:sectPr w:rsidR="00636813" w:rsidRPr="008669BC" w:rsidSect="00FC48EB">
      <w:footerReference w:type="default" r:id="rId16"/>
      <w:endnotePr>
        <w:numFmt w:val="decimal"/>
      </w:endnotePr>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D7945" w14:textId="77777777" w:rsidR="002557FD" w:rsidRDefault="002557FD" w:rsidP="00F620CF">
      <w:pPr>
        <w:spacing w:after="0" w:line="240" w:lineRule="auto"/>
      </w:pPr>
      <w:r>
        <w:separator/>
      </w:r>
    </w:p>
  </w:endnote>
  <w:endnote w:type="continuationSeparator" w:id="0">
    <w:p w14:paraId="198153B0" w14:textId="77777777" w:rsidR="002557FD" w:rsidRDefault="002557FD" w:rsidP="00F620CF">
      <w:pPr>
        <w:spacing w:after="0" w:line="240" w:lineRule="auto"/>
      </w:pPr>
      <w:r>
        <w:continuationSeparator/>
      </w:r>
    </w:p>
  </w:endnote>
  <w:endnote w:id="1">
    <w:p w14:paraId="500E032C" w14:textId="77777777" w:rsidR="00B61AFF" w:rsidRPr="008669BC" w:rsidRDefault="00B61AFF" w:rsidP="00D853B1">
      <w:pPr>
        <w:pStyle w:val="EndnoteText"/>
        <w:jc w:val="both"/>
        <w:rPr>
          <w:strike/>
        </w:rPr>
      </w:pPr>
      <w:r w:rsidRPr="008669BC">
        <w:rPr>
          <w:rStyle w:val="EndnoteReference"/>
          <w:strike/>
        </w:rPr>
        <w:endnoteRef/>
      </w:r>
      <w:r w:rsidRPr="008669BC">
        <w:rPr>
          <w:strike/>
        </w:rPr>
        <w:t xml:space="preserve"> International Council of Nurses. Public Services International. World Health Organization. International Labour Office. Framework Guidelines for Addressing Workplace violence in the Health Sector. 2005</w:t>
      </w:r>
    </w:p>
  </w:endnote>
  <w:endnote w:id="2">
    <w:p w14:paraId="449C8A2C" w14:textId="77777777" w:rsidR="00B61AFF" w:rsidRPr="008669BC" w:rsidRDefault="00B61AFF" w:rsidP="00D853B1">
      <w:pPr>
        <w:pStyle w:val="EndnoteText"/>
        <w:jc w:val="both"/>
        <w:rPr>
          <w:strike/>
        </w:rPr>
      </w:pPr>
      <w:r w:rsidRPr="008669BC">
        <w:rPr>
          <w:rStyle w:val="EndnoteReference"/>
          <w:strike/>
        </w:rPr>
        <w:endnoteRef/>
      </w:r>
      <w:r w:rsidRPr="008669BC">
        <w:rPr>
          <w:strike/>
        </w:rPr>
        <w:t xml:space="preserve"> Occupational Safety and Health Administration, Workplace Violence, accessed in August 2018 at https://www.osha.gov/SLTC/workplaceviolence/</w:t>
      </w:r>
    </w:p>
  </w:endnote>
  <w:endnote w:id="3">
    <w:p w14:paraId="446D95FF" w14:textId="77777777" w:rsidR="00B61AFF" w:rsidRPr="008669BC" w:rsidRDefault="00B61AFF" w:rsidP="00D853B1">
      <w:pPr>
        <w:pStyle w:val="EndnoteText"/>
        <w:jc w:val="both"/>
        <w:rPr>
          <w:strike/>
          <w:sz w:val="16"/>
        </w:rPr>
      </w:pPr>
      <w:r w:rsidRPr="008669BC">
        <w:rPr>
          <w:rStyle w:val="EndnoteReference"/>
          <w:strike/>
        </w:rPr>
        <w:endnoteRef/>
      </w:r>
      <w:r w:rsidRPr="008669BC">
        <w:rPr>
          <w:strike/>
        </w:rPr>
        <w:t xml:space="preserve"> Eurofound. Violence &amp; Harassment in Euro Workplaces: extents, impacts and policies. Dublin 2015; accessed in August 2018 at </w:t>
      </w:r>
      <w:r w:rsidRPr="008669BC">
        <w:rPr>
          <w:strike/>
          <w:sz w:val="16"/>
        </w:rPr>
        <w:t>https://www.eurofound.europa.eu/sites/default/files/ef_comparative_analytical_report/field_ef_documents/ef1473en.pdf</w:t>
      </w:r>
    </w:p>
  </w:endnote>
  <w:endnote w:id="4">
    <w:p w14:paraId="3B203393" w14:textId="77777777" w:rsidR="00B61AFF" w:rsidRPr="008669BC" w:rsidRDefault="00B61AFF" w:rsidP="00D853B1">
      <w:pPr>
        <w:pStyle w:val="EndnoteText"/>
        <w:jc w:val="both"/>
        <w:rPr>
          <w:strike/>
        </w:rPr>
      </w:pPr>
      <w:r w:rsidRPr="008669BC">
        <w:rPr>
          <w:rStyle w:val="EndnoteReference"/>
          <w:strike/>
        </w:rPr>
        <w:endnoteRef/>
      </w:r>
      <w:r w:rsidRPr="008669BC">
        <w:rPr>
          <w:strike/>
        </w:rPr>
        <w:t xml:space="preserve"> Reknes I, Notelaers G, Magerøy N, Pallesen S, Bjorvatn B, Moen BE, Einarsen S. Aggression from patients or next of kin and exposure to bullying behaviors: a conglomerate experience? Nursing research and practice, 2017</w:t>
      </w:r>
    </w:p>
  </w:endnote>
  <w:endnote w:id="5">
    <w:p w14:paraId="5D67635F" w14:textId="77777777" w:rsidR="00B61AFF" w:rsidRPr="008669BC" w:rsidRDefault="00B61AFF" w:rsidP="00D853B1">
      <w:pPr>
        <w:pStyle w:val="EndnoteText"/>
        <w:jc w:val="both"/>
        <w:rPr>
          <w:strike/>
        </w:rPr>
      </w:pPr>
      <w:r w:rsidRPr="008669BC">
        <w:rPr>
          <w:rStyle w:val="EndnoteReference"/>
          <w:strike/>
        </w:rPr>
        <w:endnoteRef/>
      </w:r>
      <w:r w:rsidRPr="008669BC">
        <w:rPr>
          <w:strike/>
        </w:rPr>
        <w:t xml:space="preserve"> Fang H, Zhao X, Yang H, Sun P, Li Y, Jiang K, Wu Q. Depressive symptoms and workplace-violence related risk factors among otorhinolaryngology nurses and physicians in Northern China: a cross-sectional study. British Medical Journal open, 2018; 8(1), e019514</w:t>
      </w:r>
    </w:p>
  </w:endnote>
  <w:endnote w:id="6">
    <w:p w14:paraId="625C0C9A" w14:textId="77777777" w:rsidR="00B61AFF" w:rsidRPr="008669BC" w:rsidRDefault="00B61AFF" w:rsidP="00D853B1">
      <w:pPr>
        <w:pStyle w:val="EndnoteText"/>
        <w:jc w:val="both"/>
        <w:rPr>
          <w:strike/>
        </w:rPr>
      </w:pPr>
      <w:r w:rsidRPr="008669BC">
        <w:rPr>
          <w:rStyle w:val="EndnoteReference"/>
          <w:strike/>
        </w:rPr>
        <w:endnoteRef/>
      </w:r>
      <w:r w:rsidRPr="008669BC">
        <w:rPr>
          <w:strike/>
        </w:rPr>
        <w:t xml:space="preserve"> Blando J, Ridenour M, Hartley D, Casteel C. Barriers to effective implementation of programs for the prevention of workplace violence in hospitals. Online Journal of Issues in Nursing, 2015; 20(1).</w:t>
      </w:r>
    </w:p>
  </w:endnote>
  <w:endnote w:id="7">
    <w:p w14:paraId="005C48AA" w14:textId="77777777" w:rsidR="00B61AFF" w:rsidRPr="008669BC" w:rsidRDefault="00B61AFF" w:rsidP="00D853B1">
      <w:pPr>
        <w:pStyle w:val="EndnoteText"/>
        <w:jc w:val="both"/>
        <w:rPr>
          <w:strike/>
        </w:rPr>
      </w:pPr>
      <w:r w:rsidRPr="008669BC">
        <w:rPr>
          <w:rStyle w:val="EndnoteReference"/>
          <w:strike/>
        </w:rPr>
        <w:endnoteRef/>
      </w:r>
      <w:r w:rsidRPr="008669BC">
        <w:rPr>
          <w:strike/>
        </w:rPr>
        <w:t xml:space="preserve"> Hamblin LE, Essenmacher L, Upfal MJ, Russell J, Luborsky M, Ager J, Arnetz JE. Catalysts of worke-rto‐worker violence and incivility in hospitals. Journal of Clinical Nursing. 2015; 24(17-18), 2458-2467</w:t>
      </w:r>
    </w:p>
  </w:endnote>
  <w:endnote w:id="8">
    <w:p w14:paraId="6F5C57A1" w14:textId="77777777" w:rsidR="00B61AFF" w:rsidRPr="008669BC" w:rsidRDefault="00B61AFF" w:rsidP="00D853B1">
      <w:pPr>
        <w:pStyle w:val="EndnoteText"/>
        <w:jc w:val="both"/>
        <w:rPr>
          <w:strike/>
        </w:rPr>
      </w:pPr>
      <w:r w:rsidRPr="008669BC">
        <w:rPr>
          <w:rStyle w:val="EndnoteReference"/>
          <w:strike/>
        </w:rPr>
        <w:endnoteRef/>
      </w:r>
      <w:r w:rsidRPr="008669BC">
        <w:rPr>
          <w:strike/>
        </w:rPr>
        <w:t xml:space="preserve"> Wiskow C, Geneva 2003, Guidelines on Workplace Violence in the Health Sector, Comparison of major known national guidelines and strategies</w:t>
      </w:r>
    </w:p>
  </w:endnote>
  <w:endnote w:id="9">
    <w:p w14:paraId="449AAC55" w14:textId="77777777" w:rsidR="00B61AFF" w:rsidRPr="008669BC" w:rsidRDefault="00B61AFF" w:rsidP="00D853B1">
      <w:pPr>
        <w:pStyle w:val="EndnoteText"/>
        <w:jc w:val="both"/>
        <w:rPr>
          <w:strike/>
        </w:rPr>
      </w:pPr>
      <w:r w:rsidRPr="008669BC">
        <w:rPr>
          <w:rStyle w:val="EndnoteReference"/>
          <w:strike/>
        </w:rPr>
        <w:endnoteRef/>
      </w:r>
      <w:r w:rsidRPr="008669BC">
        <w:rPr>
          <w:strike/>
        </w:rPr>
        <w:t xml:space="preserve"> Hinsenkamp M. Violence against healthcare workers. 2013</w:t>
      </w:r>
    </w:p>
  </w:endnote>
  <w:endnote w:id="10">
    <w:p w14:paraId="7CD20FDE" w14:textId="77777777" w:rsidR="00B61AFF" w:rsidRPr="008669BC" w:rsidRDefault="00B61AFF" w:rsidP="00D853B1">
      <w:pPr>
        <w:pStyle w:val="EndnoteText"/>
        <w:jc w:val="both"/>
        <w:rPr>
          <w:strike/>
        </w:rPr>
      </w:pPr>
      <w:r w:rsidRPr="008669BC">
        <w:rPr>
          <w:rStyle w:val="EndnoteReference"/>
          <w:strike/>
        </w:rPr>
        <w:endnoteRef/>
      </w:r>
      <w:r w:rsidRPr="008669BC">
        <w:rPr>
          <w:strike/>
        </w:rPr>
        <w:t xml:space="preserve"> Gallant-Roman MA. Strategies and tools to reduce workplace violence. American Association of Occupational Hospital Nurses Journal. 2008; 56(11), 449-454</w:t>
      </w:r>
    </w:p>
  </w:endnote>
  <w:endnote w:id="11">
    <w:p w14:paraId="21B7B36F" w14:textId="77777777" w:rsidR="00B61AFF" w:rsidRPr="008669BC" w:rsidRDefault="00B61AFF" w:rsidP="00D853B1">
      <w:pPr>
        <w:pStyle w:val="EndnoteText"/>
        <w:jc w:val="both"/>
        <w:rPr>
          <w:strike/>
        </w:rPr>
      </w:pPr>
      <w:r w:rsidRPr="008669BC">
        <w:rPr>
          <w:rStyle w:val="EndnoteReference"/>
          <w:strike/>
        </w:rPr>
        <w:endnoteRef/>
      </w:r>
      <w:r w:rsidRPr="008669BC">
        <w:rPr>
          <w:strike/>
        </w:rPr>
        <w:t xml:space="preserve"> Findorff MJ, McGovern PM, Wall MM, Gerberich SG. Reporting violence to a health care employer: a cross-sectional study. American Association of Occupational Hospital Nurses Journal.2005;53(9),399-406</w:t>
      </w:r>
    </w:p>
  </w:endnote>
  <w:endnote w:id="12">
    <w:p w14:paraId="1F6B5F80" w14:textId="77777777" w:rsidR="00B61AFF" w:rsidRPr="008669BC" w:rsidRDefault="00B61AFF" w:rsidP="00D853B1">
      <w:pPr>
        <w:pStyle w:val="EndnoteText"/>
        <w:jc w:val="both"/>
        <w:rPr>
          <w:strike/>
        </w:rPr>
      </w:pPr>
      <w:r w:rsidRPr="008669BC">
        <w:rPr>
          <w:rStyle w:val="EndnoteReference"/>
          <w:strike/>
        </w:rPr>
        <w:endnoteRef/>
      </w:r>
      <w:r w:rsidRPr="008669BC">
        <w:rPr>
          <w:strike/>
        </w:rPr>
        <w:t xml:space="preserve"> Arnetz J, Lipscomb J, Ogaitis J. In search of effective solutions to curb workplace violence. ED management: the monthly update on emergency department management</w:t>
      </w:r>
    </w:p>
  </w:endnote>
  <w:endnote w:id="13">
    <w:p w14:paraId="753B717C" w14:textId="77777777" w:rsidR="00B61AFF" w:rsidRPr="008669BC" w:rsidRDefault="00B61AFF" w:rsidP="00D853B1">
      <w:pPr>
        <w:pStyle w:val="EndnoteText"/>
        <w:jc w:val="both"/>
        <w:rPr>
          <w:strike/>
        </w:rPr>
      </w:pPr>
      <w:r w:rsidRPr="008669BC">
        <w:rPr>
          <w:rStyle w:val="EndnoteReference"/>
          <w:strike/>
        </w:rPr>
        <w:endnoteRef/>
      </w:r>
      <w:r w:rsidRPr="008669BC">
        <w:rPr>
          <w:strike/>
        </w:rPr>
        <w:t xml:space="preserve"> Wang S, O'Brien-Pallas LL, Hayes L. A review and evaluation of workplace violence prevention programs in the health sector. Toronto: Nursing Health Services Research Unit. 2008</w:t>
      </w:r>
    </w:p>
  </w:endnote>
  <w:endnote w:id="14">
    <w:p w14:paraId="047DA6E6" w14:textId="77777777" w:rsidR="00B61AFF" w:rsidRPr="008669BC" w:rsidRDefault="00B61AFF" w:rsidP="00D853B1">
      <w:pPr>
        <w:pStyle w:val="EndnoteText"/>
        <w:jc w:val="both"/>
        <w:rPr>
          <w:strike/>
        </w:rPr>
      </w:pPr>
      <w:r w:rsidRPr="008669BC">
        <w:rPr>
          <w:rStyle w:val="EndnoteReference"/>
          <w:strike/>
        </w:rPr>
        <w:endnoteRef/>
      </w:r>
      <w:r w:rsidRPr="008669BC">
        <w:rPr>
          <w:strike/>
        </w:rPr>
        <w:t xml:space="preserve"> Groenewold MR, Sarmiento RF, Vanoli K, Raudabaugh W, Nowlin S, Gomaa A. Workplace violence injury in 106 US hospitals participating in the Occupational Health Safety Network (OHSN), 2012‐2015.</w:t>
      </w:r>
    </w:p>
    <w:p w14:paraId="63787AFA" w14:textId="77777777" w:rsidR="00B61AFF" w:rsidRPr="008669BC" w:rsidRDefault="00B61AFF" w:rsidP="00D853B1">
      <w:pPr>
        <w:pStyle w:val="EndnoteText"/>
        <w:jc w:val="both"/>
        <w:rPr>
          <w:strike/>
        </w:rPr>
      </w:pPr>
      <w:r w:rsidRPr="008669BC">
        <w:rPr>
          <w:strike/>
        </w:rPr>
        <w:t>American Journal of Industrial Medicine. 2018; 61(2), 157-166</w:t>
      </w:r>
    </w:p>
  </w:endnote>
  <w:endnote w:id="15">
    <w:p w14:paraId="2012B638" w14:textId="77777777" w:rsidR="00B61AFF" w:rsidRPr="008669BC" w:rsidRDefault="00B61AFF" w:rsidP="00D853B1">
      <w:pPr>
        <w:pStyle w:val="EndnoteText"/>
        <w:jc w:val="both"/>
        <w:rPr>
          <w:strike/>
        </w:rPr>
      </w:pPr>
      <w:r w:rsidRPr="008669BC">
        <w:rPr>
          <w:rStyle w:val="EndnoteReference"/>
          <w:strike/>
        </w:rPr>
        <w:endnoteRef/>
      </w:r>
      <w:r w:rsidRPr="008669BC">
        <w:rPr>
          <w:strike/>
        </w:rPr>
        <w:t xml:space="preserve"> Arnetz JE, Arnetz BB, Söderman E. Violence toward health care workers: Prevalence and incidence at a large, regional hospital in Sweden. American Association of Occupational Hospital Nurses Journal. 1998; 46(3), 107-114.</w:t>
      </w:r>
    </w:p>
  </w:endnote>
  <w:endnote w:id="16">
    <w:p w14:paraId="08E53D51" w14:textId="77777777" w:rsidR="00B61AFF" w:rsidRPr="008669BC" w:rsidRDefault="00B61AFF" w:rsidP="00D853B1">
      <w:pPr>
        <w:pStyle w:val="EndnoteText"/>
        <w:jc w:val="both"/>
        <w:rPr>
          <w:strike/>
        </w:rPr>
      </w:pPr>
      <w:r w:rsidRPr="008669BC">
        <w:rPr>
          <w:rStyle w:val="EndnoteReference"/>
          <w:strike/>
        </w:rPr>
        <w:endnoteRef/>
      </w:r>
      <w:r w:rsidRPr="008669BC">
        <w:rPr>
          <w:strike/>
        </w:rPr>
        <w:t xml:space="preserve"> Fleming P, Harvey HD. Strategy development in dealing with violence against employees in the workplace. The Journal of the Royal Society for the Promotion of Health. 2002; 122(4), 226-232</w:t>
      </w:r>
    </w:p>
  </w:endnote>
  <w:endnote w:id="17">
    <w:p w14:paraId="5D6DFE07" w14:textId="77777777" w:rsidR="00B61AFF" w:rsidRPr="008669BC" w:rsidRDefault="00B61AFF" w:rsidP="00D853B1">
      <w:pPr>
        <w:pStyle w:val="EndnoteText"/>
        <w:jc w:val="both"/>
        <w:rPr>
          <w:strike/>
        </w:rPr>
      </w:pPr>
      <w:r w:rsidRPr="008669BC">
        <w:rPr>
          <w:rStyle w:val="EndnoteReference"/>
          <w:strike/>
        </w:rPr>
        <w:endnoteRef/>
      </w:r>
      <w:r w:rsidRPr="008669BC">
        <w:rPr>
          <w:strike/>
        </w:rPr>
        <w:t xml:space="preserve"> Arnetz JE, Hamblin L, Russell J, Upfal MJ, Luborsky M, Janisse J, Essenmacher L. Preventing patient-to-worker violence in hospitals: outcome of a randomized controlled intervention. Journal of Occupational and Environmental Medicine. 2017; 59(1), 18</w:t>
      </w:r>
    </w:p>
  </w:endnote>
  <w:endnote w:id="18">
    <w:p w14:paraId="5FB735D2" w14:textId="77777777" w:rsidR="00B61AFF" w:rsidRPr="008669BC" w:rsidRDefault="00B61AFF" w:rsidP="00D853B1">
      <w:pPr>
        <w:pStyle w:val="EndnoteText"/>
        <w:jc w:val="both"/>
        <w:rPr>
          <w:strike/>
          <w:sz w:val="16"/>
        </w:rPr>
      </w:pPr>
      <w:r w:rsidRPr="008669BC">
        <w:rPr>
          <w:rStyle w:val="EndnoteReference"/>
          <w:strike/>
        </w:rPr>
        <w:endnoteRef/>
      </w:r>
      <w:r w:rsidRPr="008669BC">
        <w:rPr>
          <w:strike/>
        </w:rPr>
        <w:t xml:space="preserve"> Copeland D, Henry M. Workplace violence and perceptions of safety among emergency department staff members: Experiences, expectations, tolerance, reporting, and recommendations. Journal of Trauma Nursing. </w:t>
      </w:r>
      <w:r w:rsidRPr="008669BC">
        <w:rPr>
          <w:strike/>
          <w:sz w:val="18"/>
        </w:rPr>
        <w:t>2017; 24(2), 65-77</w:t>
      </w:r>
    </w:p>
  </w:endnote>
  <w:endnote w:id="19">
    <w:p w14:paraId="1298ACFB" w14:textId="77777777" w:rsidR="00B61AFF" w:rsidRPr="008669BC" w:rsidRDefault="00B61AFF" w:rsidP="00D853B1">
      <w:pPr>
        <w:pStyle w:val="EndnoteText"/>
        <w:jc w:val="both"/>
        <w:rPr>
          <w:strike/>
        </w:rPr>
      </w:pPr>
      <w:r w:rsidRPr="008669BC">
        <w:rPr>
          <w:rStyle w:val="EndnoteReference"/>
          <w:strike/>
        </w:rPr>
        <w:endnoteRef/>
      </w:r>
      <w:r w:rsidRPr="008669BC">
        <w:rPr>
          <w:strike/>
        </w:rPr>
        <w:t xml:space="preserve"> Ramacciati N, Ceccagnoli A, Addey B, Rasero L. Violence towards emergency nurses. The Italian National Survey 2016: a qualitative study. International Journal of Nursing Studies. 2018; 81, 21-29</w:t>
      </w:r>
    </w:p>
  </w:endnote>
  <w:endnote w:id="20">
    <w:p w14:paraId="0630DE0C" w14:textId="77777777" w:rsidR="00B61AFF" w:rsidRPr="008669BC" w:rsidRDefault="00B61AFF" w:rsidP="00D853B1">
      <w:pPr>
        <w:pStyle w:val="EndnoteText"/>
        <w:jc w:val="both"/>
        <w:rPr>
          <w:strike/>
        </w:rPr>
      </w:pPr>
      <w:r w:rsidRPr="008669BC">
        <w:rPr>
          <w:rStyle w:val="EndnoteReference"/>
          <w:strike/>
        </w:rPr>
        <w:endnoteRef/>
      </w:r>
      <w:r w:rsidRPr="008669BC">
        <w:rPr>
          <w:strike/>
        </w:rPr>
        <w:t xml:space="preserve"> Wolf LA, Dela AM, Perhats C. Nothing changes, nobody cares: Understanding the experience of emergency nurses physically or verbally assaulted while providing care. Journal of Emergency Nursing 2014; 40(4), 305-310.</w:t>
      </w:r>
    </w:p>
  </w:endnote>
  <w:endnote w:id="21">
    <w:p w14:paraId="2D78F1F2" w14:textId="77777777" w:rsidR="00B61AFF" w:rsidRPr="008669BC" w:rsidRDefault="00B61AFF" w:rsidP="00D853B1">
      <w:pPr>
        <w:pStyle w:val="EndnoteText"/>
        <w:jc w:val="both"/>
        <w:rPr>
          <w:strike/>
        </w:rPr>
      </w:pPr>
      <w:r w:rsidRPr="008669BC">
        <w:rPr>
          <w:rStyle w:val="EndnoteReference"/>
          <w:strike/>
        </w:rPr>
        <w:endnoteRef/>
      </w:r>
      <w:r w:rsidRPr="008669BC">
        <w:rPr>
          <w:strike/>
        </w:rPr>
        <w:t xml:space="preserve"> Partridge B, Affleck J. Verbal abuse and physical assault in the emergency department: Rates of violence, perceptions of safety, and attitudes towards security. Australasian Emergency Nursing Journal. 2017;20(3), 139-145.</w:t>
      </w:r>
    </w:p>
  </w:endnote>
  <w:endnote w:id="22">
    <w:p w14:paraId="0F602BC2" w14:textId="77777777" w:rsidR="00B61AFF" w:rsidRPr="008669BC" w:rsidRDefault="00B61AFF" w:rsidP="00D853B1">
      <w:pPr>
        <w:pStyle w:val="EndnoteText"/>
        <w:jc w:val="both"/>
        <w:rPr>
          <w:strike/>
        </w:rPr>
      </w:pPr>
      <w:r w:rsidRPr="008669BC">
        <w:rPr>
          <w:rStyle w:val="EndnoteReference"/>
          <w:strike/>
        </w:rPr>
        <w:endnoteRef/>
      </w:r>
      <w:r w:rsidRPr="008669BC">
        <w:rPr>
          <w:strike/>
        </w:rPr>
        <w:t xml:space="preserve"> Nikathil S, Olaussen A, Gocentas RA, Symons E, Mitra B. Workplace violence in the emergency department: A systematic review and meta-analysis. Emergency Medicine Australasia. 2017</w:t>
      </w:r>
    </w:p>
  </w:endnote>
  <w:endnote w:id="23">
    <w:p w14:paraId="777B7895" w14:textId="77777777" w:rsidR="00B61AFF" w:rsidRPr="008669BC" w:rsidRDefault="00B61AFF" w:rsidP="00D853B1">
      <w:pPr>
        <w:pStyle w:val="EndnoteText"/>
        <w:jc w:val="both"/>
        <w:rPr>
          <w:strike/>
          <w:lang w:val="pt-PT"/>
        </w:rPr>
      </w:pPr>
      <w:r w:rsidRPr="008669BC">
        <w:rPr>
          <w:rStyle w:val="EndnoteReference"/>
          <w:strike/>
        </w:rPr>
        <w:endnoteRef/>
      </w:r>
      <w:r w:rsidRPr="008669BC">
        <w:rPr>
          <w:strike/>
        </w:rPr>
        <w:t xml:space="preserve"> Ursin H, Eriksen HR. The cognitive activation theory of stress. </w:t>
      </w:r>
      <w:r w:rsidRPr="008669BC">
        <w:rPr>
          <w:strike/>
          <w:lang w:val="pt-PT"/>
        </w:rPr>
        <w:t>Psychoneuroendocrinology, 2004; 29(5),567-592</w:t>
      </w:r>
    </w:p>
  </w:endnote>
  <w:endnote w:id="24">
    <w:p w14:paraId="56CDD46E" w14:textId="77777777" w:rsidR="00B61AFF" w:rsidRPr="008669BC" w:rsidRDefault="00B61AFF" w:rsidP="00D853B1">
      <w:pPr>
        <w:pStyle w:val="EndnoteText"/>
        <w:jc w:val="both"/>
        <w:rPr>
          <w:strike/>
        </w:rPr>
      </w:pPr>
      <w:r w:rsidRPr="008669BC">
        <w:rPr>
          <w:rStyle w:val="EndnoteReference"/>
          <w:strike/>
        </w:rPr>
        <w:endnoteRef/>
      </w:r>
      <w:r w:rsidRPr="008669BC">
        <w:rPr>
          <w:strike/>
          <w:lang w:val="pt-PT"/>
        </w:rPr>
        <w:t xml:space="preserve"> Maroco J, Maroco AL, Leite E, Bastos C, Vazão MJ, Campos JADB. Burnout em profissionais da saúde portugueses: Uma análise a nível nacional. </w:t>
      </w:r>
      <w:r w:rsidRPr="008669BC">
        <w:rPr>
          <w:strike/>
        </w:rPr>
        <w:t>Acta Médica Portuguesa. 2016; 29, 24-30</w:t>
      </w:r>
    </w:p>
  </w:endnote>
  <w:endnote w:id="25">
    <w:p w14:paraId="315B53CF" w14:textId="77777777" w:rsidR="00B61AFF" w:rsidRPr="008669BC" w:rsidRDefault="00B61AFF" w:rsidP="00D853B1">
      <w:pPr>
        <w:pStyle w:val="EndnoteText"/>
        <w:jc w:val="both"/>
        <w:rPr>
          <w:strike/>
        </w:rPr>
      </w:pPr>
      <w:r w:rsidRPr="008669BC">
        <w:rPr>
          <w:rStyle w:val="EndnoteReference"/>
          <w:strike/>
        </w:rPr>
        <w:endnoteRef/>
      </w:r>
      <w:r w:rsidRPr="008669BC">
        <w:rPr>
          <w:strike/>
        </w:rPr>
        <w:t xml:space="preserve"> Wang S, O'Brien-Pallas LL, Hayes L. A review and evaluation of workplace violence prevention programs in the health sector. Toronto: Nursing Health Services Research Unit. 2008</w:t>
      </w:r>
    </w:p>
  </w:endnote>
  <w:endnote w:id="26">
    <w:p w14:paraId="17AAE97E" w14:textId="36B2CBA0" w:rsidR="00B61AFF" w:rsidRPr="008669BC" w:rsidRDefault="00B61AFF" w:rsidP="00D853B1">
      <w:pPr>
        <w:pStyle w:val="EndnoteText"/>
        <w:jc w:val="both"/>
        <w:rPr>
          <w:strike/>
        </w:rPr>
      </w:pPr>
      <w:r w:rsidRPr="008669BC">
        <w:rPr>
          <w:rStyle w:val="EndnoteReference"/>
          <w:strike/>
        </w:rPr>
        <w:endnoteRef/>
      </w:r>
      <w:r w:rsidRPr="008669BC">
        <w:rPr>
          <w:strike/>
        </w:rPr>
        <w:t xml:space="preserve"> Findorff, MJ, McGovern PM, Sinclair S. Work-related violence policy: A process evaluation. American Association of Occupational Hospital Nurses Journal. 2005; 53(8), 360-369</w:t>
      </w:r>
    </w:p>
    <w:p w14:paraId="043A919F" w14:textId="55F121BB" w:rsidR="008669BC" w:rsidRDefault="008669BC" w:rsidP="00D853B1">
      <w:pPr>
        <w:pStyle w:val="EndnoteText"/>
        <w:jc w:val="both"/>
      </w:pPr>
    </w:p>
    <w:p w14:paraId="1EA7D9C7" w14:textId="77777777" w:rsidR="008669BC" w:rsidRDefault="008669BC" w:rsidP="00D853B1">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2"/>
      </w:rPr>
      <w:id w:val="1728950784"/>
      <w:docPartObj>
        <w:docPartGallery w:val="Page Numbers (Bottom of Page)"/>
        <w:docPartUnique/>
      </w:docPartObj>
    </w:sdtPr>
    <w:sdtEndPr>
      <w:rPr>
        <w:noProof/>
      </w:rPr>
    </w:sdtEndPr>
    <w:sdtContent>
      <w:p w14:paraId="04F7A4DB" w14:textId="77777777" w:rsidR="00B61AFF" w:rsidRPr="00B15EBB" w:rsidRDefault="00B61AFF">
        <w:pPr>
          <w:pStyle w:val="Footer"/>
          <w:jc w:val="right"/>
          <w:rPr>
            <w:sz w:val="12"/>
          </w:rPr>
        </w:pPr>
        <w:r w:rsidRPr="00B15EBB">
          <w:rPr>
            <w:sz w:val="12"/>
          </w:rPr>
          <w:fldChar w:fldCharType="begin"/>
        </w:r>
        <w:r w:rsidRPr="00B15EBB">
          <w:rPr>
            <w:sz w:val="12"/>
          </w:rPr>
          <w:instrText xml:space="preserve"> PAGE   \* MERGEFORMAT </w:instrText>
        </w:r>
        <w:r w:rsidRPr="00B15EBB">
          <w:rPr>
            <w:sz w:val="12"/>
          </w:rPr>
          <w:fldChar w:fldCharType="separate"/>
        </w:r>
        <w:r>
          <w:rPr>
            <w:noProof/>
            <w:sz w:val="12"/>
          </w:rPr>
          <w:t>16</w:t>
        </w:r>
        <w:r w:rsidRPr="00B15EBB">
          <w:rPr>
            <w:noProof/>
            <w:sz w:val="12"/>
          </w:rPr>
          <w:fldChar w:fldCharType="end"/>
        </w:r>
      </w:p>
    </w:sdtContent>
  </w:sdt>
  <w:p w14:paraId="2B7C0E19" w14:textId="77777777" w:rsidR="00B61AFF" w:rsidRPr="00B15EBB" w:rsidRDefault="00B61AFF">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A6106" w14:textId="77777777" w:rsidR="002557FD" w:rsidRDefault="002557FD" w:rsidP="00F620CF">
      <w:pPr>
        <w:spacing w:after="0" w:line="240" w:lineRule="auto"/>
      </w:pPr>
      <w:r>
        <w:separator/>
      </w:r>
    </w:p>
  </w:footnote>
  <w:footnote w:type="continuationSeparator" w:id="0">
    <w:p w14:paraId="7054E335" w14:textId="77777777" w:rsidR="002557FD" w:rsidRDefault="002557FD" w:rsidP="00F620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95592"/>
    <w:multiLevelType w:val="hybridMultilevel"/>
    <w:tmpl w:val="292266CC"/>
    <w:lvl w:ilvl="0" w:tplc="806C3A8E">
      <w:start w:val="1"/>
      <w:numFmt w:val="bullet"/>
      <w:lvlText w:val="‒"/>
      <w:lvlJc w:val="left"/>
      <w:pPr>
        <w:ind w:left="720" w:hanging="360"/>
      </w:pPr>
      <w:rPr>
        <w:rFonts w:ascii="Calibri Light" w:hAnsi="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B8583D"/>
    <w:multiLevelType w:val="hybridMultilevel"/>
    <w:tmpl w:val="A736419A"/>
    <w:lvl w:ilvl="0" w:tplc="806C3A8E">
      <w:start w:val="1"/>
      <w:numFmt w:val="bullet"/>
      <w:lvlText w:val="‒"/>
      <w:lvlJc w:val="left"/>
      <w:pPr>
        <w:ind w:left="720" w:hanging="360"/>
      </w:pPr>
      <w:rPr>
        <w:rFonts w:ascii="Calibri Light" w:hAnsi="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D65"/>
    <w:rsid w:val="00001757"/>
    <w:rsid w:val="00006817"/>
    <w:rsid w:val="00006B1A"/>
    <w:rsid w:val="000119DC"/>
    <w:rsid w:val="00020287"/>
    <w:rsid w:val="00022CD6"/>
    <w:rsid w:val="0002373B"/>
    <w:rsid w:val="00023B76"/>
    <w:rsid w:val="00025801"/>
    <w:rsid w:val="00032004"/>
    <w:rsid w:val="000323C0"/>
    <w:rsid w:val="00036456"/>
    <w:rsid w:val="00043A5D"/>
    <w:rsid w:val="00044D4E"/>
    <w:rsid w:val="000508CD"/>
    <w:rsid w:val="00052A77"/>
    <w:rsid w:val="00055527"/>
    <w:rsid w:val="00061EBE"/>
    <w:rsid w:val="00064476"/>
    <w:rsid w:val="00067983"/>
    <w:rsid w:val="00070727"/>
    <w:rsid w:val="000746AC"/>
    <w:rsid w:val="00075909"/>
    <w:rsid w:val="00076811"/>
    <w:rsid w:val="00083A2B"/>
    <w:rsid w:val="00085A07"/>
    <w:rsid w:val="000917BC"/>
    <w:rsid w:val="00091EB8"/>
    <w:rsid w:val="000931DE"/>
    <w:rsid w:val="000A36D6"/>
    <w:rsid w:val="000A38EF"/>
    <w:rsid w:val="000A58F8"/>
    <w:rsid w:val="000B002D"/>
    <w:rsid w:val="000B4B0A"/>
    <w:rsid w:val="000B4CAB"/>
    <w:rsid w:val="000B7F48"/>
    <w:rsid w:val="000C0EB0"/>
    <w:rsid w:val="000C13A3"/>
    <w:rsid w:val="000C5AB3"/>
    <w:rsid w:val="000C6327"/>
    <w:rsid w:val="000D58B0"/>
    <w:rsid w:val="000E06E0"/>
    <w:rsid w:val="000E2B7E"/>
    <w:rsid w:val="000E5009"/>
    <w:rsid w:val="000F1E35"/>
    <w:rsid w:val="000F7CD6"/>
    <w:rsid w:val="001018D8"/>
    <w:rsid w:val="00102BE7"/>
    <w:rsid w:val="0011026B"/>
    <w:rsid w:val="001205D4"/>
    <w:rsid w:val="00122389"/>
    <w:rsid w:val="00125E35"/>
    <w:rsid w:val="00126DFE"/>
    <w:rsid w:val="0013016B"/>
    <w:rsid w:val="00132E88"/>
    <w:rsid w:val="00133A6B"/>
    <w:rsid w:val="0013459D"/>
    <w:rsid w:val="001371FB"/>
    <w:rsid w:val="00137B20"/>
    <w:rsid w:val="00147791"/>
    <w:rsid w:val="00155C21"/>
    <w:rsid w:val="00164CB5"/>
    <w:rsid w:val="00172B96"/>
    <w:rsid w:val="00181664"/>
    <w:rsid w:val="00182C44"/>
    <w:rsid w:val="001844C9"/>
    <w:rsid w:val="001947E8"/>
    <w:rsid w:val="001A3FCB"/>
    <w:rsid w:val="001C3D53"/>
    <w:rsid w:val="001C5E2C"/>
    <w:rsid w:val="001D0A16"/>
    <w:rsid w:val="001D13E9"/>
    <w:rsid w:val="001E2570"/>
    <w:rsid w:val="001E5FF8"/>
    <w:rsid w:val="001F170D"/>
    <w:rsid w:val="001F73E6"/>
    <w:rsid w:val="00201A3F"/>
    <w:rsid w:val="0020355B"/>
    <w:rsid w:val="002039C9"/>
    <w:rsid w:val="002060AC"/>
    <w:rsid w:val="00210477"/>
    <w:rsid w:val="002130B9"/>
    <w:rsid w:val="00224F88"/>
    <w:rsid w:val="0022713F"/>
    <w:rsid w:val="00240036"/>
    <w:rsid w:val="00243FF5"/>
    <w:rsid w:val="00245423"/>
    <w:rsid w:val="0024677E"/>
    <w:rsid w:val="002477BA"/>
    <w:rsid w:val="00247D3C"/>
    <w:rsid w:val="00250DD7"/>
    <w:rsid w:val="00252793"/>
    <w:rsid w:val="002557FD"/>
    <w:rsid w:val="00264FB0"/>
    <w:rsid w:val="00272A02"/>
    <w:rsid w:val="00280FF2"/>
    <w:rsid w:val="002840CB"/>
    <w:rsid w:val="00290244"/>
    <w:rsid w:val="00293ABB"/>
    <w:rsid w:val="002963B8"/>
    <w:rsid w:val="00296817"/>
    <w:rsid w:val="00296CF7"/>
    <w:rsid w:val="00296E95"/>
    <w:rsid w:val="002A1DF9"/>
    <w:rsid w:val="002A7B5B"/>
    <w:rsid w:val="002B1014"/>
    <w:rsid w:val="002B251F"/>
    <w:rsid w:val="002B3FDA"/>
    <w:rsid w:val="002C2D1F"/>
    <w:rsid w:val="002C5C1C"/>
    <w:rsid w:val="002D53CE"/>
    <w:rsid w:val="002D6B8B"/>
    <w:rsid w:val="002D6DB8"/>
    <w:rsid w:val="002E05EA"/>
    <w:rsid w:val="002E72CD"/>
    <w:rsid w:val="002F2AA4"/>
    <w:rsid w:val="002F4925"/>
    <w:rsid w:val="002F59F4"/>
    <w:rsid w:val="002F7EA8"/>
    <w:rsid w:val="00310B68"/>
    <w:rsid w:val="00330291"/>
    <w:rsid w:val="00340479"/>
    <w:rsid w:val="003411A7"/>
    <w:rsid w:val="00342DFB"/>
    <w:rsid w:val="00351EA6"/>
    <w:rsid w:val="0035222B"/>
    <w:rsid w:val="00355E65"/>
    <w:rsid w:val="00356199"/>
    <w:rsid w:val="003577BA"/>
    <w:rsid w:val="00361D65"/>
    <w:rsid w:val="00365E4E"/>
    <w:rsid w:val="00366B72"/>
    <w:rsid w:val="00367072"/>
    <w:rsid w:val="003731D9"/>
    <w:rsid w:val="00377D65"/>
    <w:rsid w:val="003816D6"/>
    <w:rsid w:val="00382573"/>
    <w:rsid w:val="00383D3B"/>
    <w:rsid w:val="00386036"/>
    <w:rsid w:val="00390AA2"/>
    <w:rsid w:val="003A42C6"/>
    <w:rsid w:val="003A57A0"/>
    <w:rsid w:val="003B46BC"/>
    <w:rsid w:val="003B6D4A"/>
    <w:rsid w:val="003E2FE5"/>
    <w:rsid w:val="003E7C5B"/>
    <w:rsid w:val="00400001"/>
    <w:rsid w:val="004060CF"/>
    <w:rsid w:val="004075ED"/>
    <w:rsid w:val="004138D5"/>
    <w:rsid w:val="00416FEB"/>
    <w:rsid w:val="0041776B"/>
    <w:rsid w:val="0042514F"/>
    <w:rsid w:val="004306ED"/>
    <w:rsid w:val="00437762"/>
    <w:rsid w:val="004412B7"/>
    <w:rsid w:val="00443884"/>
    <w:rsid w:val="00444CC3"/>
    <w:rsid w:val="004475AD"/>
    <w:rsid w:val="004515F5"/>
    <w:rsid w:val="00454A06"/>
    <w:rsid w:val="004553C0"/>
    <w:rsid w:val="00461593"/>
    <w:rsid w:val="0046576A"/>
    <w:rsid w:val="00465AA8"/>
    <w:rsid w:val="00466B22"/>
    <w:rsid w:val="00471883"/>
    <w:rsid w:val="004753FC"/>
    <w:rsid w:val="00476633"/>
    <w:rsid w:val="004851A0"/>
    <w:rsid w:val="004856F4"/>
    <w:rsid w:val="004866EB"/>
    <w:rsid w:val="00493BEA"/>
    <w:rsid w:val="00497ABD"/>
    <w:rsid w:val="004A78A5"/>
    <w:rsid w:val="004B37AF"/>
    <w:rsid w:val="004C380A"/>
    <w:rsid w:val="004C7299"/>
    <w:rsid w:val="004E1677"/>
    <w:rsid w:val="004E3A73"/>
    <w:rsid w:val="004E415D"/>
    <w:rsid w:val="004F30DD"/>
    <w:rsid w:val="004F45C3"/>
    <w:rsid w:val="004F4B4B"/>
    <w:rsid w:val="00500E8B"/>
    <w:rsid w:val="005058D0"/>
    <w:rsid w:val="0051358B"/>
    <w:rsid w:val="00515E87"/>
    <w:rsid w:val="005207D8"/>
    <w:rsid w:val="005235AB"/>
    <w:rsid w:val="005333C3"/>
    <w:rsid w:val="005350E1"/>
    <w:rsid w:val="00536F1F"/>
    <w:rsid w:val="005374E5"/>
    <w:rsid w:val="00537D8B"/>
    <w:rsid w:val="00543AF1"/>
    <w:rsid w:val="00543D34"/>
    <w:rsid w:val="005451A6"/>
    <w:rsid w:val="00546813"/>
    <w:rsid w:val="005469B4"/>
    <w:rsid w:val="005508E2"/>
    <w:rsid w:val="005527A9"/>
    <w:rsid w:val="005540A3"/>
    <w:rsid w:val="00556982"/>
    <w:rsid w:val="00556AC3"/>
    <w:rsid w:val="00581ADB"/>
    <w:rsid w:val="005833CA"/>
    <w:rsid w:val="00583E19"/>
    <w:rsid w:val="00593BED"/>
    <w:rsid w:val="0059463E"/>
    <w:rsid w:val="00594D39"/>
    <w:rsid w:val="005958A9"/>
    <w:rsid w:val="005A180C"/>
    <w:rsid w:val="005C4F5A"/>
    <w:rsid w:val="005D0D99"/>
    <w:rsid w:val="005D1096"/>
    <w:rsid w:val="005E201F"/>
    <w:rsid w:val="005F2D80"/>
    <w:rsid w:val="005F4940"/>
    <w:rsid w:val="00603C08"/>
    <w:rsid w:val="00604DE2"/>
    <w:rsid w:val="006052DD"/>
    <w:rsid w:val="00607B9F"/>
    <w:rsid w:val="00611404"/>
    <w:rsid w:val="00611A6A"/>
    <w:rsid w:val="0061599C"/>
    <w:rsid w:val="0061790B"/>
    <w:rsid w:val="00620236"/>
    <w:rsid w:val="00622481"/>
    <w:rsid w:val="0062282D"/>
    <w:rsid w:val="006257D6"/>
    <w:rsid w:val="00625DC0"/>
    <w:rsid w:val="00630872"/>
    <w:rsid w:val="00631C33"/>
    <w:rsid w:val="00633394"/>
    <w:rsid w:val="006354E4"/>
    <w:rsid w:val="00636813"/>
    <w:rsid w:val="00641766"/>
    <w:rsid w:val="00641C7A"/>
    <w:rsid w:val="00653E9B"/>
    <w:rsid w:val="00666FFA"/>
    <w:rsid w:val="0067140A"/>
    <w:rsid w:val="006726B9"/>
    <w:rsid w:val="00674959"/>
    <w:rsid w:val="006766F8"/>
    <w:rsid w:val="00682276"/>
    <w:rsid w:val="00683909"/>
    <w:rsid w:val="006A0861"/>
    <w:rsid w:val="006A6E69"/>
    <w:rsid w:val="006B01E8"/>
    <w:rsid w:val="006B134F"/>
    <w:rsid w:val="006B31C4"/>
    <w:rsid w:val="006B700D"/>
    <w:rsid w:val="006C2D9D"/>
    <w:rsid w:val="006C646E"/>
    <w:rsid w:val="006D1376"/>
    <w:rsid w:val="006E14B3"/>
    <w:rsid w:val="006E1659"/>
    <w:rsid w:val="006E33BF"/>
    <w:rsid w:val="006E75A3"/>
    <w:rsid w:val="006F25E1"/>
    <w:rsid w:val="006F51E6"/>
    <w:rsid w:val="007036EA"/>
    <w:rsid w:val="00706F4C"/>
    <w:rsid w:val="007111A1"/>
    <w:rsid w:val="0071259A"/>
    <w:rsid w:val="00715CAE"/>
    <w:rsid w:val="007168D6"/>
    <w:rsid w:val="0072047F"/>
    <w:rsid w:val="007245D5"/>
    <w:rsid w:val="007330F9"/>
    <w:rsid w:val="00733E86"/>
    <w:rsid w:val="00734F1B"/>
    <w:rsid w:val="00735C7D"/>
    <w:rsid w:val="007375E5"/>
    <w:rsid w:val="00742096"/>
    <w:rsid w:val="00742E70"/>
    <w:rsid w:val="007478E8"/>
    <w:rsid w:val="007529A2"/>
    <w:rsid w:val="00764727"/>
    <w:rsid w:val="0077166E"/>
    <w:rsid w:val="00772664"/>
    <w:rsid w:val="00775233"/>
    <w:rsid w:val="00781130"/>
    <w:rsid w:val="007876F2"/>
    <w:rsid w:val="00793837"/>
    <w:rsid w:val="00793839"/>
    <w:rsid w:val="00794E27"/>
    <w:rsid w:val="00795C3A"/>
    <w:rsid w:val="0079726A"/>
    <w:rsid w:val="007A084C"/>
    <w:rsid w:val="007A28F2"/>
    <w:rsid w:val="007A359B"/>
    <w:rsid w:val="007A39C7"/>
    <w:rsid w:val="007B2F27"/>
    <w:rsid w:val="007B569A"/>
    <w:rsid w:val="007B6DCE"/>
    <w:rsid w:val="007C30D4"/>
    <w:rsid w:val="007C61E3"/>
    <w:rsid w:val="007C666B"/>
    <w:rsid w:val="007D5808"/>
    <w:rsid w:val="007E5B7C"/>
    <w:rsid w:val="007E7471"/>
    <w:rsid w:val="007F39FF"/>
    <w:rsid w:val="007F76B1"/>
    <w:rsid w:val="00802C55"/>
    <w:rsid w:val="00806B48"/>
    <w:rsid w:val="00817A6D"/>
    <w:rsid w:val="0082247A"/>
    <w:rsid w:val="00823F8A"/>
    <w:rsid w:val="008266CB"/>
    <w:rsid w:val="00830FBC"/>
    <w:rsid w:val="0083546E"/>
    <w:rsid w:val="00835E36"/>
    <w:rsid w:val="00837030"/>
    <w:rsid w:val="00840354"/>
    <w:rsid w:val="00842065"/>
    <w:rsid w:val="008456C7"/>
    <w:rsid w:val="00856D04"/>
    <w:rsid w:val="008661C7"/>
    <w:rsid w:val="008669BC"/>
    <w:rsid w:val="00870C67"/>
    <w:rsid w:val="00871932"/>
    <w:rsid w:val="00875BEE"/>
    <w:rsid w:val="00882E83"/>
    <w:rsid w:val="0088423F"/>
    <w:rsid w:val="008854BC"/>
    <w:rsid w:val="00886BAD"/>
    <w:rsid w:val="0089318E"/>
    <w:rsid w:val="008931E4"/>
    <w:rsid w:val="008B1097"/>
    <w:rsid w:val="008B7378"/>
    <w:rsid w:val="008C1C90"/>
    <w:rsid w:val="008C29A2"/>
    <w:rsid w:val="008C6C49"/>
    <w:rsid w:val="008C6DD6"/>
    <w:rsid w:val="008C6F64"/>
    <w:rsid w:val="008C700C"/>
    <w:rsid w:val="008D075F"/>
    <w:rsid w:val="008D267F"/>
    <w:rsid w:val="008D3087"/>
    <w:rsid w:val="008D42DA"/>
    <w:rsid w:val="008D6AC8"/>
    <w:rsid w:val="008E03D5"/>
    <w:rsid w:val="008E72ED"/>
    <w:rsid w:val="008F0F2E"/>
    <w:rsid w:val="008F2489"/>
    <w:rsid w:val="009033B5"/>
    <w:rsid w:val="00905A4C"/>
    <w:rsid w:val="00907C32"/>
    <w:rsid w:val="009119E1"/>
    <w:rsid w:val="00914F1D"/>
    <w:rsid w:val="0092065C"/>
    <w:rsid w:val="00927D46"/>
    <w:rsid w:val="0093239B"/>
    <w:rsid w:val="009373C0"/>
    <w:rsid w:val="00943102"/>
    <w:rsid w:val="009432FC"/>
    <w:rsid w:val="00945009"/>
    <w:rsid w:val="00947784"/>
    <w:rsid w:val="00953187"/>
    <w:rsid w:val="00957049"/>
    <w:rsid w:val="00966D30"/>
    <w:rsid w:val="009676EA"/>
    <w:rsid w:val="0098472B"/>
    <w:rsid w:val="009879FE"/>
    <w:rsid w:val="009910F4"/>
    <w:rsid w:val="00994814"/>
    <w:rsid w:val="00995BDD"/>
    <w:rsid w:val="009A151F"/>
    <w:rsid w:val="009A5552"/>
    <w:rsid w:val="009B5B1C"/>
    <w:rsid w:val="009C22FF"/>
    <w:rsid w:val="009C6B4A"/>
    <w:rsid w:val="009D07A5"/>
    <w:rsid w:val="009D4DDC"/>
    <w:rsid w:val="009D547B"/>
    <w:rsid w:val="009D56DC"/>
    <w:rsid w:val="009D79E4"/>
    <w:rsid w:val="009E06DD"/>
    <w:rsid w:val="009E0E1B"/>
    <w:rsid w:val="009E37D0"/>
    <w:rsid w:val="009E6B91"/>
    <w:rsid w:val="009F0060"/>
    <w:rsid w:val="009F3BF4"/>
    <w:rsid w:val="009F4288"/>
    <w:rsid w:val="009F4842"/>
    <w:rsid w:val="009F6FE8"/>
    <w:rsid w:val="00A12745"/>
    <w:rsid w:val="00A203CD"/>
    <w:rsid w:val="00A21CBA"/>
    <w:rsid w:val="00A30158"/>
    <w:rsid w:val="00A32099"/>
    <w:rsid w:val="00A366B4"/>
    <w:rsid w:val="00A40671"/>
    <w:rsid w:val="00A416CB"/>
    <w:rsid w:val="00A43971"/>
    <w:rsid w:val="00A44DA4"/>
    <w:rsid w:val="00A474B3"/>
    <w:rsid w:val="00A52DD1"/>
    <w:rsid w:val="00A53CE0"/>
    <w:rsid w:val="00A53DA6"/>
    <w:rsid w:val="00A54B85"/>
    <w:rsid w:val="00A56662"/>
    <w:rsid w:val="00A60003"/>
    <w:rsid w:val="00A60243"/>
    <w:rsid w:val="00A728EB"/>
    <w:rsid w:val="00A76853"/>
    <w:rsid w:val="00A7723A"/>
    <w:rsid w:val="00A90D4E"/>
    <w:rsid w:val="00A92F0F"/>
    <w:rsid w:val="00AA0267"/>
    <w:rsid w:val="00AC3443"/>
    <w:rsid w:val="00AC4ED5"/>
    <w:rsid w:val="00AD198E"/>
    <w:rsid w:val="00AD3DA3"/>
    <w:rsid w:val="00AD41F8"/>
    <w:rsid w:val="00AD6BC5"/>
    <w:rsid w:val="00AD7313"/>
    <w:rsid w:val="00AE0CD4"/>
    <w:rsid w:val="00AE567F"/>
    <w:rsid w:val="00AF7B42"/>
    <w:rsid w:val="00B021EB"/>
    <w:rsid w:val="00B03F60"/>
    <w:rsid w:val="00B05290"/>
    <w:rsid w:val="00B05DDD"/>
    <w:rsid w:val="00B07C0C"/>
    <w:rsid w:val="00B15EBB"/>
    <w:rsid w:val="00B268E9"/>
    <w:rsid w:val="00B26BFB"/>
    <w:rsid w:val="00B359D0"/>
    <w:rsid w:val="00B37446"/>
    <w:rsid w:val="00B37F6B"/>
    <w:rsid w:val="00B478F5"/>
    <w:rsid w:val="00B61AFF"/>
    <w:rsid w:val="00B61FFF"/>
    <w:rsid w:val="00B636A2"/>
    <w:rsid w:val="00B65B51"/>
    <w:rsid w:val="00B8214C"/>
    <w:rsid w:val="00B83BAD"/>
    <w:rsid w:val="00B91B16"/>
    <w:rsid w:val="00B93846"/>
    <w:rsid w:val="00B93FE1"/>
    <w:rsid w:val="00B9447F"/>
    <w:rsid w:val="00BA4642"/>
    <w:rsid w:val="00BB3086"/>
    <w:rsid w:val="00BB4357"/>
    <w:rsid w:val="00BB5020"/>
    <w:rsid w:val="00BC1DC5"/>
    <w:rsid w:val="00BC6001"/>
    <w:rsid w:val="00BD18FC"/>
    <w:rsid w:val="00BD33D7"/>
    <w:rsid w:val="00BE527C"/>
    <w:rsid w:val="00BE58CE"/>
    <w:rsid w:val="00BF2AF4"/>
    <w:rsid w:val="00C048E6"/>
    <w:rsid w:val="00C125A4"/>
    <w:rsid w:val="00C16F54"/>
    <w:rsid w:val="00C23F10"/>
    <w:rsid w:val="00C40D35"/>
    <w:rsid w:val="00C52E84"/>
    <w:rsid w:val="00C53F02"/>
    <w:rsid w:val="00C540DC"/>
    <w:rsid w:val="00C572F0"/>
    <w:rsid w:val="00C614BC"/>
    <w:rsid w:val="00C7257A"/>
    <w:rsid w:val="00C728A1"/>
    <w:rsid w:val="00C7462A"/>
    <w:rsid w:val="00C8272B"/>
    <w:rsid w:val="00C83E5B"/>
    <w:rsid w:val="00C84EFD"/>
    <w:rsid w:val="00CA06FE"/>
    <w:rsid w:val="00CA63DE"/>
    <w:rsid w:val="00CB1868"/>
    <w:rsid w:val="00CB3985"/>
    <w:rsid w:val="00CC42A9"/>
    <w:rsid w:val="00CC4470"/>
    <w:rsid w:val="00CC65AF"/>
    <w:rsid w:val="00CD0788"/>
    <w:rsid w:val="00CD4DD3"/>
    <w:rsid w:val="00CD581B"/>
    <w:rsid w:val="00CD70BA"/>
    <w:rsid w:val="00CE7844"/>
    <w:rsid w:val="00CF0F4F"/>
    <w:rsid w:val="00CF120C"/>
    <w:rsid w:val="00CF3888"/>
    <w:rsid w:val="00D02B19"/>
    <w:rsid w:val="00D03CD2"/>
    <w:rsid w:val="00D052EE"/>
    <w:rsid w:val="00D076C2"/>
    <w:rsid w:val="00D17A06"/>
    <w:rsid w:val="00D26F5B"/>
    <w:rsid w:val="00D3183D"/>
    <w:rsid w:val="00D31D8B"/>
    <w:rsid w:val="00D32AB5"/>
    <w:rsid w:val="00D36691"/>
    <w:rsid w:val="00D40655"/>
    <w:rsid w:val="00D43F30"/>
    <w:rsid w:val="00D474EC"/>
    <w:rsid w:val="00D52461"/>
    <w:rsid w:val="00D70C77"/>
    <w:rsid w:val="00D75191"/>
    <w:rsid w:val="00D7615D"/>
    <w:rsid w:val="00D826FD"/>
    <w:rsid w:val="00D84867"/>
    <w:rsid w:val="00D853B1"/>
    <w:rsid w:val="00D965A0"/>
    <w:rsid w:val="00D96D4A"/>
    <w:rsid w:val="00DA6D66"/>
    <w:rsid w:val="00DB42A8"/>
    <w:rsid w:val="00DB4417"/>
    <w:rsid w:val="00DC0E85"/>
    <w:rsid w:val="00DC11D6"/>
    <w:rsid w:val="00DC24B9"/>
    <w:rsid w:val="00DC495A"/>
    <w:rsid w:val="00DC7A1B"/>
    <w:rsid w:val="00DD345C"/>
    <w:rsid w:val="00DE3428"/>
    <w:rsid w:val="00DE3F06"/>
    <w:rsid w:val="00DE6AAA"/>
    <w:rsid w:val="00DE6D07"/>
    <w:rsid w:val="00DF18F2"/>
    <w:rsid w:val="00DF2D20"/>
    <w:rsid w:val="00DF3C08"/>
    <w:rsid w:val="00DF5125"/>
    <w:rsid w:val="00DF5788"/>
    <w:rsid w:val="00DF7477"/>
    <w:rsid w:val="00E03774"/>
    <w:rsid w:val="00E07ACE"/>
    <w:rsid w:val="00E115EB"/>
    <w:rsid w:val="00E12388"/>
    <w:rsid w:val="00E1239C"/>
    <w:rsid w:val="00E21871"/>
    <w:rsid w:val="00E25FBD"/>
    <w:rsid w:val="00E26986"/>
    <w:rsid w:val="00E31532"/>
    <w:rsid w:val="00E336F2"/>
    <w:rsid w:val="00E429D6"/>
    <w:rsid w:val="00E4626F"/>
    <w:rsid w:val="00E66494"/>
    <w:rsid w:val="00E67690"/>
    <w:rsid w:val="00E70E5B"/>
    <w:rsid w:val="00E7436B"/>
    <w:rsid w:val="00EA1D9C"/>
    <w:rsid w:val="00EA2188"/>
    <w:rsid w:val="00EA24A6"/>
    <w:rsid w:val="00EA2C87"/>
    <w:rsid w:val="00EA74AD"/>
    <w:rsid w:val="00EB0C26"/>
    <w:rsid w:val="00EB0D64"/>
    <w:rsid w:val="00EB7EED"/>
    <w:rsid w:val="00EC466E"/>
    <w:rsid w:val="00EC4969"/>
    <w:rsid w:val="00ED652B"/>
    <w:rsid w:val="00ED7124"/>
    <w:rsid w:val="00EE0152"/>
    <w:rsid w:val="00EE0561"/>
    <w:rsid w:val="00EE06F8"/>
    <w:rsid w:val="00EE142E"/>
    <w:rsid w:val="00EE238F"/>
    <w:rsid w:val="00EE2513"/>
    <w:rsid w:val="00EE2C59"/>
    <w:rsid w:val="00EE3B63"/>
    <w:rsid w:val="00EE4889"/>
    <w:rsid w:val="00EE4D57"/>
    <w:rsid w:val="00EE6030"/>
    <w:rsid w:val="00EE646A"/>
    <w:rsid w:val="00F0262D"/>
    <w:rsid w:val="00F10E5B"/>
    <w:rsid w:val="00F12487"/>
    <w:rsid w:val="00F1629A"/>
    <w:rsid w:val="00F20CBF"/>
    <w:rsid w:val="00F23750"/>
    <w:rsid w:val="00F338F2"/>
    <w:rsid w:val="00F345FD"/>
    <w:rsid w:val="00F42291"/>
    <w:rsid w:val="00F42A6F"/>
    <w:rsid w:val="00F45677"/>
    <w:rsid w:val="00F55490"/>
    <w:rsid w:val="00F620CF"/>
    <w:rsid w:val="00F6317A"/>
    <w:rsid w:val="00F664F5"/>
    <w:rsid w:val="00F6660B"/>
    <w:rsid w:val="00F66DEA"/>
    <w:rsid w:val="00F71465"/>
    <w:rsid w:val="00F72500"/>
    <w:rsid w:val="00F8457F"/>
    <w:rsid w:val="00FB07EF"/>
    <w:rsid w:val="00FB3276"/>
    <w:rsid w:val="00FB3CA2"/>
    <w:rsid w:val="00FB59D3"/>
    <w:rsid w:val="00FC0D5B"/>
    <w:rsid w:val="00FC28FB"/>
    <w:rsid w:val="00FC48EB"/>
    <w:rsid w:val="00FC5372"/>
    <w:rsid w:val="00FC55A3"/>
    <w:rsid w:val="00FC7A39"/>
    <w:rsid w:val="00FD3680"/>
    <w:rsid w:val="00FD4D54"/>
    <w:rsid w:val="00FD5F57"/>
    <w:rsid w:val="00FE6B41"/>
    <w:rsid w:val="00FF0016"/>
    <w:rsid w:val="00FF0C7A"/>
    <w:rsid w:val="00FF54A3"/>
    <w:rsid w:val="00FF5EF4"/>
    <w:rsid w:val="00FF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E26E"/>
  <w15:docId w15:val="{6625AA08-FAAF-4646-9460-3576CE60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B85"/>
    <w:pPr>
      <w:ind w:left="720"/>
      <w:contextualSpacing/>
    </w:pPr>
  </w:style>
  <w:style w:type="paragraph" w:styleId="BalloonText">
    <w:name w:val="Balloon Text"/>
    <w:basedOn w:val="Normal"/>
    <w:link w:val="BalloonTextChar"/>
    <w:uiPriority w:val="99"/>
    <w:semiHidden/>
    <w:unhideWhenUsed/>
    <w:rsid w:val="00987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9FE"/>
    <w:rPr>
      <w:rFonts w:ascii="Segoe UI" w:hAnsi="Segoe UI" w:cs="Segoe UI"/>
      <w:sz w:val="18"/>
      <w:szCs w:val="18"/>
    </w:rPr>
  </w:style>
  <w:style w:type="paragraph" w:styleId="EndnoteText">
    <w:name w:val="endnote text"/>
    <w:basedOn w:val="Normal"/>
    <w:link w:val="EndnoteTextChar"/>
    <w:uiPriority w:val="99"/>
    <w:semiHidden/>
    <w:unhideWhenUsed/>
    <w:rsid w:val="00F620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20CF"/>
    <w:rPr>
      <w:sz w:val="20"/>
      <w:szCs w:val="20"/>
    </w:rPr>
  </w:style>
  <w:style w:type="character" w:styleId="EndnoteReference">
    <w:name w:val="endnote reference"/>
    <w:basedOn w:val="DefaultParagraphFont"/>
    <w:uiPriority w:val="99"/>
    <w:semiHidden/>
    <w:unhideWhenUsed/>
    <w:rsid w:val="00F620CF"/>
    <w:rPr>
      <w:vertAlign w:val="superscript"/>
    </w:rPr>
  </w:style>
  <w:style w:type="character" w:styleId="PlaceholderText">
    <w:name w:val="Placeholder Text"/>
    <w:basedOn w:val="DefaultParagraphFont"/>
    <w:uiPriority w:val="99"/>
    <w:semiHidden/>
    <w:rsid w:val="00F10E5B"/>
    <w:rPr>
      <w:color w:val="808080"/>
    </w:rPr>
  </w:style>
  <w:style w:type="paragraph" w:styleId="Header">
    <w:name w:val="header"/>
    <w:basedOn w:val="Normal"/>
    <w:link w:val="HeaderChar"/>
    <w:uiPriority w:val="99"/>
    <w:unhideWhenUsed/>
    <w:rsid w:val="00C52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84"/>
  </w:style>
  <w:style w:type="paragraph" w:styleId="Footer">
    <w:name w:val="footer"/>
    <w:basedOn w:val="Normal"/>
    <w:link w:val="FooterChar"/>
    <w:uiPriority w:val="99"/>
    <w:unhideWhenUsed/>
    <w:rsid w:val="00C52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84"/>
  </w:style>
  <w:style w:type="character" w:styleId="CommentReference">
    <w:name w:val="annotation reference"/>
    <w:basedOn w:val="DefaultParagraphFont"/>
    <w:uiPriority w:val="99"/>
    <w:semiHidden/>
    <w:unhideWhenUsed/>
    <w:rsid w:val="000A38EF"/>
    <w:rPr>
      <w:sz w:val="16"/>
      <w:szCs w:val="16"/>
    </w:rPr>
  </w:style>
  <w:style w:type="paragraph" w:styleId="CommentText">
    <w:name w:val="annotation text"/>
    <w:basedOn w:val="Normal"/>
    <w:link w:val="CommentTextChar"/>
    <w:uiPriority w:val="99"/>
    <w:semiHidden/>
    <w:unhideWhenUsed/>
    <w:rsid w:val="000A38EF"/>
    <w:pPr>
      <w:spacing w:line="240" w:lineRule="auto"/>
    </w:pPr>
    <w:rPr>
      <w:sz w:val="20"/>
      <w:szCs w:val="20"/>
    </w:rPr>
  </w:style>
  <w:style w:type="character" w:customStyle="1" w:styleId="CommentTextChar">
    <w:name w:val="Comment Text Char"/>
    <w:basedOn w:val="DefaultParagraphFont"/>
    <w:link w:val="CommentText"/>
    <w:uiPriority w:val="99"/>
    <w:semiHidden/>
    <w:rsid w:val="000A38EF"/>
    <w:rPr>
      <w:sz w:val="20"/>
      <w:szCs w:val="20"/>
    </w:rPr>
  </w:style>
  <w:style w:type="paragraph" w:styleId="CommentSubject">
    <w:name w:val="annotation subject"/>
    <w:basedOn w:val="CommentText"/>
    <w:next w:val="CommentText"/>
    <w:link w:val="CommentSubjectChar"/>
    <w:uiPriority w:val="99"/>
    <w:semiHidden/>
    <w:unhideWhenUsed/>
    <w:rsid w:val="000A38EF"/>
    <w:rPr>
      <w:b/>
      <w:bCs/>
    </w:rPr>
  </w:style>
  <w:style w:type="character" w:customStyle="1" w:styleId="CommentSubjectChar">
    <w:name w:val="Comment Subject Char"/>
    <w:basedOn w:val="CommentTextChar"/>
    <w:link w:val="CommentSubject"/>
    <w:uiPriority w:val="99"/>
    <w:semiHidden/>
    <w:rsid w:val="000A38EF"/>
    <w:rPr>
      <w:b/>
      <w:bCs/>
      <w:sz w:val="20"/>
      <w:szCs w:val="20"/>
    </w:rPr>
  </w:style>
  <w:style w:type="character" w:styleId="Hyperlink">
    <w:name w:val="Hyperlink"/>
    <w:basedOn w:val="DefaultParagraphFont"/>
    <w:uiPriority w:val="99"/>
    <w:unhideWhenUsed/>
    <w:rsid w:val="00C84EFD"/>
    <w:rPr>
      <w:color w:val="0563C1" w:themeColor="hyperlink"/>
      <w:u w:val="single"/>
    </w:rPr>
  </w:style>
  <w:style w:type="character" w:styleId="UnresolvedMention">
    <w:name w:val="Unresolved Mention"/>
    <w:basedOn w:val="DefaultParagraphFont"/>
    <w:uiPriority w:val="99"/>
    <w:semiHidden/>
    <w:unhideWhenUsed/>
    <w:rsid w:val="00C84EFD"/>
    <w:rPr>
      <w:color w:val="605E5C"/>
      <w:shd w:val="clear" w:color="auto" w:fill="E1DFDD"/>
    </w:rPr>
  </w:style>
  <w:style w:type="table" w:styleId="TableGrid">
    <w:name w:val="Table Grid"/>
    <w:basedOn w:val="TableNormal"/>
    <w:uiPriority w:val="39"/>
    <w:rsid w:val="008C6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67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72248">
      <w:bodyDiv w:val="1"/>
      <w:marLeft w:val="0"/>
      <w:marRight w:val="0"/>
      <w:marTop w:val="0"/>
      <w:marBottom w:val="0"/>
      <w:divBdr>
        <w:top w:val="none" w:sz="0" w:space="0" w:color="auto"/>
        <w:left w:val="none" w:sz="0" w:space="0" w:color="auto"/>
        <w:bottom w:val="none" w:sz="0" w:space="0" w:color="auto"/>
        <w:right w:val="none" w:sz="0" w:space="0" w:color="auto"/>
      </w:divBdr>
    </w:div>
    <w:div w:id="228661286">
      <w:bodyDiv w:val="1"/>
      <w:marLeft w:val="0"/>
      <w:marRight w:val="0"/>
      <w:marTop w:val="0"/>
      <w:marBottom w:val="0"/>
      <w:divBdr>
        <w:top w:val="none" w:sz="0" w:space="0" w:color="auto"/>
        <w:left w:val="none" w:sz="0" w:space="0" w:color="auto"/>
        <w:bottom w:val="none" w:sz="0" w:space="0" w:color="auto"/>
        <w:right w:val="none" w:sz="0" w:space="0" w:color="auto"/>
      </w:divBdr>
    </w:div>
    <w:div w:id="268894610">
      <w:bodyDiv w:val="1"/>
      <w:marLeft w:val="0"/>
      <w:marRight w:val="0"/>
      <w:marTop w:val="0"/>
      <w:marBottom w:val="0"/>
      <w:divBdr>
        <w:top w:val="none" w:sz="0" w:space="0" w:color="auto"/>
        <w:left w:val="none" w:sz="0" w:space="0" w:color="auto"/>
        <w:bottom w:val="none" w:sz="0" w:space="0" w:color="auto"/>
        <w:right w:val="none" w:sz="0" w:space="0" w:color="auto"/>
      </w:divBdr>
      <w:divsChild>
        <w:div w:id="1889293989">
          <w:marLeft w:val="0"/>
          <w:marRight w:val="0"/>
          <w:marTop w:val="0"/>
          <w:marBottom w:val="0"/>
          <w:divBdr>
            <w:top w:val="none" w:sz="0" w:space="0" w:color="auto"/>
            <w:left w:val="none" w:sz="0" w:space="0" w:color="auto"/>
            <w:bottom w:val="none" w:sz="0" w:space="0" w:color="auto"/>
            <w:right w:val="none" w:sz="0" w:space="0" w:color="auto"/>
          </w:divBdr>
          <w:divsChild>
            <w:div w:id="1353729245">
              <w:marLeft w:val="0"/>
              <w:marRight w:val="0"/>
              <w:marTop w:val="0"/>
              <w:marBottom w:val="0"/>
              <w:divBdr>
                <w:top w:val="none" w:sz="0" w:space="0" w:color="auto"/>
                <w:left w:val="none" w:sz="0" w:space="0" w:color="auto"/>
                <w:bottom w:val="none" w:sz="0" w:space="0" w:color="auto"/>
                <w:right w:val="none" w:sz="0" w:space="0" w:color="auto"/>
              </w:divBdr>
              <w:divsChild>
                <w:div w:id="1570647579">
                  <w:marLeft w:val="0"/>
                  <w:marRight w:val="0"/>
                  <w:marTop w:val="0"/>
                  <w:marBottom w:val="0"/>
                  <w:divBdr>
                    <w:top w:val="none" w:sz="0" w:space="0" w:color="auto"/>
                    <w:left w:val="none" w:sz="0" w:space="0" w:color="auto"/>
                    <w:bottom w:val="none" w:sz="0" w:space="0" w:color="auto"/>
                    <w:right w:val="none" w:sz="0" w:space="0" w:color="auto"/>
                  </w:divBdr>
                  <w:divsChild>
                    <w:div w:id="888614547">
                      <w:marLeft w:val="0"/>
                      <w:marRight w:val="0"/>
                      <w:marTop w:val="0"/>
                      <w:marBottom w:val="0"/>
                      <w:divBdr>
                        <w:top w:val="none" w:sz="0" w:space="0" w:color="auto"/>
                        <w:left w:val="none" w:sz="0" w:space="0" w:color="auto"/>
                        <w:bottom w:val="none" w:sz="0" w:space="0" w:color="auto"/>
                        <w:right w:val="none" w:sz="0" w:space="0" w:color="auto"/>
                      </w:divBdr>
                      <w:divsChild>
                        <w:div w:id="322859211">
                          <w:marLeft w:val="0"/>
                          <w:marRight w:val="0"/>
                          <w:marTop w:val="0"/>
                          <w:marBottom w:val="0"/>
                          <w:divBdr>
                            <w:top w:val="none" w:sz="0" w:space="0" w:color="auto"/>
                            <w:left w:val="none" w:sz="0" w:space="0" w:color="auto"/>
                            <w:bottom w:val="none" w:sz="0" w:space="0" w:color="auto"/>
                            <w:right w:val="none" w:sz="0" w:space="0" w:color="auto"/>
                          </w:divBdr>
                          <w:divsChild>
                            <w:div w:id="257367443">
                              <w:marLeft w:val="0"/>
                              <w:marRight w:val="0"/>
                              <w:marTop w:val="0"/>
                              <w:marBottom w:val="0"/>
                              <w:divBdr>
                                <w:top w:val="none" w:sz="0" w:space="0" w:color="auto"/>
                                <w:left w:val="none" w:sz="0" w:space="0" w:color="auto"/>
                                <w:bottom w:val="none" w:sz="0" w:space="0" w:color="auto"/>
                                <w:right w:val="none" w:sz="0" w:space="0" w:color="auto"/>
                              </w:divBdr>
                              <w:divsChild>
                                <w:div w:id="2125150489">
                                  <w:marLeft w:val="0"/>
                                  <w:marRight w:val="0"/>
                                  <w:marTop w:val="0"/>
                                  <w:marBottom w:val="0"/>
                                  <w:divBdr>
                                    <w:top w:val="none" w:sz="0" w:space="0" w:color="auto"/>
                                    <w:left w:val="none" w:sz="0" w:space="0" w:color="auto"/>
                                    <w:bottom w:val="none" w:sz="0" w:space="0" w:color="auto"/>
                                    <w:right w:val="none" w:sz="0" w:space="0" w:color="auto"/>
                                  </w:divBdr>
                                  <w:divsChild>
                                    <w:div w:id="1282223874">
                                      <w:marLeft w:val="0"/>
                                      <w:marRight w:val="0"/>
                                      <w:marTop w:val="0"/>
                                      <w:marBottom w:val="0"/>
                                      <w:divBdr>
                                        <w:top w:val="none" w:sz="0" w:space="0" w:color="auto"/>
                                        <w:left w:val="none" w:sz="0" w:space="0" w:color="auto"/>
                                        <w:bottom w:val="none" w:sz="0" w:space="0" w:color="auto"/>
                                        <w:right w:val="none" w:sz="0" w:space="0" w:color="auto"/>
                                      </w:divBdr>
                                      <w:divsChild>
                                        <w:div w:id="1921135825">
                                          <w:marLeft w:val="0"/>
                                          <w:marRight w:val="0"/>
                                          <w:marTop w:val="0"/>
                                          <w:marBottom w:val="0"/>
                                          <w:divBdr>
                                            <w:top w:val="none" w:sz="0" w:space="0" w:color="auto"/>
                                            <w:left w:val="none" w:sz="0" w:space="0" w:color="auto"/>
                                            <w:bottom w:val="none" w:sz="0" w:space="0" w:color="auto"/>
                                            <w:right w:val="none" w:sz="0" w:space="0" w:color="auto"/>
                                          </w:divBdr>
                                          <w:divsChild>
                                            <w:div w:id="2144272814">
                                              <w:marLeft w:val="0"/>
                                              <w:marRight w:val="0"/>
                                              <w:marTop w:val="0"/>
                                              <w:marBottom w:val="0"/>
                                              <w:divBdr>
                                                <w:top w:val="none" w:sz="0" w:space="0" w:color="auto"/>
                                                <w:left w:val="none" w:sz="0" w:space="0" w:color="auto"/>
                                                <w:bottom w:val="none" w:sz="0" w:space="0" w:color="auto"/>
                                                <w:right w:val="none" w:sz="0" w:space="0" w:color="auto"/>
                                              </w:divBdr>
                                              <w:divsChild>
                                                <w:div w:id="22826470">
                                                  <w:marLeft w:val="0"/>
                                                  <w:marRight w:val="0"/>
                                                  <w:marTop w:val="0"/>
                                                  <w:marBottom w:val="0"/>
                                                  <w:divBdr>
                                                    <w:top w:val="none" w:sz="0" w:space="0" w:color="auto"/>
                                                    <w:left w:val="none" w:sz="0" w:space="0" w:color="auto"/>
                                                    <w:bottom w:val="none" w:sz="0" w:space="0" w:color="auto"/>
                                                    <w:right w:val="none" w:sz="0" w:space="0" w:color="auto"/>
                                                  </w:divBdr>
                                                  <w:divsChild>
                                                    <w:div w:id="1790975088">
                                                      <w:marLeft w:val="0"/>
                                                      <w:marRight w:val="0"/>
                                                      <w:marTop w:val="0"/>
                                                      <w:marBottom w:val="0"/>
                                                      <w:divBdr>
                                                        <w:top w:val="none" w:sz="0" w:space="0" w:color="auto"/>
                                                        <w:left w:val="none" w:sz="0" w:space="0" w:color="auto"/>
                                                        <w:bottom w:val="none" w:sz="0" w:space="0" w:color="auto"/>
                                                        <w:right w:val="none" w:sz="0" w:space="0" w:color="auto"/>
                                                      </w:divBdr>
                                                      <w:divsChild>
                                                        <w:div w:id="1556621831">
                                                          <w:marLeft w:val="0"/>
                                                          <w:marRight w:val="0"/>
                                                          <w:marTop w:val="0"/>
                                                          <w:marBottom w:val="0"/>
                                                          <w:divBdr>
                                                            <w:top w:val="none" w:sz="0" w:space="0" w:color="auto"/>
                                                            <w:left w:val="none" w:sz="0" w:space="0" w:color="auto"/>
                                                            <w:bottom w:val="none" w:sz="0" w:space="0" w:color="auto"/>
                                                            <w:right w:val="none" w:sz="0" w:space="0" w:color="auto"/>
                                                          </w:divBdr>
                                                          <w:divsChild>
                                                            <w:div w:id="370610840">
                                                              <w:marLeft w:val="0"/>
                                                              <w:marRight w:val="0"/>
                                                              <w:marTop w:val="0"/>
                                                              <w:marBottom w:val="0"/>
                                                              <w:divBdr>
                                                                <w:top w:val="none" w:sz="0" w:space="0" w:color="auto"/>
                                                                <w:left w:val="none" w:sz="0" w:space="0" w:color="auto"/>
                                                                <w:bottom w:val="none" w:sz="0" w:space="0" w:color="auto"/>
                                                                <w:right w:val="none" w:sz="0" w:space="0" w:color="auto"/>
                                                              </w:divBdr>
                                                              <w:divsChild>
                                                                <w:div w:id="1129126157">
                                                                  <w:marLeft w:val="0"/>
                                                                  <w:marRight w:val="0"/>
                                                                  <w:marTop w:val="0"/>
                                                                  <w:marBottom w:val="0"/>
                                                                  <w:divBdr>
                                                                    <w:top w:val="none" w:sz="0" w:space="0" w:color="auto"/>
                                                                    <w:left w:val="none" w:sz="0" w:space="0" w:color="auto"/>
                                                                    <w:bottom w:val="none" w:sz="0" w:space="0" w:color="auto"/>
                                                                    <w:right w:val="none" w:sz="0" w:space="0" w:color="auto"/>
                                                                  </w:divBdr>
                                                                  <w:divsChild>
                                                                    <w:div w:id="1533688784">
                                                                      <w:marLeft w:val="0"/>
                                                                      <w:marRight w:val="0"/>
                                                                      <w:marTop w:val="0"/>
                                                                      <w:marBottom w:val="0"/>
                                                                      <w:divBdr>
                                                                        <w:top w:val="none" w:sz="0" w:space="0" w:color="auto"/>
                                                                        <w:left w:val="none" w:sz="0" w:space="0" w:color="auto"/>
                                                                        <w:bottom w:val="none" w:sz="0" w:space="0" w:color="auto"/>
                                                                        <w:right w:val="none" w:sz="0" w:space="0" w:color="auto"/>
                                                                      </w:divBdr>
                                                                      <w:divsChild>
                                                                        <w:div w:id="167796913">
                                                                          <w:marLeft w:val="0"/>
                                                                          <w:marRight w:val="0"/>
                                                                          <w:marTop w:val="0"/>
                                                                          <w:marBottom w:val="0"/>
                                                                          <w:divBdr>
                                                                            <w:top w:val="none" w:sz="0" w:space="0" w:color="auto"/>
                                                                            <w:left w:val="none" w:sz="0" w:space="0" w:color="auto"/>
                                                                            <w:bottom w:val="none" w:sz="0" w:space="0" w:color="auto"/>
                                                                            <w:right w:val="none" w:sz="0" w:space="0" w:color="auto"/>
                                                                          </w:divBdr>
                                                                          <w:divsChild>
                                                                            <w:div w:id="1001738953">
                                                                              <w:marLeft w:val="0"/>
                                                                              <w:marRight w:val="0"/>
                                                                              <w:marTop w:val="0"/>
                                                                              <w:marBottom w:val="0"/>
                                                                              <w:divBdr>
                                                                                <w:top w:val="none" w:sz="0" w:space="0" w:color="auto"/>
                                                                                <w:left w:val="none" w:sz="0" w:space="0" w:color="auto"/>
                                                                                <w:bottom w:val="none" w:sz="0" w:space="0" w:color="auto"/>
                                                                                <w:right w:val="none" w:sz="0" w:space="0" w:color="auto"/>
                                                                              </w:divBdr>
                                                                              <w:divsChild>
                                                                                <w:div w:id="845940888">
                                                                                  <w:marLeft w:val="0"/>
                                                                                  <w:marRight w:val="0"/>
                                                                                  <w:marTop w:val="0"/>
                                                                                  <w:marBottom w:val="0"/>
                                                                                  <w:divBdr>
                                                                                    <w:top w:val="none" w:sz="0" w:space="0" w:color="auto"/>
                                                                                    <w:left w:val="none" w:sz="0" w:space="0" w:color="auto"/>
                                                                                    <w:bottom w:val="none" w:sz="0" w:space="0" w:color="auto"/>
                                                                                    <w:right w:val="none" w:sz="0" w:space="0" w:color="auto"/>
                                                                                  </w:divBdr>
                                                                                  <w:divsChild>
                                                                                    <w:div w:id="1125809349">
                                                                                      <w:marLeft w:val="0"/>
                                                                                      <w:marRight w:val="0"/>
                                                                                      <w:marTop w:val="0"/>
                                                                                      <w:marBottom w:val="0"/>
                                                                                      <w:divBdr>
                                                                                        <w:top w:val="none" w:sz="0" w:space="0" w:color="auto"/>
                                                                                        <w:left w:val="none" w:sz="0" w:space="0" w:color="auto"/>
                                                                                        <w:bottom w:val="none" w:sz="0" w:space="0" w:color="auto"/>
                                                                                        <w:right w:val="none" w:sz="0" w:space="0" w:color="auto"/>
                                                                                      </w:divBdr>
                                                                                      <w:divsChild>
                                                                                        <w:div w:id="1125003559">
                                                                                          <w:marLeft w:val="0"/>
                                                                                          <w:marRight w:val="0"/>
                                                                                          <w:marTop w:val="0"/>
                                                                                          <w:marBottom w:val="0"/>
                                                                                          <w:divBdr>
                                                                                            <w:top w:val="none" w:sz="0" w:space="0" w:color="auto"/>
                                                                                            <w:left w:val="none" w:sz="0" w:space="0" w:color="auto"/>
                                                                                            <w:bottom w:val="none" w:sz="0" w:space="0" w:color="auto"/>
                                                                                            <w:right w:val="none" w:sz="0" w:space="0" w:color="auto"/>
                                                                                          </w:divBdr>
                                                                                          <w:divsChild>
                                                                                            <w:div w:id="830802346">
                                                                                              <w:marLeft w:val="0"/>
                                                                                              <w:marRight w:val="120"/>
                                                                                              <w:marTop w:val="0"/>
                                                                                              <w:marBottom w:val="150"/>
                                                                                              <w:divBdr>
                                                                                                <w:top w:val="single" w:sz="2" w:space="0" w:color="EFEFEF"/>
                                                                                                <w:left w:val="single" w:sz="6" w:space="0" w:color="EFEFEF"/>
                                                                                                <w:bottom w:val="single" w:sz="6" w:space="0" w:color="E2E2E2"/>
                                                                                                <w:right w:val="single" w:sz="6" w:space="0" w:color="EFEFEF"/>
                                                                                              </w:divBdr>
                                                                                              <w:divsChild>
                                                                                                <w:div w:id="1845780555">
                                                                                                  <w:marLeft w:val="0"/>
                                                                                                  <w:marRight w:val="0"/>
                                                                                                  <w:marTop w:val="0"/>
                                                                                                  <w:marBottom w:val="0"/>
                                                                                                  <w:divBdr>
                                                                                                    <w:top w:val="none" w:sz="0" w:space="0" w:color="auto"/>
                                                                                                    <w:left w:val="none" w:sz="0" w:space="0" w:color="auto"/>
                                                                                                    <w:bottom w:val="none" w:sz="0" w:space="0" w:color="auto"/>
                                                                                                    <w:right w:val="none" w:sz="0" w:space="0" w:color="auto"/>
                                                                                                  </w:divBdr>
                                                                                                  <w:divsChild>
                                                                                                    <w:div w:id="1252011214">
                                                                                                      <w:marLeft w:val="0"/>
                                                                                                      <w:marRight w:val="0"/>
                                                                                                      <w:marTop w:val="0"/>
                                                                                                      <w:marBottom w:val="0"/>
                                                                                                      <w:divBdr>
                                                                                                        <w:top w:val="none" w:sz="0" w:space="0" w:color="auto"/>
                                                                                                        <w:left w:val="none" w:sz="0" w:space="0" w:color="auto"/>
                                                                                                        <w:bottom w:val="none" w:sz="0" w:space="0" w:color="auto"/>
                                                                                                        <w:right w:val="none" w:sz="0" w:space="0" w:color="auto"/>
                                                                                                      </w:divBdr>
                                                                                                      <w:divsChild>
                                                                                                        <w:div w:id="1079135840">
                                                                                                          <w:marLeft w:val="0"/>
                                                                                                          <w:marRight w:val="0"/>
                                                                                                          <w:marTop w:val="0"/>
                                                                                                          <w:marBottom w:val="0"/>
                                                                                                          <w:divBdr>
                                                                                                            <w:top w:val="none" w:sz="0" w:space="0" w:color="auto"/>
                                                                                                            <w:left w:val="none" w:sz="0" w:space="0" w:color="auto"/>
                                                                                                            <w:bottom w:val="none" w:sz="0" w:space="0" w:color="auto"/>
                                                                                                            <w:right w:val="none" w:sz="0" w:space="0" w:color="auto"/>
                                                                                                          </w:divBdr>
                                                                                                          <w:divsChild>
                                                                                                            <w:div w:id="1608074553">
                                                                                                              <w:marLeft w:val="0"/>
                                                                                                              <w:marRight w:val="0"/>
                                                                                                              <w:marTop w:val="0"/>
                                                                                                              <w:marBottom w:val="0"/>
                                                                                                              <w:divBdr>
                                                                                                                <w:top w:val="none" w:sz="0" w:space="0" w:color="auto"/>
                                                                                                                <w:left w:val="none" w:sz="0" w:space="0" w:color="auto"/>
                                                                                                                <w:bottom w:val="none" w:sz="0" w:space="0" w:color="auto"/>
                                                                                                                <w:right w:val="none" w:sz="0" w:space="0" w:color="auto"/>
                                                                                                              </w:divBdr>
                                                                                                              <w:divsChild>
                                                                                                                <w:div w:id="540435752">
                                                                                                                  <w:marLeft w:val="-570"/>
                                                                                                                  <w:marRight w:val="0"/>
                                                                                                                  <w:marTop w:val="150"/>
                                                                                                                  <w:marBottom w:val="225"/>
                                                                                                                  <w:divBdr>
                                                                                                                    <w:top w:val="none" w:sz="0" w:space="4" w:color="auto"/>
                                                                                                                    <w:left w:val="none" w:sz="0" w:space="0" w:color="auto"/>
                                                                                                                    <w:bottom w:val="none" w:sz="0" w:space="4" w:color="auto"/>
                                                                                                                    <w:right w:val="none" w:sz="0" w:space="0" w:color="auto"/>
                                                                                                                  </w:divBdr>
                                                                                                                  <w:divsChild>
                                                                                                                    <w:div w:id="794370114">
                                                                                                                      <w:marLeft w:val="0"/>
                                                                                                                      <w:marRight w:val="0"/>
                                                                                                                      <w:marTop w:val="0"/>
                                                                                                                      <w:marBottom w:val="0"/>
                                                                                                                      <w:divBdr>
                                                                                                                        <w:top w:val="none" w:sz="0" w:space="0" w:color="auto"/>
                                                                                                                        <w:left w:val="none" w:sz="0" w:space="0" w:color="auto"/>
                                                                                                                        <w:bottom w:val="none" w:sz="0" w:space="0" w:color="auto"/>
                                                                                                                        <w:right w:val="none" w:sz="0" w:space="0" w:color="auto"/>
                                                                                                                      </w:divBdr>
                                                                                                                      <w:divsChild>
                                                                                                                        <w:div w:id="1092235582">
                                                                                                                          <w:marLeft w:val="225"/>
                                                                                                                          <w:marRight w:val="225"/>
                                                                                                                          <w:marTop w:val="75"/>
                                                                                                                          <w:marBottom w:val="75"/>
                                                                                                                          <w:divBdr>
                                                                                                                            <w:top w:val="none" w:sz="0" w:space="0" w:color="auto"/>
                                                                                                                            <w:left w:val="none" w:sz="0" w:space="0" w:color="auto"/>
                                                                                                                            <w:bottom w:val="none" w:sz="0" w:space="0" w:color="auto"/>
                                                                                                                            <w:right w:val="none" w:sz="0" w:space="0" w:color="auto"/>
                                                                                                                          </w:divBdr>
                                                                                                                          <w:divsChild>
                                                                                                                            <w:div w:id="1751080131">
                                                                                                                              <w:marLeft w:val="0"/>
                                                                                                                              <w:marRight w:val="0"/>
                                                                                                                              <w:marTop w:val="0"/>
                                                                                                                              <w:marBottom w:val="0"/>
                                                                                                                              <w:divBdr>
                                                                                                                                <w:top w:val="single" w:sz="6" w:space="0" w:color="auto"/>
                                                                                                                                <w:left w:val="single" w:sz="6" w:space="0" w:color="auto"/>
                                                                                                                                <w:bottom w:val="single" w:sz="6" w:space="0" w:color="auto"/>
                                                                                                                                <w:right w:val="single" w:sz="6" w:space="0" w:color="auto"/>
                                                                                                                              </w:divBdr>
                                                                                                                              <w:divsChild>
                                                                                                                                <w:div w:id="855463464">
                                                                                                                                  <w:marLeft w:val="0"/>
                                                                                                                                  <w:marRight w:val="0"/>
                                                                                                                                  <w:marTop w:val="0"/>
                                                                                                                                  <w:marBottom w:val="0"/>
                                                                                                                                  <w:divBdr>
                                                                                                                                    <w:top w:val="none" w:sz="0" w:space="0" w:color="auto"/>
                                                                                                                                    <w:left w:val="none" w:sz="0" w:space="0" w:color="auto"/>
                                                                                                                                    <w:bottom w:val="none" w:sz="0" w:space="0" w:color="auto"/>
                                                                                                                                    <w:right w:val="none" w:sz="0" w:space="0" w:color="auto"/>
                                                                                                                                  </w:divBdr>
                                                                                                                                  <w:divsChild>
                                                                                                                                    <w:div w:id="1341272062">
                                                                                                                                      <w:marLeft w:val="0"/>
                                                                                                                                      <w:marRight w:val="0"/>
                                                                                                                                      <w:marTop w:val="0"/>
                                                                                                                                      <w:marBottom w:val="0"/>
                                                                                                                                      <w:divBdr>
                                                                                                                                        <w:top w:val="none" w:sz="0" w:space="0" w:color="auto"/>
                                                                                                                                        <w:left w:val="none" w:sz="0" w:space="0" w:color="auto"/>
                                                                                                                                        <w:bottom w:val="none" w:sz="0" w:space="0" w:color="auto"/>
                                                                                                                                        <w:right w:val="none" w:sz="0" w:space="0" w:color="auto"/>
                                                                                                                                      </w:divBdr>
                                                                                                                                      <w:divsChild>
                                                                                                                                        <w:div w:id="1939214482">
                                                                                                                                          <w:marLeft w:val="0"/>
                                                                                                                                          <w:marRight w:val="0"/>
                                                                                                                                          <w:marTop w:val="0"/>
                                                                                                                                          <w:marBottom w:val="0"/>
                                                                                                                                          <w:divBdr>
                                                                                                                                            <w:top w:val="none" w:sz="0" w:space="0" w:color="auto"/>
                                                                                                                                            <w:left w:val="none" w:sz="0" w:space="0" w:color="auto"/>
                                                                                                                                            <w:bottom w:val="none" w:sz="0" w:space="0" w:color="auto"/>
                                                                                                                                            <w:right w:val="none" w:sz="0" w:space="0" w:color="auto"/>
                                                                                                                                          </w:divBdr>
                                                                                                                                          <w:divsChild>
                                                                                                                                            <w:div w:id="1693604646">
                                                                                                                                              <w:marLeft w:val="0"/>
                                                                                                                                              <w:marRight w:val="0"/>
                                                                                                                                              <w:marTop w:val="0"/>
                                                                                                                                              <w:marBottom w:val="0"/>
                                                                                                                                              <w:divBdr>
                                                                                                                                                <w:top w:val="none" w:sz="0" w:space="0" w:color="auto"/>
                                                                                                                                                <w:left w:val="none" w:sz="0" w:space="0" w:color="auto"/>
                                                                                                                                                <w:bottom w:val="none" w:sz="0" w:space="0" w:color="auto"/>
                                                                                                                                                <w:right w:val="none" w:sz="0" w:space="0" w:color="auto"/>
                                                                                                                                              </w:divBdr>
                                                                                                                                              <w:divsChild>
                                                                                                                                                <w:div w:id="1950696605">
                                                                                                                                                  <w:marLeft w:val="0"/>
                                                                                                                                                  <w:marRight w:val="0"/>
                                                                                                                                                  <w:marTop w:val="0"/>
                                                                                                                                                  <w:marBottom w:val="0"/>
                                                                                                                                                  <w:divBdr>
                                                                                                                                                    <w:top w:val="none" w:sz="0" w:space="0" w:color="auto"/>
                                                                                                                                                    <w:left w:val="none" w:sz="0" w:space="0" w:color="auto"/>
                                                                                                                                                    <w:bottom w:val="none" w:sz="0" w:space="0" w:color="auto"/>
                                                                                                                                                    <w:right w:val="none" w:sz="0" w:space="0" w:color="auto"/>
                                                                                                                                                  </w:divBdr>
                                                                                                                                                  <w:divsChild>
                                                                                                                                                    <w:div w:id="822156660">
                                                                                                                                                      <w:marLeft w:val="0"/>
                                                                                                                                                      <w:marRight w:val="0"/>
                                                                                                                                                      <w:marTop w:val="0"/>
                                                                                                                                                      <w:marBottom w:val="0"/>
                                                                                                                                                      <w:divBdr>
                                                                                                                                                        <w:top w:val="none" w:sz="0" w:space="0" w:color="auto"/>
                                                                                                                                                        <w:left w:val="none" w:sz="0" w:space="0" w:color="auto"/>
                                                                                                                                                        <w:bottom w:val="none" w:sz="0" w:space="0" w:color="auto"/>
                                                                                                                                                        <w:right w:val="none" w:sz="0" w:space="0" w:color="auto"/>
                                                                                                                                                      </w:divBdr>
                                                                                                                                                      <w:divsChild>
                                                                                                                                                        <w:div w:id="311447055">
                                                                                                                                                          <w:marLeft w:val="0"/>
                                                                                                                                                          <w:marRight w:val="0"/>
                                                                                                                                                          <w:marTop w:val="0"/>
                                                                                                                                                          <w:marBottom w:val="0"/>
                                                                                                                                                          <w:divBdr>
                                                                                                                                                            <w:top w:val="none" w:sz="0" w:space="0" w:color="auto"/>
                                                                                                                                                            <w:left w:val="none" w:sz="0" w:space="0" w:color="auto"/>
                                                                                                                                                            <w:bottom w:val="none" w:sz="0" w:space="0" w:color="auto"/>
                                                                                                                                                            <w:right w:val="none" w:sz="0" w:space="0" w:color="auto"/>
                                                                                                                                                          </w:divBdr>
                                                                                                                                                          <w:divsChild>
                                                                                                                                                            <w:div w:id="1835412603">
                                                                                                                                                              <w:marLeft w:val="0"/>
                                                                                                                                                              <w:marRight w:val="0"/>
                                                                                                                                                              <w:marTop w:val="0"/>
                                                                                                                                                              <w:marBottom w:val="0"/>
                                                                                                                                                              <w:divBdr>
                                                                                                                                                                <w:top w:val="none" w:sz="0" w:space="0" w:color="auto"/>
                                                                                                                                                                <w:left w:val="none" w:sz="0" w:space="0" w:color="auto"/>
                                                                                                                                                                <w:bottom w:val="none" w:sz="0" w:space="0" w:color="auto"/>
                                                                                                                                                                <w:right w:val="none" w:sz="0" w:space="0" w:color="auto"/>
                                                                                                                                                              </w:divBdr>
                                                                                                                                                              <w:divsChild>
                                                                                                                                                                <w:div w:id="118771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1587736">
      <w:bodyDiv w:val="1"/>
      <w:marLeft w:val="0"/>
      <w:marRight w:val="0"/>
      <w:marTop w:val="0"/>
      <w:marBottom w:val="0"/>
      <w:divBdr>
        <w:top w:val="none" w:sz="0" w:space="0" w:color="auto"/>
        <w:left w:val="none" w:sz="0" w:space="0" w:color="auto"/>
        <w:bottom w:val="none" w:sz="0" w:space="0" w:color="auto"/>
        <w:right w:val="none" w:sz="0" w:space="0" w:color="auto"/>
      </w:divBdr>
    </w:div>
    <w:div w:id="848065650">
      <w:bodyDiv w:val="1"/>
      <w:marLeft w:val="0"/>
      <w:marRight w:val="0"/>
      <w:marTop w:val="0"/>
      <w:marBottom w:val="0"/>
      <w:divBdr>
        <w:top w:val="none" w:sz="0" w:space="0" w:color="auto"/>
        <w:left w:val="none" w:sz="0" w:space="0" w:color="auto"/>
        <w:bottom w:val="none" w:sz="0" w:space="0" w:color="auto"/>
        <w:right w:val="none" w:sz="0" w:space="0" w:color="auto"/>
      </w:divBdr>
    </w:div>
    <w:div w:id="1010261300">
      <w:bodyDiv w:val="1"/>
      <w:marLeft w:val="0"/>
      <w:marRight w:val="0"/>
      <w:marTop w:val="0"/>
      <w:marBottom w:val="0"/>
      <w:divBdr>
        <w:top w:val="none" w:sz="0" w:space="0" w:color="auto"/>
        <w:left w:val="none" w:sz="0" w:space="0" w:color="auto"/>
        <w:bottom w:val="none" w:sz="0" w:space="0" w:color="auto"/>
        <w:right w:val="none" w:sz="0" w:space="0" w:color="auto"/>
      </w:divBdr>
    </w:div>
    <w:div w:id="1904019104">
      <w:bodyDiv w:val="1"/>
      <w:marLeft w:val="0"/>
      <w:marRight w:val="0"/>
      <w:marTop w:val="0"/>
      <w:marBottom w:val="0"/>
      <w:divBdr>
        <w:top w:val="none" w:sz="0" w:space="0" w:color="auto"/>
        <w:left w:val="none" w:sz="0" w:space="0" w:color="auto"/>
        <w:bottom w:val="none" w:sz="0" w:space="0" w:color="auto"/>
        <w:right w:val="none" w:sz="0" w:space="0" w:color="auto"/>
      </w:divBdr>
    </w:div>
    <w:div w:id="202016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intao@gmail.co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SAntao.FINAF92\Desktop\AMP%20tables&amp;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ntao.FINAF92\Desktop\AMP%20tables&amp;graph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stack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Sheet1!$D$31:$D$34</c:f>
              <c:strCache>
                <c:ptCount val="4"/>
                <c:pt idx="0">
                  <c:v>other</c:v>
                </c:pt>
                <c:pt idx="1">
                  <c:v>psychiatric disturbance</c:v>
                </c:pt>
                <c:pt idx="2">
                  <c:v>rudeness/disrespect</c:v>
                </c:pt>
                <c:pt idx="3">
                  <c:v>long waiting time</c:v>
                </c:pt>
              </c:strCache>
            </c:strRef>
          </c:cat>
          <c:val>
            <c:numRef>
              <c:f>Sheet1!$E$31:$E$34</c:f>
              <c:numCache>
                <c:formatCode>General</c:formatCode>
                <c:ptCount val="4"/>
                <c:pt idx="0">
                  <c:v>14</c:v>
                </c:pt>
                <c:pt idx="1">
                  <c:v>6</c:v>
                </c:pt>
                <c:pt idx="2">
                  <c:v>15</c:v>
                </c:pt>
                <c:pt idx="3">
                  <c:v>20</c:v>
                </c:pt>
              </c:numCache>
            </c:numRef>
          </c:val>
          <c:extLst>
            <c:ext xmlns:c16="http://schemas.microsoft.com/office/drawing/2014/chart" uri="{C3380CC4-5D6E-409C-BE32-E72D297353CC}">
              <c16:uniqueId val="{00000000-5226-47E5-BADE-8B7DC000D858}"/>
            </c:ext>
          </c:extLst>
        </c:ser>
        <c:dLbls>
          <c:showLegendKey val="0"/>
          <c:showVal val="0"/>
          <c:showCatName val="0"/>
          <c:showSerName val="0"/>
          <c:showPercent val="0"/>
          <c:showBubbleSize val="0"/>
        </c:dLbls>
        <c:gapWidth val="150"/>
        <c:overlap val="100"/>
        <c:axId val="449281136"/>
        <c:axId val="449281528"/>
      </c:barChart>
      <c:catAx>
        <c:axId val="449281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9281528"/>
        <c:crosses val="autoZero"/>
        <c:auto val="1"/>
        <c:lblAlgn val="ctr"/>
        <c:lblOffset val="100"/>
        <c:noMultiLvlLbl val="0"/>
      </c:catAx>
      <c:valAx>
        <c:axId val="4492815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bg2">
                <a:lumMod val="50000"/>
                <a:alpha val="68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281136"/>
        <c:crosses val="autoZero"/>
        <c:crossBetween val="between"/>
      </c:valAx>
      <c:spPr>
        <a:noFill/>
        <a:ln>
          <a:solidFill>
            <a:schemeClr val="bg2"/>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338851899375037"/>
          <c:y val="5.5714371581414922E-2"/>
          <c:w val="0.42534390120700127"/>
          <c:h val="0.80036090908483759"/>
        </c:manualLayout>
      </c:layout>
      <c:pieChart>
        <c:varyColors val="1"/>
        <c:ser>
          <c:idx val="0"/>
          <c:order val="0"/>
          <c:spPr>
            <a:ln>
              <a:solidFill>
                <a:sysClr val="windowText" lastClr="000000"/>
              </a:solidFill>
            </a:ln>
          </c:spPr>
          <c:dPt>
            <c:idx val="0"/>
            <c:bubble3D val="0"/>
            <c:spPr>
              <a:solidFill>
                <a:schemeClr val="tx1"/>
              </a:solidFill>
              <a:ln w="19050">
                <a:solidFill>
                  <a:sysClr val="windowText" lastClr="000000"/>
                </a:solidFill>
              </a:ln>
              <a:effectLst/>
            </c:spPr>
            <c:extLst>
              <c:ext xmlns:c16="http://schemas.microsoft.com/office/drawing/2014/chart" uri="{C3380CC4-5D6E-409C-BE32-E72D297353CC}">
                <c16:uniqueId val="{00000001-5A38-4BBF-8597-24482F2EE5E5}"/>
              </c:ext>
            </c:extLst>
          </c:dPt>
          <c:dPt>
            <c:idx val="1"/>
            <c:bubble3D val="0"/>
            <c:spPr>
              <a:solidFill>
                <a:schemeClr val="bg1">
                  <a:lumMod val="85000"/>
                </a:schemeClr>
              </a:solidFill>
              <a:ln w="19050">
                <a:solidFill>
                  <a:sysClr val="windowText" lastClr="000000"/>
                </a:solidFill>
              </a:ln>
              <a:effectLst/>
            </c:spPr>
            <c:extLst>
              <c:ext xmlns:c16="http://schemas.microsoft.com/office/drawing/2014/chart" uri="{C3380CC4-5D6E-409C-BE32-E72D297353CC}">
                <c16:uniqueId val="{00000003-5A38-4BBF-8597-24482F2EE5E5}"/>
              </c:ext>
            </c:extLst>
          </c:dPt>
          <c:dPt>
            <c:idx val="2"/>
            <c:bubble3D val="0"/>
            <c:spPr>
              <a:solidFill>
                <a:schemeClr val="bg1">
                  <a:lumMod val="50000"/>
                </a:schemeClr>
              </a:solidFill>
              <a:ln w="19050">
                <a:solidFill>
                  <a:sysClr val="windowText" lastClr="000000"/>
                </a:solidFill>
              </a:ln>
              <a:effectLst/>
            </c:spPr>
            <c:extLst>
              <c:ext xmlns:c16="http://schemas.microsoft.com/office/drawing/2014/chart" uri="{C3380CC4-5D6E-409C-BE32-E72D297353CC}">
                <c16:uniqueId val="{00000005-5A38-4BBF-8597-24482F2EE5E5}"/>
              </c:ext>
            </c:extLst>
          </c:dPt>
          <c:dPt>
            <c:idx val="3"/>
            <c:bubble3D val="0"/>
            <c:spPr>
              <a:solidFill>
                <a:schemeClr val="bg1"/>
              </a:solidFill>
              <a:ln w="19050">
                <a:solidFill>
                  <a:sysClr val="windowText" lastClr="000000"/>
                </a:solidFill>
              </a:ln>
              <a:effectLst/>
            </c:spPr>
            <c:extLst>
              <c:ext xmlns:c16="http://schemas.microsoft.com/office/drawing/2014/chart" uri="{C3380CC4-5D6E-409C-BE32-E72D297353CC}">
                <c16:uniqueId val="{00000007-5A38-4BBF-8597-24482F2EE5E5}"/>
              </c:ext>
            </c:extLst>
          </c:dPt>
          <c:dLbls>
            <c:dLbl>
              <c:idx val="0"/>
              <c:layout>
                <c:manualLayout>
                  <c:x val="-2.6256229291890188E-2"/>
                  <c:y val="-5.1740097373324516E-2"/>
                </c:manualLayout>
              </c:layout>
              <c:tx>
                <c:rich>
                  <a:bodyPr rot="0" spcFirstLastPara="1" vertOverflow="clip" horzOverflow="clip"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fld id="{D3A39B19-4E2C-49ED-A7EE-15922C2752D5}" type="CATEGORYNAME">
                      <a:rPr lang="en-US" sz="1100" b="1">
                        <a:solidFill>
                          <a:sysClr val="windowText" lastClr="000000"/>
                        </a:solidFill>
                      </a:rPr>
                      <a:pPr>
                        <a:defRPr sz="1100" b="1">
                          <a:solidFill>
                            <a:sysClr val="windowText" lastClr="000000"/>
                          </a:solidFill>
                        </a:defRPr>
                      </a:pPr>
                      <a:t>[CATEGORY NAME]</a:t>
                    </a:fld>
                    <a:r>
                      <a:rPr lang="en-US" sz="1100" b="1" baseline="0">
                        <a:solidFill>
                          <a:sysClr val="windowText" lastClr="000000"/>
                        </a:solidFill>
                      </a:rPr>
                      <a:t>
(13)</a:t>
                    </a:r>
                  </a:p>
                </c:rich>
              </c:tx>
              <c:spPr>
                <a:noFill/>
                <a:ln>
                  <a:no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1-5A38-4BBF-8597-24482F2EE5E5}"/>
                </c:ext>
              </c:extLst>
            </c:dLbl>
            <c:dLbl>
              <c:idx val="1"/>
              <c:layout>
                <c:manualLayout>
                  <c:x val="9.6531344578688186E-2"/>
                  <c:y val="-1.1999759572038355E-2"/>
                </c:manualLayout>
              </c:layout>
              <c:tx>
                <c:rich>
                  <a:bodyPr rot="0" spcFirstLastPara="1" vertOverflow="clip" horzOverflow="clip"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fld id="{84587CFE-FD7B-4C2B-92ED-37BD6D8D2BF1}" type="CATEGORYNAME">
                      <a:rPr lang="en-US" sz="1100" b="1">
                        <a:solidFill>
                          <a:schemeClr val="tx1"/>
                        </a:solidFill>
                      </a:rPr>
                      <a:pPr>
                        <a:defRPr sz="1100" b="1">
                          <a:solidFill>
                            <a:schemeClr val="tx1"/>
                          </a:solidFill>
                        </a:defRPr>
                      </a:pPr>
                      <a:t>[CATEGORY NAME]</a:t>
                    </a:fld>
                    <a:r>
                      <a:rPr lang="en-US" sz="1100" b="1" baseline="0">
                        <a:solidFill>
                          <a:schemeClr val="tx1"/>
                        </a:solidFill>
                      </a:rPr>
                      <a:t>
(6)</a:t>
                    </a:r>
                  </a:p>
                </c:rich>
              </c:tx>
              <c:spPr>
                <a:noFill/>
                <a:ln>
                  <a:no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60737892295255713"/>
                      <c:h val="0.12317605337500753"/>
                    </c:manualLayout>
                  </c15:layout>
                  <c15:dlblFieldTable/>
                  <c15:showDataLabelsRange val="0"/>
                </c:ext>
                <c:ext xmlns:c16="http://schemas.microsoft.com/office/drawing/2014/chart" uri="{C3380CC4-5D6E-409C-BE32-E72D297353CC}">
                  <c16:uniqueId val="{00000003-5A38-4BBF-8597-24482F2EE5E5}"/>
                </c:ext>
              </c:extLst>
            </c:dLbl>
            <c:dLbl>
              <c:idx val="2"/>
              <c:layout>
                <c:manualLayout>
                  <c:x val="-7.3531979752796042E-3"/>
                  <c:y val="-8.3035269446281132E-2"/>
                </c:manualLayout>
              </c:layout>
              <c:tx>
                <c:rich>
                  <a:bodyPr rot="0" spcFirstLastPara="1" vertOverflow="clip" horzOverflow="clip"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fld id="{740785E1-2051-4E17-AD8A-FB99A17BE064}" type="CATEGORYNAME">
                      <a:rPr lang="en-US" sz="1100" b="1">
                        <a:solidFill>
                          <a:sysClr val="windowText" lastClr="000000"/>
                        </a:solidFill>
                      </a:rPr>
                      <a:pPr>
                        <a:defRPr sz="1100" b="1">
                          <a:solidFill>
                            <a:sysClr val="windowText" lastClr="000000"/>
                          </a:solidFill>
                        </a:defRPr>
                      </a:pPr>
                      <a:t>[CATEGORY NAME]</a:t>
                    </a:fld>
                    <a:r>
                      <a:rPr lang="en-US" sz="1100" b="1" baseline="0">
                        <a:solidFill>
                          <a:sysClr val="windowText" lastClr="000000"/>
                        </a:solidFill>
                      </a:rPr>
                      <a:t>
(6)</a:t>
                    </a:r>
                  </a:p>
                </c:rich>
              </c:tx>
              <c:spPr>
                <a:noFill/>
                <a:ln>
                  <a:no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5-5A38-4BBF-8597-24482F2EE5E5}"/>
                </c:ext>
              </c:extLst>
            </c:dLbl>
            <c:dLbl>
              <c:idx val="3"/>
              <c:layout>
                <c:manualLayout>
                  <c:x val="-1.7855576115977059E-2"/>
                  <c:y val="5.2584533803503586E-2"/>
                </c:manualLayout>
              </c:layout>
              <c:tx>
                <c:rich>
                  <a:bodyPr rot="0" spcFirstLastPara="1" vertOverflow="clip" horzOverflow="clip"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fld id="{C9FA88C1-D2F7-4C5A-9D13-E4D652F6EAD7}" type="CATEGORYNAME">
                      <a:rPr lang="en-US" sz="1100" b="1">
                        <a:solidFill>
                          <a:sysClr val="windowText" lastClr="000000"/>
                        </a:solidFill>
                      </a:rPr>
                      <a:pPr>
                        <a:defRPr sz="1100" b="1">
                          <a:solidFill>
                            <a:sysClr val="windowText" lastClr="000000"/>
                          </a:solidFill>
                        </a:defRPr>
                      </a:pPr>
                      <a:t>[CATEGORY NAME]</a:t>
                    </a:fld>
                    <a:r>
                      <a:rPr lang="en-US" sz="1100" b="1" baseline="0">
                        <a:solidFill>
                          <a:sysClr val="windowText" lastClr="000000"/>
                        </a:solidFill>
                      </a:rPr>
                      <a:t>
(6)</a:t>
                    </a:r>
                  </a:p>
                </c:rich>
              </c:tx>
              <c:spPr>
                <a:noFill/>
                <a:ln>
                  <a:no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7-5A38-4BBF-8597-24482F2EE5E5}"/>
                </c:ext>
              </c:extLst>
            </c:dLbl>
            <c:spPr>
              <a:solidFill>
                <a:sysClr val="window" lastClr="FFFFFF"/>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Sheet1!$F$68:$F$71</c:f>
              <c:strCache>
                <c:ptCount val="4"/>
                <c:pt idx="0">
                  <c:v>gatekeeping access to working areas</c:v>
                </c:pt>
                <c:pt idx="1">
                  <c:v>more healthcare and safety workers</c:v>
                </c:pt>
                <c:pt idx="2">
                  <c:v>information and education</c:v>
                </c:pt>
                <c:pt idx="3">
                  <c:v>other</c:v>
                </c:pt>
              </c:strCache>
            </c:strRef>
          </c:cat>
          <c:val>
            <c:numRef>
              <c:f>Sheet1!$G$68:$G$71</c:f>
              <c:numCache>
                <c:formatCode>General</c:formatCode>
                <c:ptCount val="4"/>
                <c:pt idx="0">
                  <c:v>13</c:v>
                </c:pt>
                <c:pt idx="1">
                  <c:v>6</c:v>
                </c:pt>
                <c:pt idx="2">
                  <c:v>6</c:v>
                </c:pt>
                <c:pt idx="3">
                  <c:v>6</c:v>
                </c:pt>
              </c:numCache>
            </c:numRef>
          </c:val>
          <c:extLst>
            <c:ext xmlns:c16="http://schemas.microsoft.com/office/drawing/2014/chart" uri="{C3380CC4-5D6E-409C-BE32-E72D297353CC}">
              <c16:uniqueId val="{00000008-5A38-4BBF-8597-24482F2EE5E5}"/>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E0889-A154-40D0-8663-9806394F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5493</Words>
  <Characters>31316</Characters>
  <Application>Microsoft Office Word</Application>
  <DocSecurity>0</DocSecurity>
  <Lines>260</Lines>
  <Paragraphs>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36736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Antão Sofia</dc:creator>
  <cp:lastModifiedBy>Antão Sofia</cp:lastModifiedBy>
  <cp:revision>2</cp:revision>
  <cp:lastPrinted>2018-10-22T09:20:00Z</cp:lastPrinted>
  <dcterms:created xsi:type="dcterms:W3CDTF">2019-06-17T17:17:00Z</dcterms:created>
  <dcterms:modified xsi:type="dcterms:W3CDTF">2019-06-17T17:17:00Z</dcterms:modified>
</cp:coreProperties>
</file>